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320" w:lineRule="auto"/>
        <w:jc w:val="center"/>
      </w:pPr>
      <w:r>
        <w:rPr>
          <w:rFonts w:ascii="Courier New" w:hAnsi="Courier New" w:eastAsia="Courier New"/>
          <w:b/>
          <w:i w:val="0"/>
          <w:color w:val="6D45B8"/>
          <w:sz w:val="18"/>
        </w:rPr>
        <w:t>ALIGNED WITH THE SUPERTEAM VIETNAM · COLOSSEUM SUBTRACK EFFORT</w:t>
      </w:r>
    </w:p>
    <w:p>
      <w:pPr>
        <w:spacing w:before="0" w:after="160" w:line="230" w:lineRule="auto"/>
        <w:jc w:val="center"/>
      </w:pPr>
      <w:r>
        <w:rPr>
          <w:rFonts w:ascii="Arial" w:hAnsi="Arial" w:eastAsia="Arial"/>
          <w:b/>
          <w:i w:val="0"/>
          <w:color w:val="151020"/>
          <w:sz w:val="60"/>
        </w:rPr>
        <w:t>Onchain Time</w:t>
        <w:br/>
        <w:t>Builder Sprint</w:t>
      </w:r>
    </w:p>
    <w:p>
      <w:pPr>
        <w:spacing w:before="0" w:after="160" w:line="240" w:lineRule="auto"/>
        <w:jc w:val="center"/>
      </w:pPr>
      <w:r>
        <w:rPr>
          <w:rFonts w:ascii="Arial" w:hAnsi="Arial" w:eastAsia="Arial"/>
          <w:b w:val="0"/>
          <w:i w:val="0"/>
          <w:color w:val="6D45B8"/>
          <w:sz w:val="30"/>
        </w:rPr>
        <w:t>Venue Partnership Proposal</w:t>
      </w:r>
    </w:p>
    <w:p>
      <w:pPr>
        <w:spacing w:before="0" w:after="400" w:line="264" w:lineRule="auto"/>
        <w:jc w:val="center"/>
      </w:pPr>
      <w:r>
        <w:rPr>
          <w:rFonts w:ascii="Arial" w:hAnsi="Arial" w:eastAsia="Arial"/>
          <w:b w:val="0"/>
          <w:i/>
          <w:color w:val="625A6E"/>
          <w:sz w:val="23"/>
        </w:rPr>
        <w:t>Learn online. Build together. Iterate toward Colosseum.</w:t>
      </w:r>
    </w:p>
    <w:p>
      <w:pPr>
        <w:spacing w:before="0" w:after="280" w:line="320" w:lineRule="auto"/>
        <w:pBdr>
          <w:bottom w:val="single" w:sz="18" w:space="8" w:color="6D45B8"/>
        </w:pBdr>
      </w:pPr>
      <w:r>
        <w:rPr>
          <w:rFonts w:ascii="Arial" w:hAnsi="Arial" w:eastAsia="Arial"/>
          <w:b w:val="0"/>
          <w:i w:val="0"/>
          <w:color w:val="151020"/>
          <w:sz w:val="2"/>
        </w:rPr>
      </w:r>
    </w:p>
    <w:tbl>
      <w:tblPr>
        <w:tblW w:type="dxa" w:w="9360"/>
        <w:jc w:val="left"/>
        <w:tblLayout w:type="fixed"/>
        <w:tblLook w:firstColumn="1" w:firstRow="1" w:lastColumn="0" w:lastRow="0" w:noHBand="0" w:noVBand="1" w:val="04A0"/>
        <w:tblInd w:w="120" w:type="dxa"/>
      </w:tblPr>
      <w:tblGrid>
        <w:gridCol w:w="4680"/>
        <w:gridCol w:w="4680"/>
      </w:tblGrid>
      <w:tr>
        <w:tc>
          <w:tcPr>
            <w:tcW w:type="dxa" w:w="4680"/>
            <w:vAlign w:val="center"/>
            <w:tcMar>
              <w:top w:w="80" w:type="dxa"/>
              <w:bottom w:w="80" w:type="dxa"/>
              <w:start w:w="120" w:type="dxa"/>
              <w:end w:w="120" w:type="dxa"/>
            </w:tcMar>
            <w:shd w:fill="F7F5FA"/>
            <w:tcBorders>
              <w:top w:val="single" w:sz="4" w:color="D9D2E3"/>
              <w:bottom w:val="single" w:sz="4" w:color="D9D2E3"/>
              <w:start w:val="single" w:sz="4" w:color="D9D2E3"/>
              <w:end w:val="single" w:sz="4" w:color="D9D2E3"/>
            </w:tcBorders>
          </w:tcPr>
          <w:p>
            <w:pPr>
              <w:spacing w:after="40"/>
              <w:jc w:val="left"/>
            </w:pPr>
            <w:r>
              <w:rPr>
                <w:rFonts w:ascii="Courier New" w:hAnsi="Courier New" w:eastAsia="Courier New"/>
                <w:b/>
                <w:color w:val="6D45B8"/>
                <w:sz w:val="16"/>
              </w:rPr>
              <w:t>LOCATION</w:t>
              <w:br/>
            </w:r>
            <w:r>
              <w:rPr>
                <w:rFonts w:ascii="Arial" w:hAnsi="Arial" w:eastAsia="Arial"/>
                <w:b/>
                <w:color w:val="151020"/>
                <w:sz w:val="20"/>
              </w:rPr>
              <w:t>Da Nang, Vietnam</w:t>
            </w:r>
          </w:p>
        </w:tc>
        <w:tc>
          <w:tcPr>
            <w:tcW w:type="dxa" w:w="4680"/>
            <w:vAlign w:val="center"/>
            <w:tcMar>
              <w:top w:w="80" w:type="dxa"/>
              <w:bottom w:w="80" w:type="dxa"/>
              <w:start w:w="120" w:type="dxa"/>
              <w:end w:w="120" w:type="dxa"/>
            </w:tcMar>
            <w:shd w:fill="F7F5FA"/>
            <w:tcBorders>
              <w:top w:val="single" w:sz="4" w:color="D9D2E3"/>
              <w:bottom w:val="single" w:sz="4" w:color="D9D2E3"/>
              <w:start w:val="single" w:sz="4" w:color="D9D2E3"/>
              <w:end w:val="single" w:sz="4" w:color="D9D2E3"/>
            </w:tcBorders>
          </w:tcPr>
          <w:p>
            <w:pPr>
              <w:spacing w:after="40"/>
              <w:jc w:val="left"/>
            </w:pPr>
            <w:r>
              <w:rPr>
                <w:rFonts w:ascii="Courier New" w:hAnsi="Courier New" w:eastAsia="Courier New"/>
                <w:b/>
                <w:color w:val="6D45B8"/>
                <w:sz w:val="16"/>
              </w:rPr>
              <w:t>PROGRAM OPENS</w:t>
              <w:br/>
            </w:r>
            <w:r>
              <w:rPr>
                <w:rFonts w:ascii="Arial" w:hAnsi="Arial" w:eastAsia="Arial"/>
                <w:b/>
                <w:color w:val="151020"/>
                <w:sz w:val="20"/>
              </w:rPr>
              <w:t>4 September 2026</w:t>
            </w:r>
          </w:p>
        </w:tc>
      </w:tr>
      <w:tr>
        <w:tc>
          <w:tcPr>
            <w:tcW w:type="dxa" w:w="4680"/>
            <w:vAlign w:val="center"/>
            <w:tcMar>
              <w:top w:w="80" w:type="dxa"/>
              <w:bottom w:w="80" w:type="dxa"/>
              <w:start w:w="120" w:type="dxa"/>
              <w:end w:w="120" w:type="dxa"/>
            </w:tcMar>
            <w:shd w:fill="FFFFFF"/>
            <w:tcBorders>
              <w:top w:val="single" w:sz="4" w:color="D9D2E3"/>
              <w:bottom w:val="single" w:sz="4" w:color="D9D2E3"/>
              <w:start w:val="single" w:sz="4" w:color="D9D2E3"/>
              <w:end w:val="single" w:sz="4" w:color="D9D2E3"/>
            </w:tcBorders>
          </w:tcPr>
          <w:p>
            <w:pPr>
              <w:spacing w:after="40"/>
              <w:jc w:val="left"/>
            </w:pPr>
            <w:r>
              <w:rPr>
                <w:rFonts w:ascii="Courier New" w:hAnsi="Courier New" w:eastAsia="Courier New"/>
                <w:b/>
                <w:color w:val="6D45B8"/>
                <w:sz w:val="16"/>
              </w:rPr>
              <w:t>IN-PERSON</w:t>
              <w:br/>
            </w:r>
            <w:r>
              <w:rPr>
                <w:rFonts w:ascii="Arial" w:hAnsi="Arial" w:eastAsia="Arial"/>
                <w:b/>
                <w:color w:val="151020"/>
                <w:sz w:val="20"/>
              </w:rPr>
              <w:t>18–20 September 2026</w:t>
            </w:r>
          </w:p>
        </w:tc>
        <w:tc>
          <w:tcPr>
            <w:tcW w:type="dxa" w:w="4680"/>
            <w:vAlign w:val="center"/>
            <w:tcMar>
              <w:top w:w="80" w:type="dxa"/>
              <w:bottom w:w="80" w:type="dxa"/>
              <w:start w:w="120" w:type="dxa"/>
              <w:end w:w="120" w:type="dxa"/>
            </w:tcMar>
            <w:shd w:fill="FFFFFF"/>
            <w:tcBorders>
              <w:top w:val="single" w:sz="4" w:color="D9D2E3"/>
              <w:bottom w:val="single" w:sz="4" w:color="D9D2E3"/>
              <w:start w:val="single" w:sz="4" w:color="D9D2E3"/>
              <w:end w:val="single" w:sz="4" w:color="D9D2E3"/>
            </w:tcBorders>
          </w:tcPr>
          <w:p>
            <w:pPr>
              <w:spacing w:after="40"/>
              <w:jc w:val="left"/>
            </w:pPr>
            <w:r>
              <w:rPr>
                <w:rFonts w:ascii="Courier New" w:hAnsi="Courier New" w:eastAsia="Courier New"/>
                <w:b/>
                <w:color w:val="6D45B8"/>
                <w:sz w:val="16"/>
              </w:rPr>
              <w:t>FORMAT</w:t>
              <w:br/>
            </w:r>
            <w:r>
              <w:rPr>
                <w:rFonts w:ascii="Arial" w:hAnsi="Arial" w:eastAsia="Arial"/>
                <w:b/>
                <w:color w:val="151020"/>
                <w:sz w:val="20"/>
              </w:rPr>
              <w:t>Friday night + Saturday + Sunday morning</w:t>
            </w:r>
          </w:p>
        </w:tc>
      </w:tr>
      <w:tr>
        <w:tc>
          <w:tcPr>
            <w:tcW w:type="dxa" w:w="4680"/>
            <w:vAlign w:val="center"/>
            <w:tcMar>
              <w:top w:w="80" w:type="dxa"/>
              <w:bottom w:w="80" w:type="dxa"/>
              <w:start w:w="120" w:type="dxa"/>
              <w:end w:w="120" w:type="dxa"/>
            </w:tcMar>
            <w:shd w:fill="F7F5FA"/>
            <w:tcBorders>
              <w:top w:val="single" w:sz="4" w:color="D9D2E3"/>
              <w:bottom w:val="single" w:sz="4" w:color="D9D2E3"/>
              <w:start w:val="single" w:sz="4" w:color="D9D2E3"/>
              <w:end w:val="single" w:sz="4" w:color="D9D2E3"/>
            </w:tcBorders>
          </w:tcPr>
          <w:p>
            <w:pPr>
              <w:spacing w:after="40"/>
              <w:jc w:val="left"/>
            </w:pPr>
            <w:r>
              <w:rPr>
                <w:rFonts w:ascii="Courier New" w:hAnsi="Courier New" w:eastAsia="Courier New"/>
                <w:b/>
                <w:color w:val="6D45B8"/>
                <w:sz w:val="16"/>
              </w:rPr>
              <w:t>PARTICIPANTS</w:t>
              <w:br/>
            </w:r>
            <w:r>
              <w:rPr>
                <w:rFonts w:ascii="Arial" w:hAnsi="Arial" w:eastAsia="Arial"/>
                <w:b/>
                <w:color w:val="151020"/>
                <w:sz w:val="20"/>
              </w:rPr>
              <w:t>70 builders · 11–12 teams</w:t>
            </w:r>
          </w:p>
        </w:tc>
        <w:tc>
          <w:tcPr>
            <w:tcW w:type="dxa" w:w="4680"/>
            <w:vAlign w:val="center"/>
            <w:tcMar>
              <w:top w:w="80" w:type="dxa"/>
              <w:bottom w:w="80" w:type="dxa"/>
              <w:start w:w="120" w:type="dxa"/>
              <w:end w:w="120" w:type="dxa"/>
            </w:tcMar>
            <w:shd w:fill="F7F5FA"/>
            <w:tcBorders>
              <w:top w:val="single" w:sz="4" w:color="D9D2E3"/>
              <w:bottom w:val="single" w:sz="4" w:color="D9D2E3"/>
              <w:start w:val="single" w:sz="4" w:color="D9D2E3"/>
              <w:end w:val="single" w:sz="4" w:color="D9D2E3"/>
            </w:tcBorders>
          </w:tcPr>
          <w:p>
            <w:pPr>
              <w:spacing w:after="40"/>
              <w:jc w:val="left"/>
            </w:pPr>
            <w:r>
              <w:rPr>
                <w:rFonts w:ascii="Courier New" w:hAnsi="Courier New" w:eastAsia="Courier New"/>
                <w:b/>
                <w:color w:val="6D45B8"/>
                <w:sz w:val="16"/>
              </w:rPr>
              <w:t>CASH BUDGET</w:t>
              <w:br/>
            </w:r>
            <w:r>
              <w:rPr>
                <w:rFonts w:ascii="Arial" w:hAnsi="Arial" w:eastAsia="Arial"/>
                <w:b/>
                <w:color w:val="151020"/>
                <w:sz w:val="20"/>
              </w:rPr>
              <w:t>VND 60 million, raised separately</w:t>
            </w:r>
          </w:p>
        </w:tc>
      </w:tr>
      <w:tr>
        <w:tc>
          <w:tcPr>
            <w:tcW w:type="dxa" w:w="4680"/>
            <w:vAlign w:val="center"/>
            <w:tcMar>
              <w:top w:w="80" w:type="dxa"/>
              <w:bottom w:w="80" w:type="dxa"/>
              <w:start w:w="120" w:type="dxa"/>
              <w:end w:w="120" w:type="dxa"/>
            </w:tcMar>
            <w:shd w:fill="FFFFFF"/>
            <w:tcBorders>
              <w:top w:val="single" w:sz="4" w:color="D9D2E3"/>
              <w:bottom w:val="single" w:sz="4" w:color="D9D2E3"/>
              <w:start w:val="single" w:sz="4" w:color="D9D2E3"/>
              <w:end w:val="single" w:sz="4" w:color="D9D2E3"/>
            </w:tcBorders>
          </w:tcPr>
          <w:p>
            <w:pPr>
              <w:spacing w:after="40"/>
              <w:jc w:val="left"/>
            </w:pPr>
            <w:r>
              <w:rPr>
                <w:rFonts w:ascii="Courier New" w:hAnsi="Courier New" w:eastAsia="Courier New"/>
                <w:b/>
                <w:color w:val="6D45B8"/>
                <w:sz w:val="16"/>
              </w:rPr>
              <w:t>VENUE ASK</w:t>
              <w:br/>
            </w:r>
            <w:r>
              <w:rPr>
                <w:rFonts w:ascii="Arial" w:hAnsi="Arial" w:eastAsia="Arial"/>
                <w:b/>
                <w:color w:val="151020"/>
                <w:sz w:val="20"/>
              </w:rPr>
              <w:t>In-kind space and facilities</w:t>
            </w:r>
          </w:p>
        </w:tc>
        <w:tc>
          <w:tcPr>
            <w:tcW w:type="dxa" w:w="4680"/>
            <w:vAlign w:val="center"/>
            <w:tcMar>
              <w:top w:w="80" w:type="dxa"/>
              <w:bottom w:w="80" w:type="dxa"/>
              <w:start w:w="120" w:type="dxa"/>
              <w:end w:w="120" w:type="dxa"/>
            </w:tcMar>
            <w:shd w:fill="FFFFFF"/>
            <w:tcBorders>
              <w:top w:val="single" w:sz="4" w:color="D9D2E3"/>
              <w:bottom w:val="single" w:sz="4" w:color="D9D2E3"/>
              <w:start w:val="single" w:sz="4" w:color="D9D2E3"/>
              <w:end w:val="single" w:sz="4" w:color="D9D2E3"/>
            </w:tcBorders>
          </w:tcPr>
          <w:p>
            <w:pPr>
              <w:spacing w:after="40"/>
              <w:jc w:val="left"/>
            </w:pPr>
            <w:r>
              <w:rPr>
                <w:rFonts w:ascii="Courier New" w:hAnsi="Courier New" w:eastAsia="Courier New"/>
                <w:b/>
                <w:color w:val="6D45B8"/>
                <w:sz w:val="16"/>
              </w:rPr>
              <w:t>OPERATIONS LEAD</w:t>
              <w:br/>
            </w:r>
            <w:r>
              <w:rPr>
                <w:rFonts w:ascii="Arial" w:hAnsi="Arial" w:eastAsia="Arial"/>
                <w:b/>
                <w:color w:val="151020"/>
                <w:sz w:val="20"/>
              </w:rPr>
              <w:t>Danh</w:t>
            </w:r>
          </w:p>
        </w:tc>
      </w:tr>
    </w:tbl>
    <w:p>
      <w:pPr>
        <w:spacing w:before="0" w:after="200" w:line="320" w:lineRule="auto"/>
      </w:pPr>
      <w:r>
        <w:rPr>
          <w:rFonts w:ascii="Arial" w:hAnsi="Arial" w:eastAsia="Arial"/>
          <w:b w:val="0"/>
          <w:i w:val="0"/>
          <w:color w:val="151020"/>
          <w:sz w:val="2"/>
        </w:rPr>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8F5EE"/>
            <w:tcBorders>
              <w:top w:val="nil"/>
              <w:bottom w:val="nil"/>
              <w:start w:val="single" w:sz="24" w:color="267A55"/>
              <w:end w:val="nil"/>
            </w:tcBorders>
          </w:tcPr>
          <w:p>
            <w:pPr>
              <w:pStyle w:val="TableBody"/>
              <w:spacing w:before="40" w:after="40"/>
            </w:pPr>
            <w:r>
              <w:rPr>
                <w:rFonts w:ascii="Courier New" w:hAnsi="Courier New" w:eastAsia="Courier New"/>
                <w:b/>
                <w:color w:val="267A55"/>
                <w:sz w:val="18"/>
              </w:rPr>
              <w:t xml:space="preserve">PARTNERSHIP REQUEST  </w:t>
            </w:r>
            <w:r>
              <w:rPr>
                <w:rFonts w:ascii="Arial" w:hAnsi="Arial" w:eastAsia="Arial"/>
                <w:b w:val="0"/>
                <w:color w:val="151020"/>
                <w:sz w:val="20"/>
              </w:rPr>
              <w:t>Provide an accessible, builder-ready venue for Friday evening, Saturday daytime and Sunday morning, including reliable internet, power, presentation facilities, security and cleaning.</w:t>
            </w:r>
          </w:p>
        </w:tc>
      </w:tr>
    </w:tbl>
    <w:p>
      <w:pPr>
        <w:spacing w:before="0" w:after="80" w:line="320" w:lineRule="auto"/>
      </w:pPr>
      <w:r>
        <w:rPr>
          <w:rFonts w:ascii="Arial" w:hAnsi="Arial" w:eastAsia="Arial"/>
          <w:b w:val="0"/>
          <w:i w:val="0"/>
          <w:color w:val="151020"/>
          <w:sz w:val="2"/>
        </w:rPr>
      </w:r>
    </w:p>
    <w:p>
      <w:pPr>
        <w:spacing w:before="0" w:after="0" w:line="264" w:lineRule="auto"/>
        <w:jc w:val="center"/>
      </w:pPr>
      <w:r>
        <w:rPr>
          <w:rFonts w:ascii="Arial" w:hAnsi="Arial" w:eastAsia="Arial"/>
          <w:b w:val="0"/>
          <w:i w:val="0"/>
          <w:color w:val="625A6E"/>
          <w:sz w:val="18"/>
        </w:rPr>
        <w:t>Prepared for prospective venue partners · Prepared by Hieu and the organizing team · 31 August 2026</w:t>
      </w:r>
    </w:p>
    <w:p>
      <w:r>
        <w:br w:type="page"/>
      </w:r>
    </w:p>
    <w:p>
      <w:pPr>
        <w:spacing w:before="0" w:after="80" w:line="320" w:lineRule="auto"/>
      </w:pPr>
      <w:r>
        <w:rPr>
          <w:rFonts w:ascii="Courier New" w:hAnsi="Courier New" w:eastAsia="Courier New"/>
          <w:b/>
          <w:i w:val="0"/>
          <w:color w:val="6D45B8"/>
          <w:sz w:val="18"/>
        </w:rPr>
        <w:t>01 / THE ASK</w:t>
      </w:r>
    </w:p>
    <w:p>
      <w:pPr>
        <w:pStyle w:val="Heading1"/>
      </w:pPr>
      <w:r>
        <w:t>A venue partnership for a focused builder program</w:t>
      </w:r>
    </w:p>
    <w:p>
      <w:pPr>
        <w:spacing w:before="0" w:after="240" w:line="307" w:lineRule="auto"/>
      </w:pPr>
      <w:r>
        <w:rPr>
          <w:rFonts w:ascii="Arial" w:hAnsi="Arial" w:eastAsia="Arial"/>
          <w:b w:val="0"/>
          <w:i w:val="0"/>
          <w:color w:val="625A6E"/>
          <w:sz w:val="22"/>
        </w:rPr>
        <w:t>The Onchain Time Builder Sprint is a two-week online learning and product-iteration program that culminates in a compact in-person build weekend in Da Nang. The physical event is designed for collaboration, mentoring and feedback—not introductory lectures or a local prize competition.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EE9F8"/>
            <w:tcBorders>
              <w:top w:val="nil"/>
              <w:bottom w:val="nil"/>
              <w:start w:val="single" w:sz="24" w:color="6D45B8"/>
              <w:end w:val="nil"/>
            </w:tcBorders>
          </w:tcPr>
          <w:p>
            <w:pPr>
              <w:pStyle w:val="TableBody"/>
              <w:spacing w:before="40" w:after="40"/>
            </w:pPr>
            <w:r>
              <w:rPr>
                <w:rFonts w:ascii="Courier New" w:hAnsi="Courier New" w:eastAsia="Courier New"/>
                <w:b/>
                <w:color w:val="6D45B8"/>
                <w:sz w:val="18"/>
              </w:rPr>
              <w:t xml:space="preserve">DECISION REQUESTED  </w:t>
            </w:r>
            <w:r>
              <w:rPr>
                <w:rFonts w:ascii="Arial" w:hAnsi="Arial" w:eastAsia="Arial"/>
                <w:b w:val="0"/>
                <w:color w:val="151020"/>
                <w:sz w:val="20"/>
              </w:rPr>
              <w:t>Confirm an in-kind venue partnership for up to 80 people, with access on 18–20 September 2026 and the facilities listed in this proposal.</w:t>
            </w:r>
          </w:p>
        </w:tc>
      </w:tr>
    </w:tbl>
    <w:p>
      <w:pPr>
        <w:spacing w:before="0" w:after="80" w:line="320" w:lineRule="auto"/>
      </w:pPr>
      <w:r>
        <w:rPr>
          <w:rFonts w:ascii="Arial" w:hAnsi="Arial" w:eastAsia="Arial"/>
          <w:b w:val="0"/>
          <w:i w:val="0"/>
          <w:color w:val="151020"/>
          <w:sz w:val="2"/>
        </w:rPr>
      </w:r>
    </w:p>
    <w:p>
      <w:pPr>
        <w:pStyle w:val="Heading2"/>
      </w:pPr>
      <w:r>
        <w:t>Program at a glance</w:t>
      </w:r>
    </w:p>
    <w:tbl>
      <w:tblPr>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Dimension</w:t>
            </w:r>
          </w:p>
        </w:tc>
        <w:tc>
          <w:tcPr>
            <w:tcW w:type="dxa" w:w="696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Plan</w:t>
            </w:r>
          </w:p>
        </w:tc>
      </w:tr>
      <w:tr>
        <w:trPr>
          <w:cantSplit/>
        </w:trPr>
        <w:tc>
          <w:tcPr>
            <w:tcW w:type="dxa" w:w="24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Program model</w:t>
            </w:r>
          </w:p>
        </w:tc>
        <w:tc>
          <w:tcPr>
            <w:tcW w:type="dxa" w:w="69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All learning materials online from 4 September; in-person acceleration from 18–20 September</w:t>
            </w:r>
          </w:p>
        </w:tc>
      </w:tr>
      <w:tr>
        <w:trPr>
          <w:cantSplit/>
        </w:trPr>
        <w:tc>
          <w:tcPr>
            <w:tcW w:type="dxa" w:w="24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Audience</w:t>
            </w:r>
          </w:p>
        </w:tc>
        <w:tc>
          <w:tcPr>
            <w:tcW w:type="dxa" w:w="69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Approximately 70 student and independent builders in Da Nang, supported by organizers and mentors</w:t>
            </w:r>
          </w:p>
        </w:tc>
      </w:tr>
      <w:tr>
        <w:trPr>
          <w:cantSplit/>
        </w:trPr>
        <w:tc>
          <w:tcPr>
            <w:tcW w:type="dxa" w:w="24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Expected output</w:t>
            </w:r>
          </w:p>
        </w:tc>
        <w:tc>
          <w:tcPr>
            <w:tcW w:type="dxa" w:w="69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11–12 working project submissions recorded directly on the event website</w:t>
            </w:r>
          </w:p>
        </w:tc>
      </w:tr>
      <w:tr>
        <w:trPr>
          <w:cantSplit/>
        </w:trPr>
        <w:tc>
          <w:tcPr>
            <w:tcW w:type="dxa" w:w="24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Incentive</w:t>
            </w:r>
          </w:p>
        </w:tc>
        <w:tc>
          <w:tcPr>
            <w:tcW w:type="dxa" w:w="69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No local prize pool; projects continue toward the Superteam Vietnam Colosseum subtrack with a stated total prize pool of US$10,000</w:t>
            </w:r>
          </w:p>
        </w:tc>
      </w:tr>
      <w:tr>
        <w:trPr>
          <w:cantSplit/>
        </w:trPr>
        <w:tc>
          <w:tcPr>
            <w:tcW w:type="dxa" w:w="24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Event principle</w:t>
            </w:r>
          </w:p>
        </w:tc>
        <w:tc>
          <w:tcPr>
            <w:tcW w:type="dxa" w:w="69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Building and repeated iteration matter more than a final-day award</w:t>
            </w:r>
          </w:p>
        </w:tc>
      </w:tr>
      <w:tr>
        <w:trPr>
          <w:cantSplit/>
        </w:trPr>
        <w:tc>
          <w:tcPr>
            <w:tcW w:type="dxa" w:w="24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Cash plan</w:t>
            </w:r>
          </w:p>
        </w:tc>
        <w:tc>
          <w:tcPr>
            <w:tcW w:type="dxa" w:w="69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VND 60 million for catering and operations, funded separately from the venue contribution</w:t>
            </w:r>
          </w:p>
        </w:tc>
      </w:tr>
    </w:tbl>
    <w:p>
      <w:pPr>
        <w:pStyle w:val="Heading2"/>
      </w:pPr>
      <w:r>
        <w:t>Why the timing works</w:t>
      </w:r>
    </w:p>
    <w:p>
      <w:pPr>
        <w:spacing w:before="0" w:after="160" w:line="320" w:lineRule="auto"/>
      </w:pPr>
      <w:r>
        <w:rPr>
          <w:rFonts w:ascii="Arial" w:hAnsi="Arial" w:eastAsia="Arial"/>
          <w:b w:val="0"/>
          <w:i w:val="0"/>
          <w:color w:val="151020"/>
        </w:rPr>
        <w:t>The in-person weekend ends on 20 September, giving teams an eight-day continuation window before the fall Colosseum hackathon begins on 28 September. Colosseum then runs through 2 November 2026. The sprint is therefore a launchpad into a longer global build cycle—not an attempt to finish a startup in one weekend.</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8F5EE"/>
            <w:tcBorders>
              <w:top w:val="nil"/>
              <w:bottom w:val="nil"/>
              <w:start w:val="single" w:sz="24" w:color="267A55"/>
              <w:end w:val="nil"/>
            </w:tcBorders>
          </w:tcPr>
          <w:p>
            <w:pPr>
              <w:pStyle w:val="TableBody"/>
              <w:spacing w:before="40" w:after="40"/>
            </w:pPr>
            <w:r>
              <w:rPr>
                <w:rFonts w:ascii="Courier New" w:hAnsi="Courier New" w:eastAsia="Courier New"/>
                <w:b/>
                <w:color w:val="267A55"/>
                <w:sz w:val="18"/>
              </w:rPr>
              <w:t xml:space="preserve">PROGRAM LOGIC  </w:t>
            </w:r>
            <w:r>
              <w:rPr>
                <w:rFonts w:ascii="Arial" w:hAnsi="Arial" w:eastAsia="Arial"/>
                <w:b w:val="0"/>
                <w:color w:val="151020"/>
                <w:sz w:val="20"/>
              </w:rPr>
              <w:t>Participants prepare online, use the venue for concentrated work and feedback, then leave with a working checkpoint and a concrete Colosseum roadmap.</w:t>
            </w:r>
          </w:p>
        </w:tc>
      </w:tr>
    </w:tbl>
    <w:p>
      <w:pPr>
        <w:spacing w:before="0" w:after="80" w:line="320" w:lineRule="auto"/>
      </w:pPr>
      <w:r>
        <w:rPr>
          <w:rFonts w:ascii="Arial" w:hAnsi="Arial" w:eastAsia="Arial"/>
          <w:b w:val="0"/>
          <w:i w:val="0"/>
          <w:color w:val="151020"/>
          <w:sz w:val="2"/>
        </w:rPr>
      </w:r>
    </w:p>
    <w:p>
      <w:r>
        <w:br w:type="page"/>
      </w:r>
    </w:p>
    <w:p>
      <w:pPr>
        <w:spacing w:before="0" w:after="80" w:line="320" w:lineRule="auto"/>
      </w:pPr>
      <w:r>
        <w:rPr>
          <w:rFonts w:ascii="Courier New" w:hAnsi="Courier New" w:eastAsia="Courier New"/>
          <w:b/>
          <w:i w:val="0"/>
          <w:color w:val="6D45B8"/>
          <w:sz w:val="18"/>
        </w:rPr>
        <w:t>02 / PROGRAM THESIS</w:t>
      </w:r>
    </w:p>
    <w:p>
      <w:pPr>
        <w:pStyle w:val="Heading1"/>
      </w:pPr>
      <w:r>
        <w:t>From a compelling mechanism to focused products</w:t>
      </w:r>
    </w:p>
    <w:p>
      <w:pPr>
        <w:spacing w:before="0" w:after="240" w:line="307" w:lineRule="auto"/>
      </w:pPr>
      <w:r>
        <w:rPr>
          <w:rFonts w:ascii="Arial" w:hAnsi="Arial" w:eastAsia="Arial"/>
          <w:b w:val="0"/>
          <w:i w:val="0"/>
          <w:color w:val="625A6E"/>
          <w:sz w:val="22"/>
        </w:rPr>
        <w:t>Time.fun popularized a provocative SocialFi mechanism: creators could issue tradable tokens linked to access to their time. The mechanism attracted attention, but it also exposed difficult product questions around target users, repeatable utility, reliable delivery and sustainable market behavior.</w:t>
      </w:r>
    </w:p>
    <w:p>
      <w:pPr>
        <w:pStyle w:val="Heading2"/>
      </w:pPr>
      <w:r>
        <w:t>The build prompt</w:t>
      </w:r>
    </w:p>
    <w:p>
      <w:pPr>
        <w:spacing w:before="0" w:after="160" w:line="320" w:lineRule="auto"/>
      </w:pPr>
      <w:r>
        <w:rPr>
          <w:rFonts w:ascii="Arial" w:hAnsi="Arial" w:eastAsia="Arial"/>
          <w:b w:val="0"/>
          <w:i w:val="0"/>
          <w:color w:val="151020"/>
        </w:rPr>
        <w:t>The sprint asks teams to treat the time-market idea as a starting point rather than a blueprint. Each team selects a specific community or professional niche, defines a concrete exchange of value, and builds the smallest experience capable of testing whether people actually want it.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EE9F8"/>
            <w:tcBorders>
              <w:top w:val="nil"/>
              <w:bottom w:val="nil"/>
              <w:start w:val="single" w:sz="24" w:color="6D45B8"/>
              <w:end w:val="nil"/>
            </w:tcBorders>
          </w:tcPr>
          <w:p>
            <w:pPr>
              <w:pStyle w:val="TableBody"/>
              <w:spacing w:before="40" w:after="40"/>
            </w:pPr>
            <w:r>
              <w:rPr>
                <w:rFonts w:ascii="Courier New" w:hAnsi="Courier New" w:eastAsia="Courier New"/>
                <w:b/>
                <w:color w:val="6D45B8"/>
                <w:sz w:val="18"/>
              </w:rPr>
              <w:t xml:space="preserve">CORE QUESTION  </w:t>
            </w:r>
            <w:r>
              <w:rPr>
                <w:rFonts w:ascii="Arial" w:hAnsi="Arial" w:eastAsia="Arial"/>
                <w:b w:val="0"/>
                <w:color w:val="151020"/>
                <w:sz w:val="20"/>
              </w:rPr>
              <w:t>For whom does tokenized access to time create genuine, repeatable value—and what product makes that value safe, understandable and useful?</w:t>
            </w:r>
          </w:p>
        </w:tc>
      </w:tr>
    </w:tbl>
    <w:p>
      <w:pPr>
        <w:spacing w:before="0" w:after="80" w:line="320" w:lineRule="auto"/>
      </w:pPr>
      <w:r>
        <w:rPr>
          <w:rFonts w:ascii="Arial" w:hAnsi="Arial" w:eastAsia="Arial"/>
          <w:b w:val="0"/>
          <w:i w:val="0"/>
          <w:color w:val="151020"/>
          <w:sz w:val="2"/>
        </w:rPr>
      </w:r>
    </w:p>
    <w:p>
      <w:pPr>
        <w:pStyle w:val="Heading2"/>
      </w:pPr>
      <w:r>
        <w:t>Design principles</w:t>
      </w:r>
    </w:p>
    <w:p>
      <w:pPr>
        <w:numPr>
          <w:ilvl w:val="0"/>
          <w:numId w:val="10"/>
        </w:numPr>
        <w:spacing w:before="0" w:after="80" w:line="290" w:lineRule="auto"/>
      </w:pPr>
      <w:r>
        <w:rPr>
          <w:rFonts w:ascii="Arial" w:hAnsi="Arial" w:eastAsia="Arial"/>
          <w:b/>
          <w:color w:val="151020"/>
          <w:sz w:val="22"/>
        </w:rPr>
        <w:t xml:space="preserve">Niche before scale. </w:t>
      </w:r>
      <w:r>
        <w:rPr>
          <w:rFonts w:ascii="Arial" w:hAnsi="Arial" w:eastAsia="Arial"/>
          <w:color w:val="151020"/>
          <w:sz w:val="22"/>
        </w:rPr>
        <w:t>Teams begin with a narrow user group and a specific job to be done.</w:t>
      </w:r>
    </w:p>
    <w:p>
      <w:pPr>
        <w:numPr>
          <w:ilvl w:val="0"/>
          <w:numId w:val="10"/>
        </w:numPr>
        <w:spacing w:before="0" w:after="80" w:line="290" w:lineRule="auto"/>
      </w:pPr>
      <w:r>
        <w:rPr>
          <w:rFonts w:ascii="Arial" w:hAnsi="Arial" w:eastAsia="Arial"/>
          <w:b/>
          <w:color w:val="151020"/>
          <w:sz w:val="22"/>
        </w:rPr>
        <w:t xml:space="preserve">Working product before pitch polish. </w:t>
      </w:r>
      <w:r>
        <w:rPr>
          <w:rFonts w:ascii="Arial" w:hAnsi="Arial" w:eastAsia="Arial"/>
          <w:color w:val="151020"/>
          <w:sz w:val="22"/>
        </w:rPr>
        <w:t>A functioning user journey matters more than a long presentation.</w:t>
      </w:r>
    </w:p>
    <w:p>
      <w:pPr>
        <w:numPr>
          <w:ilvl w:val="0"/>
          <w:numId w:val="10"/>
        </w:numPr>
        <w:spacing w:before="0" w:after="80" w:line="290" w:lineRule="auto"/>
      </w:pPr>
      <w:r>
        <w:rPr>
          <w:rFonts w:ascii="Arial" w:hAnsi="Arial" w:eastAsia="Arial"/>
          <w:b/>
          <w:color w:val="151020"/>
          <w:sz w:val="22"/>
        </w:rPr>
        <w:t xml:space="preserve">Evidence before assumptions. </w:t>
      </w:r>
      <w:r>
        <w:rPr>
          <w:rFonts w:ascii="Arial" w:hAnsi="Arial" w:eastAsia="Arial"/>
          <w:color w:val="151020"/>
          <w:sz w:val="22"/>
        </w:rPr>
        <w:t>Teams seek conversations, usage signals or other concrete feedback.</w:t>
      </w:r>
    </w:p>
    <w:p>
      <w:pPr>
        <w:numPr>
          <w:ilvl w:val="0"/>
          <w:numId w:val="10"/>
        </w:numPr>
        <w:spacing w:before="0" w:after="80" w:line="290" w:lineRule="auto"/>
      </w:pPr>
      <w:r>
        <w:rPr>
          <w:rFonts w:ascii="Arial" w:hAnsi="Arial" w:eastAsia="Arial"/>
          <w:b/>
          <w:color w:val="151020"/>
          <w:sz w:val="22"/>
        </w:rPr>
        <w:t xml:space="preserve">Iteration before awards. </w:t>
      </w:r>
      <w:r>
        <w:rPr>
          <w:rFonts w:ascii="Arial" w:hAnsi="Arial" w:eastAsia="Arial"/>
          <w:color w:val="151020"/>
          <w:sz w:val="22"/>
        </w:rPr>
        <w:t>Every checkpoint should show what changed and why.</w:t>
      </w:r>
    </w:p>
    <w:p>
      <w:pPr>
        <w:numPr>
          <w:ilvl w:val="0"/>
          <w:numId w:val="10"/>
        </w:numPr>
        <w:spacing w:before="0" w:after="80" w:line="290" w:lineRule="auto"/>
      </w:pPr>
      <w:r>
        <w:rPr>
          <w:rFonts w:ascii="Arial" w:hAnsi="Arial" w:eastAsia="Arial"/>
          <w:b/>
          <w:color w:val="151020"/>
          <w:sz w:val="22"/>
        </w:rPr>
        <w:t xml:space="preserve">Continuation before closure. </w:t>
      </w:r>
      <w:r>
        <w:rPr>
          <w:rFonts w:ascii="Arial" w:hAnsi="Arial" w:eastAsia="Arial"/>
          <w:color w:val="151020"/>
          <w:sz w:val="22"/>
        </w:rPr>
        <w:t>Sunday creates the next build plan rather than declaring the work finished.</w:t>
      </w:r>
    </w:p>
    <w:p>
      <w:pPr>
        <w:pStyle w:val="Heading2"/>
      </w:pPr>
      <w:r>
        <w:t>Participant and ecosystem outcomes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For builders</w:t>
            </w:r>
          </w:p>
        </w:tc>
        <w:tc>
          <w:tcPr>
            <w:tcW w:type="dxa" w:w="312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For the local ecosystem</w:t>
            </w:r>
          </w:p>
        </w:tc>
        <w:tc>
          <w:tcPr>
            <w:tcW w:type="dxa" w:w="312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For Colosseum</w:t>
            </w:r>
          </w:p>
        </w:tc>
      </w:tr>
      <w:tr>
        <w:trPr>
          <w:cantSplit/>
        </w:trPr>
        <w:tc>
          <w:tcPr>
            <w:tcW w:type="dxa" w:w="312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Practical Solana and AI-assisted building experience</w:t>
            </w:r>
          </w:p>
        </w:tc>
        <w:tc>
          <w:tcPr>
            <w:tcW w:type="dxa" w:w="312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A visible, repeatable product-building format in Da Nang</w:t>
            </w:r>
          </w:p>
        </w:tc>
        <w:tc>
          <w:tcPr>
            <w:tcW w:type="dxa" w:w="312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More prepared teams with clearer product scope</w:t>
            </w:r>
          </w:p>
        </w:tc>
      </w:tr>
      <w:tr>
        <w:trPr>
          <w:cantSplit/>
        </w:trPr>
        <w:tc>
          <w:tcPr>
            <w:tcW w:type="dxa" w:w="312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A working project page and feedback history</w:t>
            </w:r>
          </w:p>
        </w:tc>
        <w:tc>
          <w:tcPr>
            <w:tcW w:type="dxa" w:w="312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Connections among university and independent builders</w:t>
            </w:r>
          </w:p>
        </w:tc>
        <w:tc>
          <w:tcPr>
            <w:tcW w:type="dxa" w:w="312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Projects that can use the five-week competition effectively</w:t>
            </w:r>
          </w:p>
        </w:tc>
      </w:tr>
      <w:tr>
        <w:trPr>
          <w:cantSplit/>
        </w:trPr>
        <w:tc>
          <w:tcPr>
            <w:tcW w:type="dxa" w:w="312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A team, prototype and continuation roadmap</w:t>
            </w:r>
          </w:p>
        </w:tc>
        <w:tc>
          <w:tcPr>
            <w:tcW w:type="dxa" w:w="312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Documented projects and media for future programs</w:t>
            </w:r>
          </w:p>
        </w:tc>
        <w:tc>
          <w:tcPr>
            <w:tcW w:type="dxa" w:w="312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A stronger pathway into the Superteam Vietnam subtrack</w:t>
            </w:r>
          </w:p>
        </w:tc>
      </w:tr>
    </w:tbl>
    <w:p>
      <w:r>
        <w:br w:type="page"/>
      </w:r>
    </w:p>
    <w:p>
      <w:pPr>
        <w:spacing w:before="0" w:after="80" w:line="320" w:lineRule="auto"/>
      </w:pPr>
      <w:r>
        <w:rPr>
          <w:rFonts w:ascii="Courier New" w:hAnsi="Courier New" w:eastAsia="Courier New"/>
          <w:b/>
          <w:i w:val="0"/>
          <w:color w:val="6D45B8"/>
          <w:sz w:val="18"/>
        </w:rPr>
        <w:t>03 / LEARNING PLATFORM</w:t>
      </w:r>
    </w:p>
    <w:p>
      <w:pPr>
        <w:pStyle w:val="Heading1"/>
      </w:pPr>
      <w:r>
        <w:t>The website is the program—not just an event page</w:t>
      </w:r>
    </w:p>
    <w:p>
      <w:pPr>
        <w:spacing w:before="0" w:after="240" w:line="307" w:lineRule="auto"/>
      </w:pPr>
      <w:r>
        <w:rPr>
          <w:rFonts w:ascii="Arial" w:hAnsi="Arial" w:eastAsia="Arial"/>
          <w:b w:val="0"/>
          <w:i w:val="0"/>
          <w:color w:val="625A6E"/>
          <w:sz w:val="22"/>
        </w:rPr>
        <w:t>All event materials are available online two weeks before the in-person weekend. The website acts as the learning environment, the project workspace, the feedback record and the direct submission channel.</w:t>
      </w:r>
    </w:p>
    <w:p>
      <w:pPr>
        <w:pStyle w:val="Heading2"/>
      </w:pPr>
      <w:r>
        <w:t>Participant journey</w:t>
      </w:r>
    </w:p>
    <w:p>
      <w:pPr>
        <w:numPr>
          <w:ilvl w:val="0"/>
          <w:numId w:val="11"/>
        </w:numPr>
        <w:spacing w:before="0" w:after="80" w:line="290" w:lineRule="auto"/>
      </w:pPr>
      <w:r>
        <w:rPr>
          <w:rFonts w:ascii="Arial" w:hAnsi="Arial" w:eastAsia="Arial"/>
          <w:b/>
          <w:color w:val="151020"/>
          <w:sz w:val="22"/>
        </w:rPr>
        <w:t xml:space="preserve">Learn. </w:t>
      </w:r>
      <w:r>
        <w:rPr>
          <w:rFonts w:ascii="Arial" w:hAnsi="Arial" w:eastAsia="Arial"/>
          <w:color w:val="151020"/>
          <w:sz w:val="22"/>
        </w:rPr>
        <w:t>Understand the time-market thesis, Solana foundations, product scoping and AI-agent workflows.</w:t>
      </w:r>
    </w:p>
    <w:p>
      <w:pPr>
        <w:numPr>
          <w:ilvl w:val="0"/>
          <w:numId w:val="11"/>
        </w:numPr>
        <w:spacing w:before="0" w:after="80" w:line="290" w:lineRule="auto"/>
      </w:pPr>
      <w:r>
        <w:rPr>
          <w:rFonts w:ascii="Arial" w:hAnsi="Arial" w:eastAsia="Arial"/>
          <w:b/>
          <w:color w:val="151020"/>
          <w:sz w:val="22"/>
        </w:rPr>
        <w:t xml:space="preserve">Form. </w:t>
      </w:r>
      <w:r>
        <w:rPr>
          <w:rFonts w:ascii="Arial" w:hAnsi="Arial" w:eastAsia="Arial"/>
          <w:color w:val="151020"/>
          <w:sz w:val="22"/>
        </w:rPr>
        <w:t>Create or join a team, choose a niche and open a public or organizer-visible project workspace.</w:t>
      </w:r>
    </w:p>
    <w:p>
      <w:pPr>
        <w:numPr>
          <w:ilvl w:val="0"/>
          <w:numId w:val="11"/>
        </w:numPr>
        <w:spacing w:before="0" w:after="80" w:line="290" w:lineRule="auto"/>
      </w:pPr>
      <w:r>
        <w:rPr>
          <w:rFonts w:ascii="Arial" w:hAnsi="Arial" w:eastAsia="Arial"/>
          <w:b/>
          <w:color w:val="151020"/>
          <w:sz w:val="22"/>
        </w:rPr>
        <w:t xml:space="preserve">Frame. </w:t>
      </w:r>
      <w:r>
        <w:rPr>
          <w:rFonts w:ascii="Arial" w:hAnsi="Arial" w:eastAsia="Arial"/>
          <w:color w:val="151020"/>
          <w:sz w:val="22"/>
        </w:rPr>
        <w:t>Submit the target user, problem, proposed value exchange and smallest testable product.</w:t>
      </w:r>
    </w:p>
    <w:p>
      <w:pPr>
        <w:numPr>
          <w:ilvl w:val="0"/>
          <w:numId w:val="11"/>
        </w:numPr>
        <w:spacing w:before="0" w:after="80" w:line="290" w:lineRule="auto"/>
      </w:pPr>
      <w:r>
        <w:rPr>
          <w:rFonts w:ascii="Arial" w:hAnsi="Arial" w:eastAsia="Arial"/>
          <w:b/>
          <w:color w:val="151020"/>
          <w:sz w:val="22"/>
        </w:rPr>
        <w:t xml:space="preserve">Build. </w:t>
      </w:r>
      <w:r>
        <w:rPr>
          <w:rFonts w:ascii="Arial" w:hAnsi="Arial" w:eastAsia="Arial"/>
          <w:color w:val="151020"/>
          <w:sz w:val="22"/>
        </w:rPr>
        <w:t>Publish checkpoints, receive online feedback and arrive in person with the environment already working.</w:t>
      </w:r>
    </w:p>
    <w:p>
      <w:pPr>
        <w:numPr>
          <w:ilvl w:val="0"/>
          <w:numId w:val="11"/>
        </w:numPr>
        <w:spacing w:before="0" w:after="80" w:line="290" w:lineRule="auto"/>
      </w:pPr>
      <w:r>
        <w:rPr>
          <w:rFonts w:ascii="Arial" w:hAnsi="Arial" w:eastAsia="Arial"/>
          <w:b/>
          <w:color w:val="151020"/>
          <w:sz w:val="22"/>
        </w:rPr>
        <w:t xml:space="preserve">Iterate. </w:t>
      </w:r>
      <w:r>
        <w:rPr>
          <w:rFonts w:ascii="Arial" w:hAnsi="Arial" w:eastAsia="Arial"/>
          <w:color w:val="151020"/>
          <w:sz w:val="22"/>
        </w:rPr>
        <w:t>Use Friday, Saturday and Sunday feedback to update the product and document what changed.</w:t>
      </w:r>
    </w:p>
    <w:p>
      <w:pPr>
        <w:numPr>
          <w:ilvl w:val="0"/>
          <w:numId w:val="11"/>
        </w:numPr>
        <w:spacing w:before="0" w:after="80" w:line="290" w:lineRule="auto"/>
      </w:pPr>
      <w:r>
        <w:rPr>
          <w:rFonts w:ascii="Arial" w:hAnsi="Arial" w:eastAsia="Arial"/>
          <w:b/>
          <w:color w:val="151020"/>
          <w:sz w:val="22"/>
        </w:rPr>
        <w:t xml:space="preserve">Continue. </w:t>
      </w:r>
      <w:r>
        <w:rPr>
          <w:rFonts w:ascii="Arial" w:hAnsi="Arial" w:eastAsia="Arial"/>
          <w:color w:val="151020"/>
          <w:sz w:val="22"/>
        </w:rPr>
        <w:t>Carry the project into the Superteam Vietnam subtrack and the wider Colosseum period.</w:t>
      </w:r>
    </w:p>
    <w:p>
      <w:pPr>
        <w:pStyle w:val="Heading2"/>
      </w:pPr>
      <w:r>
        <w:t>Website capabilities</w:t>
      </w:r>
    </w:p>
    <w:p>
      <w:pPr>
        <w:numPr>
          <w:ilvl w:val="0"/>
          <w:numId w:val="10"/>
        </w:numPr>
        <w:spacing w:before="0" w:after="80" w:line="290" w:lineRule="auto"/>
      </w:pPr>
      <w:r>
        <w:rPr>
          <w:rFonts w:ascii="Arial" w:hAnsi="Arial" w:eastAsia="Arial"/>
          <w:b/>
          <w:color w:val="151020"/>
          <w:sz w:val="22"/>
        </w:rPr>
        <w:t xml:space="preserve">Learning library. </w:t>
      </w:r>
      <w:r>
        <w:rPr>
          <w:rFonts w:ascii="Arial" w:hAnsi="Arial" w:eastAsia="Arial"/>
          <w:color w:val="151020"/>
          <w:sz w:val="22"/>
        </w:rPr>
        <w:t>Topic explainers, niche prompts, Solana fundamentals, AI-agent building guidance, product-validation material and demo preparation.</w:t>
      </w:r>
    </w:p>
    <w:p>
      <w:pPr>
        <w:numPr>
          <w:ilvl w:val="0"/>
          <w:numId w:val="10"/>
        </w:numPr>
        <w:spacing w:before="0" w:after="80" w:line="290" w:lineRule="auto"/>
      </w:pPr>
      <w:r>
        <w:rPr>
          <w:rFonts w:ascii="Arial" w:hAnsi="Arial" w:eastAsia="Arial"/>
          <w:b/>
          <w:color w:val="151020"/>
          <w:sz w:val="22"/>
        </w:rPr>
        <w:t xml:space="preserve">Project workspaces. </w:t>
      </w:r>
      <w:r>
        <w:rPr>
          <w:rFonts w:ascii="Arial" w:hAnsi="Arial" w:eastAsia="Arial"/>
          <w:color w:val="151020"/>
          <w:sz w:val="22"/>
        </w:rPr>
        <w:t>Team profile, target user, product hypothesis, links, screenshots and build status.</w:t>
      </w:r>
    </w:p>
    <w:p>
      <w:pPr>
        <w:numPr>
          <w:ilvl w:val="0"/>
          <w:numId w:val="10"/>
        </w:numPr>
        <w:spacing w:before="0" w:after="80" w:line="290" w:lineRule="auto"/>
      </w:pPr>
      <w:r>
        <w:rPr>
          <w:rFonts w:ascii="Arial" w:hAnsi="Arial" w:eastAsia="Arial"/>
          <w:b/>
          <w:color w:val="151020"/>
          <w:sz w:val="22"/>
        </w:rPr>
        <w:t xml:space="preserve">Iteration and feedback. </w:t>
      </w:r>
      <w:r>
        <w:rPr>
          <w:rFonts w:ascii="Arial" w:hAnsi="Arial" w:eastAsia="Arial"/>
          <w:color w:val="151020"/>
          <w:sz w:val="22"/>
        </w:rPr>
        <w:t>Structured checkpoints show progress and evidence while mentor and peer comments remain attached to the work.</w:t>
      </w:r>
    </w:p>
    <w:p>
      <w:pPr>
        <w:numPr>
          <w:ilvl w:val="0"/>
          <w:numId w:val="10"/>
        </w:numPr>
        <w:spacing w:before="0" w:after="80" w:line="290" w:lineRule="auto"/>
      </w:pPr>
      <w:r>
        <w:rPr>
          <w:rFonts w:ascii="Arial" w:hAnsi="Arial" w:eastAsia="Arial"/>
          <w:b/>
          <w:color w:val="151020"/>
          <w:sz w:val="22"/>
        </w:rPr>
        <w:t xml:space="preserve">Submission and continuation. </w:t>
      </w:r>
      <w:r>
        <w:rPr>
          <w:rFonts w:ascii="Arial" w:hAnsi="Arial" w:eastAsia="Arial"/>
          <w:color w:val="151020"/>
          <w:sz w:val="22"/>
        </w:rPr>
        <w:t>The website records Sunday's submission and demo QR code, then remains open for subtrack updates.</w:t>
      </w:r>
    </w:p>
    <w:p>
      <w:r>
        <w:br w:type="page"/>
      </w:r>
    </w:p>
    <w:p>
      <w:pPr>
        <w:spacing w:before="0" w:after="80" w:line="320" w:lineRule="auto"/>
      </w:pPr>
      <w:r>
        <w:rPr>
          <w:rFonts w:ascii="Courier New" w:hAnsi="Courier New" w:eastAsia="Courier New"/>
          <w:b/>
          <w:i w:val="0"/>
          <w:color w:val="6D45B8"/>
          <w:sz w:val="18"/>
        </w:rPr>
        <w:t>03 / ONLINE DELIVERY</w:t>
      </w:r>
    </w:p>
    <w:p>
      <w:pPr>
        <w:pStyle w:val="Heading1"/>
      </w:pPr>
      <w:r>
        <w:t>Two weeks of preparation before the venue opens</w:t>
      </w:r>
    </w:p>
    <w:p>
      <w:pPr>
        <w:spacing w:before="0" w:after="240" w:line="307" w:lineRule="auto"/>
      </w:pPr>
      <w:r>
        <w:rPr>
          <w:rFonts w:ascii="Arial" w:hAnsi="Arial" w:eastAsia="Arial"/>
          <w:b w:val="0"/>
          <w:i w:val="0"/>
          <w:color w:val="625A6E"/>
          <w:sz w:val="22"/>
        </w:rPr>
        <w:t>The pre-event period removes basic onboarding from the physical weekend. Teams progress through clear readiness milestones while the same website holds their learning material, project state and feedback.</w:t>
      </w:r>
    </w:p>
    <w:p>
      <w:pPr>
        <w:pStyle w:val="Heading2"/>
      </w:pPr>
      <w:r>
        <w:t>Program calendar</w:t>
      </w:r>
    </w:p>
    <w:tbl>
      <w:tblPr>
        <w:tblW w:type="dxa" w:w="9360"/>
        <w:jc w:val="left"/>
        <w:tblLayout w:type="fixed"/>
        <w:tblLook w:firstColumn="1" w:firstRow="1" w:lastColumn="0" w:lastRow="0" w:noHBand="0" w:noVBand="1" w:val="04A0"/>
        <w:tblInd w:w="120" w:type="dxa"/>
      </w:tblPr>
      <w:tblGrid>
        <w:gridCol w:w="1500"/>
        <w:gridCol w:w="1500"/>
        <w:gridCol w:w="6360"/>
      </w:tblGrid>
      <w:tr>
        <w:trPr>
          <w:tblHeader w:val="true"/>
        </w:trPr>
        <w:tc>
          <w:tcPr>
            <w:tcW w:type="dxa" w:w="150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center"/>
            </w:pPr>
            <w:r>
              <w:rPr>
                <w:rFonts w:ascii="Arial" w:hAnsi="Arial" w:eastAsia="Arial"/>
                <w:b/>
                <w:color w:val="FFFFFF"/>
                <w:sz w:val="17"/>
              </w:rPr>
              <w:t>Date</w:t>
            </w:r>
          </w:p>
        </w:tc>
        <w:tc>
          <w:tcPr>
            <w:tcW w:type="dxa" w:w="150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center"/>
            </w:pPr>
            <w:r>
              <w:rPr>
                <w:rFonts w:ascii="Arial" w:hAnsi="Arial" w:eastAsia="Arial"/>
                <w:b/>
                <w:color w:val="FFFFFF"/>
                <w:sz w:val="17"/>
              </w:rPr>
              <w:t>Mode</w:t>
            </w:r>
          </w:p>
        </w:tc>
        <w:tc>
          <w:tcPr>
            <w:tcW w:type="dxa" w:w="636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Milestone</w:t>
            </w:r>
          </w:p>
        </w:tc>
      </w:tr>
      <w:tr>
        <w:trPr>
          <w:cantSplit/>
        </w:trPr>
        <w:tc>
          <w:tcPr>
            <w:tcW w:type="dxa" w:w="1500"/>
            <w:tcBorders>
              <w:top w:val="single" w:sz="4" w:color="D9D2E3"/>
              <w:bottom w:val="single" w:sz="4" w:color="D9D2E3"/>
              <w:start w:val="single" w:sz="4" w:color="D9D2E3"/>
              <w:end w:val="single" w:sz="4" w:color="D9D2E3"/>
            </w:tcBorders>
          </w:tcPr>
          <w:p>
            <w:pPr>
              <w:pStyle w:val="TableBody"/>
              <w:jc w:val="center"/>
            </w:pPr>
            <w:r>
              <w:rPr>
                <w:rFonts w:ascii="Arial" w:hAnsi="Arial" w:eastAsia="Arial"/>
                <w:color w:val="151020"/>
                <w:sz w:val="18"/>
              </w:rPr>
              <w:t>4 Sep</w:t>
            </w:r>
          </w:p>
        </w:tc>
        <w:tc>
          <w:tcPr>
            <w:tcW w:type="dxa" w:w="1500"/>
            <w:tcBorders>
              <w:top w:val="single" w:sz="4" w:color="D9D2E3"/>
              <w:bottom w:val="single" w:sz="4" w:color="D9D2E3"/>
              <w:start w:val="single" w:sz="4" w:color="D9D2E3"/>
              <w:end w:val="single" w:sz="4" w:color="D9D2E3"/>
            </w:tcBorders>
          </w:tcPr>
          <w:p>
            <w:pPr>
              <w:pStyle w:val="TableBody"/>
              <w:jc w:val="center"/>
            </w:pPr>
            <w:r>
              <w:rPr>
                <w:rFonts w:ascii="Arial" w:hAnsi="Arial" w:eastAsia="Arial"/>
                <w:color w:val="151020"/>
                <w:sz w:val="18"/>
              </w:rPr>
              <w:t>Online</w:t>
            </w:r>
          </w:p>
        </w:tc>
        <w:tc>
          <w:tcPr>
            <w:tcW w:type="dxa" w:w="63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Learning platform, registration and project workspaces open</w:t>
            </w:r>
          </w:p>
        </w:tc>
      </w:tr>
      <w:tr>
        <w:trPr>
          <w:cantSplit/>
        </w:trPr>
        <w:tc>
          <w:tcPr>
            <w:tcW w:type="dxa" w:w="1500"/>
            <w:shd w:fill="F7F5FA"/>
            <w:tcBorders>
              <w:top w:val="single" w:sz="4" w:color="D9D2E3"/>
              <w:bottom w:val="single" w:sz="4" w:color="D9D2E3"/>
              <w:start w:val="single" w:sz="4" w:color="D9D2E3"/>
              <w:end w:val="single" w:sz="4" w:color="D9D2E3"/>
            </w:tcBorders>
          </w:tcPr>
          <w:p>
            <w:pPr>
              <w:pStyle w:val="TableBody"/>
              <w:jc w:val="center"/>
            </w:pPr>
            <w:r>
              <w:rPr>
                <w:rFonts w:ascii="Arial" w:hAnsi="Arial" w:eastAsia="Arial"/>
                <w:color w:val="151020"/>
                <w:sz w:val="18"/>
              </w:rPr>
              <w:t>4–10 Sep</w:t>
            </w:r>
          </w:p>
        </w:tc>
        <w:tc>
          <w:tcPr>
            <w:tcW w:type="dxa" w:w="1500"/>
            <w:shd w:fill="F7F5FA"/>
            <w:tcBorders>
              <w:top w:val="single" w:sz="4" w:color="D9D2E3"/>
              <w:bottom w:val="single" w:sz="4" w:color="D9D2E3"/>
              <w:start w:val="single" w:sz="4" w:color="D9D2E3"/>
              <w:end w:val="single" w:sz="4" w:color="D9D2E3"/>
            </w:tcBorders>
          </w:tcPr>
          <w:p>
            <w:pPr>
              <w:pStyle w:val="TableBody"/>
              <w:jc w:val="center"/>
            </w:pPr>
            <w:r>
              <w:rPr>
                <w:rFonts w:ascii="Arial" w:hAnsi="Arial" w:eastAsia="Arial"/>
                <w:color w:val="151020"/>
                <w:sz w:val="18"/>
              </w:rPr>
              <w:t>Online</w:t>
            </w:r>
          </w:p>
        </w:tc>
        <w:tc>
          <w:tcPr>
            <w:tcW w:type="dxa" w:w="63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Learn, team formation and niche selection</w:t>
            </w:r>
          </w:p>
        </w:tc>
      </w:tr>
      <w:tr>
        <w:trPr>
          <w:cantSplit/>
        </w:trPr>
        <w:tc>
          <w:tcPr>
            <w:tcW w:type="dxa" w:w="1500"/>
            <w:tcBorders>
              <w:top w:val="single" w:sz="4" w:color="D9D2E3"/>
              <w:bottom w:val="single" w:sz="4" w:color="D9D2E3"/>
              <w:start w:val="single" w:sz="4" w:color="D9D2E3"/>
              <w:end w:val="single" w:sz="4" w:color="D9D2E3"/>
            </w:tcBorders>
          </w:tcPr>
          <w:p>
            <w:pPr>
              <w:pStyle w:val="TableBody"/>
              <w:jc w:val="center"/>
            </w:pPr>
            <w:r>
              <w:rPr>
                <w:rFonts w:ascii="Arial" w:hAnsi="Arial" w:eastAsia="Arial"/>
                <w:color w:val="151020"/>
                <w:sz w:val="18"/>
              </w:rPr>
              <w:t>11–17 Sep</w:t>
            </w:r>
          </w:p>
        </w:tc>
        <w:tc>
          <w:tcPr>
            <w:tcW w:type="dxa" w:w="1500"/>
            <w:tcBorders>
              <w:top w:val="single" w:sz="4" w:color="D9D2E3"/>
              <w:bottom w:val="single" w:sz="4" w:color="D9D2E3"/>
              <w:start w:val="single" w:sz="4" w:color="D9D2E3"/>
              <w:end w:val="single" w:sz="4" w:color="D9D2E3"/>
            </w:tcBorders>
          </w:tcPr>
          <w:p>
            <w:pPr>
              <w:pStyle w:val="TableBody"/>
              <w:jc w:val="center"/>
            </w:pPr>
            <w:r>
              <w:rPr>
                <w:rFonts w:ascii="Arial" w:hAnsi="Arial" w:eastAsia="Arial"/>
                <w:color w:val="151020"/>
                <w:sz w:val="18"/>
              </w:rPr>
              <w:t>Online</w:t>
            </w:r>
          </w:p>
        </w:tc>
        <w:tc>
          <w:tcPr>
            <w:tcW w:type="dxa" w:w="63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Initial project hypothesis, first build and readiness check</w:t>
            </w:r>
          </w:p>
        </w:tc>
      </w:tr>
      <w:tr>
        <w:trPr>
          <w:cantSplit/>
        </w:trPr>
        <w:tc>
          <w:tcPr>
            <w:tcW w:type="dxa" w:w="1500"/>
            <w:shd w:fill="F7F5FA"/>
            <w:tcBorders>
              <w:top w:val="single" w:sz="4" w:color="D9D2E3"/>
              <w:bottom w:val="single" w:sz="4" w:color="D9D2E3"/>
              <w:start w:val="single" w:sz="4" w:color="D9D2E3"/>
              <w:end w:val="single" w:sz="4" w:color="D9D2E3"/>
            </w:tcBorders>
          </w:tcPr>
          <w:p>
            <w:pPr>
              <w:pStyle w:val="TableBody"/>
              <w:jc w:val="center"/>
            </w:pPr>
            <w:r>
              <w:rPr>
                <w:rFonts w:ascii="Arial" w:hAnsi="Arial" w:eastAsia="Arial"/>
                <w:color w:val="151020"/>
                <w:sz w:val="18"/>
              </w:rPr>
              <w:t>18–20 Sep</w:t>
            </w:r>
          </w:p>
        </w:tc>
        <w:tc>
          <w:tcPr>
            <w:tcW w:type="dxa" w:w="1500"/>
            <w:shd w:fill="F7F5FA"/>
            <w:tcBorders>
              <w:top w:val="single" w:sz="4" w:color="D9D2E3"/>
              <w:bottom w:val="single" w:sz="4" w:color="D9D2E3"/>
              <w:start w:val="single" w:sz="4" w:color="D9D2E3"/>
              <w:end w:val="single" w:sz="4" w:color="D9D2E3"/>
            </w:tcBorders>
          </w:tcPr>
          <w:p>
            <w:pPr>
              <w:pStyle w:val="TableBody"/>
              <w:jc w:val="center"/>
            </w:pPr>
            <w:r>
              <w:rPr>
                <w:rFonts w:ascii="Arial" w:hAnsi="Arial" w:eastAsia="Arial"/>
                <w:color w:val="151020"/>
                <w:sz w:val="18"/>
              </w:rPr>
              <w:t>Da Nang</w:t>
            </w:r>
          </w:p>
        </w:tc>
        <w:tc>
          <w:tcPr>
            <w:tcW w:type="dxa" w:w="63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Kickoff, focused build day and demo morning</w:t>
            </w:r>
          </w:p>
        </w:tc>
      </w:tr>
      <w:tr>
        <w:trPr>
          <w:cantSplit/>
        </w:trPr>
        <w:tc>
          <w:tcPr>
            <w:tcW w:type="dxa" w:w="1500"/>
            <w:tcBorders>
              <w:top w:val="single" w:sz="4" w:color="D9D2E3"/>
              <w:bottom w:val="single" w:sz="4" w:color="D9D2E3"/>
              <w:start w:val="single" w:sz="4" w:color="D9D2E3"/>
              <w:end w:val="single" w:sz="4" w:color="D9D2E3"/>
            </w:tcBorders>
          </w:tcPr>
          <w:p>
            <w:pPr>
              <w:pStyle w:val="TableBody"/>
              <w:jc w:val="center"/>
            </w:pPr>
            <w:r>
              <w:rPr>
                <w:rFonts w:ascii="Arial" w:hAnsi="Arial" w:eastAsia="Arial"/>
                <w:color w:val="151020"/>
                <w:sz w:val="18"/>
              </w:rPr>
              <w:t>21–27 Sep</w:t>
            </w:r>
          </w:p>
        </w:tc>
        <w:tc>
          <w:tcPr>
            <w:tcW w:type="dxa" w:w="1500"/>
            <w:tcBorders>
              <w:top w:val="single" w:sz="4" w:color="D9D2E3"/>
              <w:bottom w:val="single" w:sz="4" w:color="D9D2E3"/>
              <w:start w:val="single" w:sz="4" w:color="D9D2E3"/>
              <w:end w:val="single" w:sz="4" w:color="D9D2E3"/>
            </w:tcBorders>
          </w:tcPr>
          <w:p>
            <w:pPr>
              <w:pStyle w:val="TableBody"/>
              <w:jc w:val="center"/>
            </w:pPr>
            <w:r>
              <w:rPr>
                <w:rFonts w:ascii="Arial" w:hAnsi="Arial" w:eastAsia="Arial"/>
                <w:color w:val="151020"/>
                <w:sz w:val="18"/>
              </w:rPr>
              <w:t>Online</w:t>
            </w:r>
          </w:p>
        </w:tc>
        <w:tc>
          <w:tcPr>
            <w:tcW w:type="dxa" w:w="63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Post-event iteration and Colosseum preparation</w:t>
            </w:r>
          </w:p>
        </w:tc>
      </w:tr>
      <w:tr>
        <w:trPr>
          <w:cantSplit/>
        </w:trPr>
        <w:tc>
          <w:tcPr>
            <w:tcW w:type="dxa" w:w="1500"/>
            <w:shd w:fill="F7F5FA"/>
            <w:tcBorders>
              <w:top w:val="single" w:sz="4" w:color="D9D2E3"/>
              <w:bottom w:val="single" w:sz="4" w:color="D9D2E3"/>
              <w:start w:val="single" w:sz="4" w:color="D9D2E3"/>
              <w:end w:val="single" w:sz="4" w:color="D9D2E3"/>
            </w:tcBorders>
          </w:tcPr>
          <w:p>
            <w:pPr>
              <w:pStyle w:val="TableBody"/>
              <w:jc w:val="center"/>
            </w:pPr>
            <w:r>
              <w:rPr>
                <w:rFonts w:ascii="Arial" w:hAnsi="Arial" w:eastAsia="Arial"/>
                <w:color w:val="151020"/>
                <w:sz w:val="18"/>
              </w:rPr>
              <w:t>28 Sep–2 Nov</w:t>
            </w:r>
          </w:p>
        </w:tc>
        <w:tc>
          <w:tcPr>
            <w:tcW w:type="dxa" w:w="1500"/>
            <w:shd w:fill="F7F5FA"/>
            <w:tcBorders>
              <w:top w:val="single" w:sz="4" w:color="D9D2E3"/>
              <w:bottom w:val="single" w:sz="4" w:color="D9D2E3"/>
              <w:start w:val="single" w:sz="4" w:color="D9D2E3"/>
              <w:end w:val="single" w:sz="4" w:color="D9D2E3"/>
            </w:tcBorders>
          </w:tcPr>
          <w:p>
            <w:pPr>
              <w:pStyle w:val="TableBody"/>
              <w:jc w:val="center"/>
            </w:pPr>
            <w:r>
              <w:rPr>
                <w:rFonts w:ascii="Arial" w:hAnsi="Arial" w:eastAsia="Arial"/>
                <w:color w:val="151020"/>
                <w:sz w:val="18"/>
              </w:rPr>
              <w:t>Online</w:t>
            </w:r>
          </w:p>
        </w:tc>
        <w:tc>
          <w:tcPr>
            <w:tcW w:type="dxa" w:w="63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Fall Colosseum hackathon period</w:t>
            </w:r>
          </w:p>
        </w:tc>
      </w:tr>
    </w:tbl>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8F5EE"/>
            <w:tcBorders>
              <w:top w:val="nil"/>
              <w:bottom w:val="nil"/>
              <w:start w:val="single" w:sz="24" w:color="267A55"/>
              <w:end w:val="nil"/>
            </w:tcBorders>
          </w:tcPr>
          <w:p>
            <w:pPr>
              <w:pStyle w:val="TableBody"/>
              <w:spacing w:before="40" w:after="40"/>
            </w:pPr>
            <w:r>
              <w:rPr>
                <w:rFonts w:ascii="Courier New" w:hAnsi="Courier New" w:eastAsia="Courier New"/>
                <w:b/>
                <w:color w:val="267A55"/>
                <w:sz w:val="18"/>
              </w:rPr>
              <w:t xml:space="preserve">READINESS GATE  </w:t>
            </w:r>
            <w:r>
              <w:rPr>
                <w:rFonts w:ascii="Arial" w:hAnsi="Arial" w:eastAsia="Arial"/>
                <w:b w:val="0"/>
                <w:color w:val="151020"/>
                <w:sz w:val="20"/>
              </w:rPr>
              <w:t>By 17 September, every participating team should have a target user, a scoped product hypothesis, a working development environment and an initial website checkpoint. This is what makes the compact in-person schedule viable.</w:t>
            </w:r>
          </w:p>
        </w:tc>
      </w:tr>
    </w:tbl>
    <w:p>
      <w:pPr>
        <w:spacing w:before="0" w:after="80" w:line="320" w:lineRule="auto"/>
      </w:pPr>
      <w:r>
        <w:rPr>
          <w:rFonts w:ascii="Arial" w:hAnsi="Arial" w:eastAsia="Arial"/>
          <w:b w:val="0"/>
          <w:i w:val="0"/>
          <w:color w:val="151020"/>
          <w:sz w:val="2"/>
        </w:rPr>
      </w:r>
    </w:p>
    <w:p>
      <w:pPr>
        <w:pStyle w:val="Heading2"/>
      </w:pPr>
      <w:r>
        <w:t>Pre-event deliverables</w:t>
      </w:r>
    </w:p>
    <w:p>
      <w:pPr>
        <w:numPr>
          <w:ilvl w:val="0"/>
          <w:numId w:val="10"/>
        </w:numPr>
        <w:spacing w:before="0" w:after="80" w:line="290" w:lineRule="auto"/>
      </w:pPr>
      <w:r>
        <w:rPr>
          <w:rFonts w:ascii="Arial" w:hAnsi="Arial" w:eastAsia="Arial"/>
          <w:b/>
          <w:color w:val="151020"/>
          <w:sz w:val="22"/>
        </w:rPr>
        <w:t xml:space="preserve">By 10 September. </w:t>
      </w:r>
      <w:r>
        <w:rPr>
          <w:rFonts w:ascii="Arial" w:hAnsi="Arial" w:eastAsia="Arial"/>
          <w:color w:val="151020"/>
          <w:sz w:val="22"/>
        </w:rPr>
        <w:t>Team formed, niche selected and project workspace opened.</w:t>
      </w:r>
    </w:p>
    <w:p>
      <w:pPr>
        <w:numPr>
          <w:ilvl w:val="0"/>
          <w:numId w:val="10"/>
        </w:numPr>
        <w:spacing w:before="0" w:after="80" w:line="290" w:lineRule="auto"/>
      </w:pPr>
      <w:r>
        <w:rPr>
          <w:rFonts w:ascii="Arial" w:hAnsi="Arial" w:eastAsia="Arial"/>
          <w:b/>
          <w:color w:val="151020"/>
          <w:sz w:val="22"/>
        </w:rPr>
        <w:t xml:space="preserve">By 14 September. </w:t>
      </w:r>
      <w:r>
        <w:rPr>
          <w:rFonts w:ascii="Arial" w:hAnsi="Arial" w:eastAsia="Arial"/>
          <w:color w:val="151020"/>
          <w:sz w:val="22"/>
        </w:rPr>
        <w:t>Target user and product hypothesis published with at least one source of user or market evidence.</w:t>
      </w:r>
    </w:p>
    <w:p>
      <w:pPr>
        <w:numPr>
          <w:ilvl w:val="0"/>
          <w:numId w:val="10"/>
        </w:numPr>
        <w:spacing w:before="0" w:after="80" w:line="290" w:lineRule="auto"/>
      </w:pPr>
      <w:r>
        <w:rPr>
          <w:rFonts w:ascii="Arial" w:hAnsi="Arial" w:eastAsia="Arial"/>
          <w:b/>
          <w:color w:val="151020"/>
          <w:sz w:val="22"/>
        </w:rPr>
        <w:t xml:space="preserve">By 17 September. </w:t>
      </w:r>
      <w:r>
        <w:rPr>
          <w:rFonts w:ascii="Arial" w:hAnsi="Arial" w:eastAsia="Arial"/>
          <w:color w:val="151020"/>
          <w:sz w:val="22"/>
        </w:rPr>
        <w:t>Development environment working, first product flow started and Friday checkpoint prepared.</w:t>
      </w:r>
    </w:p>
    <w:p>
      <w:pPr>
        <w:pStyle w:val="Heading2"/>
      </w:pPr>
      <w:r>
        <w:t>Online operating rhythm</w:t>
      </w:r>
    </w:p>
    <w:p>
      <w:pPr>
        <w:numPr>
          <w:ilvl w:val="0"/>
          <w:numId w:val="10"/>
        </w:numPr>
        <w:spacing w:before="0" w:after="80" w:line="290" w:lineRule="auto"/>
      </w:pPr>
      <w:r>
        <w:rPr>
          <w:rFonts w:ascii="Arial" w:hAnsi="Arial" w:eastAsia="Arial"/>
          <w:color w:val="151020"/>
          <w:sz w:val="22"/>
        </w:rPr>
        <w:t>Materials remain available on demand rather than being repeated as long lectures in person.</w:t>
      </w:r>
    </w:p>
    <w:p>
      <w:pPr>
        <w:numPr>
          <w:ilvl w:val="0"/>
          <w:numId w:val="10"/>
        </w:numPr>
        <w:spacing w:before="0" w:after="80" w:line="290" w:lineRule="auto"/>
      </w:pPr>
      <w:r>
        <w:rPr>
          <w:rFonts w:ascii="Arial" w:hAnsi="Arial" w:eastAsia="Arial"/>
          <w:color w:val="151020"/>
          <w:sz w:val="22"/>
        </w:rPr>
        <w:t>Organizer announcements and milestone reminders are published through the platform.</w:t>
      </w:r>
    </w:p>
    <w:p>
      <w:pPr>
        <w:numPr>
          <w:ilvl w:val="0"/>
          <w:numId w:val="10"/>
        </w:numPr>
        <w:spacing w:before="0" w:after="80" w:line="290" w:lineRule="auto"/>
      </w:pPr>
      <w:r>
        <w:rPr>
          <w:rFonts w:ascii="Arial" w:hAnsi="Arial" w:eastAsia="Arial"/>
          <w:color w:val="151020"/>
          <w:sz w:val="22"/>
        </w:rPr>
        <w:t>Mentor and peer comments stay attached to project checkpoints so iteration is visible.</w:t>
      </w:r>
    </w:p>
    <w:p>
      <w:r>
        <w:br w:type="page"/>
      </w:r>
    </w:p>
    <w:p>
      <w:pPr>
        <w:spacing w:before="0" w:after="80" w:line="320" w:lineRule="auto"/>
      </w:pPr>
      <w:r>
        <w:rPr>
          <w:rFonts w:ascii="Courier New" w:hAnsi="Courier New" w:eastAsia="Courier New"/>
          <w:b/>
          <w:i w:val="0"/>
          <w:color w:val="6D45B8"/>
          <w:sz w:val="18"/>
        </w:rPr>
        <w:t>04 / IN-PERSON PROGRAM</w:t>
      </w:r>
    </w:p>
    <w:p>
      <w:pPr>
        <w:pStyle w:val="Heading1"/>
      </w:pPr>
      <w:r>
        <w:t>Friday kickoff. Saturday build day. Sunday demo morning.</w:t>
      </w:r>
    </w:p>
    <w:p>
      <w:pPr>
        <w:spacing w:before="0" w:after="240" w:line="307" w:lineRule="auto"/>
      </w:pPr>
      <w:r>
        <w:rPr>
          <w:rFonts w:ascii="Arial" w:hAnsi="Arial" w:eastAsia="Arial"/>
          <w:b w:val="0"/>
          <w:i w:val="0"/>
          <w:color w:val="625A6E"/>
          <w:sz w:val="22"/>
        </w:rPr>
        <w:t>The schedule protects focused build time while avoiding overnight work, Saturday dinner and Sunday lunch. Teams may continue online after the venue closes, but evening work is optional.</w:t>
      </w:r>
    </w:p>
    <w:p>
      <w:pPr>
        <w:pStyle w:val="Heading2"/>
      </w:pPr>
      <w:r>
        <w:t>Friday, 18 September · 18:00–21:00</w:t>
      </w:r>
    </w:p>
    <w:tbl>
      <w:tblPr>
        <w:tblW w:type="dxa" w:w="9360"/>
        <w:jc w:val="left"/>
        <w:tblLayout w:type="fixed"/>
        <w:tblLook w:firstColumn="1" w:firstRow="1" w:lastColumn="0" w:lastRow="0" w:noHBand="0" w:noVBand="1" w:val="04A0"/>
        <w:tblInd w:w="120" w:type="dxa"/>
      </w:tblPr>
      <w:tblGrid>
        <w:gridCol w:w="1200"/>
        <w:gridCol w:w="3600"/>
        <w:gridCol w:w="4560"/>
      </w:tblGrid>
      <w:tr>
        <w:trPr>
          <w:tblHeader w:val="true"/>
        </w:trPr>
        <w:tc>
          <w:tcPr>
            <w:tcW w:type="dxa" w:w="120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Time</w:t>
            </w:r>
          </w:p>
        </w:tc>
        <w:tc>
          <w:tcPr>
            <w:tcW w:type="dxa" w:w="360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Activity</w:t>
            </w:r>
          </w:p>
        </w:tc>
        <w:tc>
          <w:tcPr>
            <w:tcW w:type="dxa" w:w="456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Output</w:t>
            </w:r>
          </w:p>
        </w:tc>
      </w:tr>
      <w:tr>
        <w:trPr>
          <w:cantSplit/>
        </w:trPr>
        <w:tc>
          <w:tcPr>
            <w:tcW w:type="dxa" w:w="12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17:30</w:t>
            </w:r>
          </w:p>
        </w:tc>
        <w:tc>
          <w:tcPr>
            <w:tcW w:type="dxa" w:w="36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Registration and light dinner</w:t>
            </w:r>
          </w:p>
        </w:tc>
        <w:tc>
          <w:tcPr>
            <w:tcW w:type="dxa" w:w="45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Participants settled before the program begins</w:t>
            </w:r>
          </w:p>
        </w:tc>
      </w:tr>
      <w:tr>
        <w:trPr>
          <w:cantSplit/>
        </w:trPr>
        <w:tc>
          <w:tcPr>
            <w:tcW w:type="dxa" w:w="12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18:00</w:t>
            </w:r>
          </w:p>
        </w:tc>
        <w:tc>
          <w:tcPr>
            <w:tcW w:type="dxa" w:w="36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Welcome, program thesis and venue partner acknowledgement</w:t>
            </w:r>
          </w:p>
        </w:tc>
        <w:tc>
          <w:tcPr>
            <w:tcW w:type="dxa" w:w="45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Shared context and expectations</w:t>
            </w:r>
          </w:p>
        </w:tc>
      </w:tr>
      <w:tr>
        <w:trPr>
          <w:cantSplit/>
        </w:trPr>
        <w:tc>
          <w:tcPr>
            <w:tcW w:type="dxa" w:w="12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18:35</w:t>
            </w:r>
          </w:p>
        </w:tc>
        <w:tc>
          <w:tcPr>
            <w:tcW w:type="dxa" w:w="36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Team alignment and project-page check</w:t>
            </w:r>
          </w:p>
        </w:tc>
        <w:tc>
          <w:tcPr>
            <w:tcW w:type="dxa" w:w="45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Confirmed team, niche and workspace</w:t>
            </w:r>
          </w:p>
        </w:tc>
      </w:tr>
      <w:tr>
        <w:trPr>
          <w:cantSplit/>
        </w:trPr>
        <w:tc>
          <w:tcPr>
            <w:tcW w:type="dxa" w:w="12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19:00</w:t>
            </w:r>
          </w:p>
        </w:tc>
        <w:tc>
          <w:tcPr>
            <w:tcW w:type="dxa" w:w="36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Scope the smallest weekend test</w:t>
            </w:r>
          </w:p>
        </w:tc>
        <w:tc>
          <w:tcPr>
            <w:tcW w:type="dxa" w:w="45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Build goal and evidence target</w:t>
            </w:r>
          </w:p>
        </w:tc>
      </w:tr>
      <w:tr>
        <w:trPr>
          <w:cantSplit/>
        </w:trPr>
        <w:tc>
          <w:tcPr>
            <w:tcW w:type="dxa" w:w="12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20:10</w:t>
            </w:r>
          </w:p>
        </w:tc>
        <w:tc>
          <w:tcPr>
            <w:tcW w:type="dxa" w:w="36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Checkpoint 1: 60-second team updates</w:t>
            </w:r>
          </w:p>
        </w:tc>
        <w:tc>
          <w:tcPr>
            <w:tcW w:type="dxa" w:w="45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Target user, problem, product and Saturday plan</w:t>
            </w:r>
          </w:p>
        </w:tc>
      </w:tr>
      <w:tr>
        <w:trPr>
          <w:cantSplit/>
        </w:trPr>
        <w:tc>
          <w:tcPr>
            <w:tcW w:type="dxa" w:w="12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20:50</w:t>
            </w:r>
          </w:p>
        </w:tc>
        <w:tc>
          <w:tcPr>
            <w:tcW w:type="dxa" w:w="36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Operations briefing and wrap</w:t>
            </w:r>
          </w:p>
        </w:tc>
        <w:tc>
          <w:tcPr>
            <w:tcW w:type="dxa" w:w="45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Clear arrival and support plan for Saturday</w:t>
            </w:r>
          </w:p>
        </w:tc>
      </w:tr>
      <w:tr>
        <w:trPr>
          <w:cantSplit/>
        </w:trPr>
        <w:tc>
          <w:tcPr>
            <w:tcW w:type="dxa" w:w="12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21:00</w:t>
            </w:r>
          </w:p>
        </w:tc>
        <w:tc>
          <w:tcPr>
            <w:tcW w:type="dxa" w:w="36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Venue closes</w:t>
            </w:r>
          </w:p>
        </w:tc>
        <w:tc>
          <w:tcPr>
            <w:tcW w:type="dxa" w:w="45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Teams may continue online if they choose</w:t>
            </w:r>
          </w:p>
        </w:tc>
      </w:tr>
    </w:tbl>
    <w:p>
      <w:pPr>
        <w:pStyle w:val="Heading2"/>
      </w:pPr>
      <w:r>
        <w:t>Saturday, 19 September · 09:00–17:00</w:t>
      </w:r>
    </w:p>
    <w:tbl>
      <w:tblPr>
        <w:tblW w:type="dxa" w:w="9360"/>
        <w:jc w:val="left"/>
        <w:tblLayout w:type="fixed"/>
        <w:tblLook w:firstColumn="1" w:firstRow="1" w:lastColumn="0" w:lastRow="0" w:noHBand="0" w:noVBand="1" w:val="04A0"/>
        <w:tblInd w:w="120" w:type="dxa"/>
      </w:tblPr>
      <w:tblGrid>
        <w:gridCol w:w="1200"/>
        <w:gridCol w:w="3600"/>
        <w:gridCol w:w="4560"/>
      </w:tblGrid>
      <w:tr>
        <w:trPr>
          <w:tblHeader w:val="true"/>
        </w:trPr>
        <w:tc>
          <w:tcPr>
            <w:tcW w:type="dxa" w:w="120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Time</w:t>
            </w:r>
          </w:p>
        </w:tc>
        <w:tc>
          <w:tcPr>
            <w:tcW w:type="dxa" w:w="360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Activity</w:t>
            </w:r>
          </w:p>
        </w:tc>
        <w:tc>
          <w:tcPr>
            <w:tcW w:type="dxa" w:w="456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Output</w:t>
            </w:r>
          </w:p>
        </w:tc>
      </w:tr>
      <w:tr>
        <w:trPr>
          <w:cantSplit/>
        </w:trPr>
        <w:tc>
          <w:tcPr>
            <w:tcW w:type="dxa" w:w="12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09:00</w:t>
            </w:r>
          </w:p>
        </w:tc>
        <w:tc>
          <w:tcPr>
            <w:tcW w:type="dxa" w:w="36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Daily briefing and build goals</w:t>
            </w:r>
          </w:p>
        </w:tc>
        <w:tc>
          <w:tcPr>
            <w:tcW w:type="dxa" w:w="45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Team plan visible on the website</w:t>
            </w:r>
          </w:p>
        </w:tc>
      </w:tr>
      <w:tr>
        <w:trPr>
          <w:cantSplit/>
        </w:trPr>
        <w:tc>
          <w:tcPr>
            <w:tcW w:type="dxa" w:w="12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09:15</w:t>
            </w:r>
          </w:p>
        </w:tc>
        <w:tc>
          <w:tcPr>
            <w:tcW w:type="dxa" w:w="36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Focused building and user validation</w:t>
            </w:r>
          </w:p>
        </w:tc>
        <w:tc>
          <w:tcPr>
            <w:tcW w:type="dxa" w:w="45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Working product flow and evidence</w:t>
            </w:r>
          </w:p>
        </w:tc>
      </w:tr>
      <w:tr>
        <w:trPr>
          <w:cantSplit/>
        </w:trPr>
        <w:tc>
          <w:tcPr>
            <w:tcW w:type="dxa" w:w="12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11:30</w:t>
            </w:r>
          </w:p>
        </w:tc>
        <w:tc>
          <w:tcPr>
            <w:tcW w:type="dxa" w:w="36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Mentor office hours</w:t>
            </w:r>
          </w:p>
        </w:tc>
        <w:tc>
          <w:tcPr>
            <w:tcW w:type="dxa" w:w="45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Blockers and product assumptions challenged</w:t>
            </w:r>
          </w:p>
        </w:tc>
      </w:tr>
      <w:tr>
        <w:trPr>
          <w:cantSplit/>
        </w:trPr>
        <w:tc>
          <w:tcPr>
            <w:tcW w:type="dxa" w:w="12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12:00</w:t>
            </w:r>
          </w:p>
        </w:tc>
        <w:tc>
          <w:tcPr>
            <w:tcW w:type="dxa" w:w="36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Lunch</w:t>
            </w:r>
          </w:p>
        </w:tc>
        <w:tc>
          <w:tcPr>
            <w:tcW w:type="dxa" w:w="45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Protected participant break</w:t>
            </w:r>
          </w:p>
        </w:tc>
      </w:tr>
      <w:tr>
        <w:trPr>
          <w:cantSplit/>
        </w:trPr>
        <w:tc>
          <w:tcPr>
            <w:tcW w:type="dxa" w:w="12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13:00</w:t>
            </w:r>
          </w:p>
        </w:tc>
        <w:tc>
          <w:tcPr>
            <w:tcW w:type="dxa" w:w="36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Build and test</w:t>
            </w:r>
          </w:p>
        </w:tc>
        <w:tc>
          <w:tcPr>
            <w:tcW w:type="dxa" w:w="45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Prototype advanced from feedback</w:t>
            </w:r>
          </w:p>
        </w:tc>
      </w:tr>
      <w:tr>
        <w:trPr>
          <w:cantSplit/>
        </w:trPr>
        <w:tc>
          <w:tcPr>
            <w:tcW w:type="dxa" w:w="12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15:00</w:t>
            </w:r>
          </w:p>
        </w:tc>
        <w:tc>
          <w:tcPr>
            <w:tcW w:type="dxa" w:w="36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Tea break</w:t>
            </w:r>
          </w:p>
        </w:tc>
        <w:tc>
          <w:tcPr>
            <w:tcW w:type="dxa" w:w="45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Short reset</w:t>
            </w:r>
          </w:p>
        </w:tc>
      </w:tr>
      <w:tr>
        <w:trPr>
          <w:cantSplit/>
        </w:trPr>
        <w:tc>
          <w:tcPr>
            <w:tcW w:type="dxa" w:w="12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15:15</w:t>
            </w:r>
          </w:p>
        </w:tc>
        <w:tc>
          <w:tcPr>
            <w:tcW w:type="dxa" w:w="36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Checkpoint 2: product review</w:t>
            </w:r>
          </w:p>
        </w:tc>
        <w:tc>
          <w:tcPr>
            <w:tcW w:type="dxa" w:w="45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Prototype, evidence and change log</w:t>
            </w:r>
          </w:p>
        </w:tc>
      </w:tr>
      <w:tr>
        <w:trPr>
          <w:cantSplit/>
        </w:trPr>
        <w:tc>
          <w:tcPr>
            <w:tcW w:type="dxa" w:w="12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16:15</w:t>
            </w:r>
          </w:p>
        </w:tc>
        <w:tc>
          <w:tcPr>
            <w:tcW w:type="dxa" w:w="36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Apply feedback and prepare Sunday</w:t>
            </w:r>
          </w:p>
        </w:tc>
        <w:tc>
          <w:tcPr>
            <w:tcW w:type="dxa" w:w="45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Submission checklist and demo plan</w:t>
            </w:r>
          </w:p>
        </w:tc>
      </w:tr>
      <w:tr>
        <w:trPr>
          <w:cantSplit/>
        </w:trPr>
        <w:tc>
          <w:tcPr>
            <w:tcW w:type="dxa" w:w="12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16:45</w:t>
            </w:r>
          </w:p>
        </w:tc>
        <w:tc>
          <w:tcPr>
            <w:tcW w:type="dxa" w:w="36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Daily close</w:t>
            </w:r>
          </w:p>
        </w:tc>
        <w:tc>
          <w:tcPr>
            <w:tcW w:type="dxa" w:w="45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Owners and next actions confirmed</w:t>
            </w:r>
          </w:p>
        </w:tc>
      </w:tr>
      <w:tr>
        <w:trPr>
          <w:cantSplit/>
        </w:trPr>
        <w:tc>
          <w:tcPr>
            <w:tcW w:type="dxa" w:w="12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17:00</w:t>
            </w:r>
          </w:p>
        </w:tc>
        <w:tc>
          <w:tcPr>
            <w:tcW w:type="dxa" w:w="36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Venue closes</w:t>
            </w:r>
          </w:p>
        </w:tc>
        <w:tc>
          <w:tcPr>
            <w:tcW w:type="dxa" w:w="45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No Saturday dinner required</w:t>
            </w:r>
          </w:p>
        </w:tc>
      </w:tr>
    </w:tbl>
    <w:p>
      <w:r>
        <w:br w:type="page"/>
      </w:r>
    </w:p>
    <w:p>
      <w:pPr>
        <w:spacing w:before="0" w:after="80" w:line="320" w:lineRule="auto"/>
      </w:pPr>
      <w:r>
        <w:rPr>
          <w:rFonts w:ascii="Courier New" w:hAnsi="Courier New" w:eastAsia="Courier New"/>
          <w:b/>
          <w:i w:val="0"/>
          <w:color w:val="6D45B8"/>
          <w:sz w:val="18"/>
        </w:rPr>
        <w:t>05 / DEMO MORNING</w:t>
      </w:r>
    </w:p>
    <w:p>
      <w:pPr>
        <w:pStyle w:val="Heading1"/>
      </w:pPr>
      <w:r>
        <w:t>Twelve teams, two tracks, two hours</w:t>
      </w:r>
    </w:p>
    <w:p>
      <w:pPr>
        <w:spacing w:before="0" w:after="240" w:line="307" w:lineRule="auto"/>
      </w:pPr>
      <w:r>
        <w:rPr>
          <w:rFonts w:ascii="Arial" w:hAnsi="Arial" w:eastAsia="Arial"/>
          <w:b w:val="0"/>
          <w:i w:val="0"/>
          <w:color w:val="625A6E"/>
          <w:sz w:val="22"/>
        </w:rPr>
        <w:t>Sunday is a product-feedback and continuation session rather than a judging ceremony. Two parallel demo tracks give every team meaningful time without extending the event into lunch.</w:t>
      </w:r>
    </w:p>
    <w:p>
      <w:pPr>
        <w:pStyle w:val="Heading2"/>
      </w:pPr>
      <w:r>
        <w:t>Sunday, 20 September · 08:30–11:30</w:t>
      </w:r>
    </w:p>
    <w:tbl>
      <w:tblPr>
        <w:tblW w:type="dxa" w:w="9360"/>
        <w:jc w:val="left"/>
        <w:tblLayout w:type="fixed"/>
        <w:tblLook w:firstColumn="1" w:firstRow="1" w:lastColumn="0" w:lastRow="0" w:noHBand="0" w:noVBand="1" w:val="04A0"/>
        <w:tblInd w:w="120" w:type="dxa"/>
      </w:tblPr>
      <w:tblGrid>
        <w:gridCol w:w="1500"/>
        <w:gridCol w:w="3900"/>
        <w:gridCol w:w="3960"/>
      </w:tblGrid>
      <w:tr>
        <w:trPr>
          <w:tblHeader w:val="true"/>
        </w:trPr>
        <w:tc>
          <w:tcPr>
            <w:tcW w:type="dxa" w:w="150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Time</w:t>
            </w:r>
          </w:p>
        </w:tc>
        <w:tc>
          <w:tcPr>
            <w:tcW w:type="dxa" w:w="390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Activity</w:t>
            </w:r>
          </w:p>
        </w:tc>
        <w:tc>
          <w:tcPr>
            <w:tcW w:type="dxa" w:w="396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Output</w:t>
            </w:r>
          </w:p>
        </w:tc>
      </w:tr>
      <w:tr>
        <w:trPr>
          <w:cantSplit/>
        </w:trPr>
        <w:tc>
          <w:tcPr>
            <w:tcW w:type="dxa" w:w="15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08:30</w:t>
            </w:r>
          </w:p>
        </w:tc>
        <w:tc>
          <w:tcPr>
            <w:tcW w:type="dxa" w:w="39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Coffee, light breakfast and final fixes</w:t>
            </w:r>
          </w:p>
        </w:tc>
        <w:tc>
          <w:tcPr>
            <w:tcW w:type="dxa" w:w="39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Demo-ready project</w:t>
            </w:r>
          </w:p>
        </w:tc>
      </w:tr>
      <w:tr>
        <w:trPr>
          <w:cantSplit/>
        </w:trPr>
        <w:tc>
          <w:tcPr>
            <w:tcW w:type="dxa" w:w="15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09:15</w:t>
            </w:r>
          </w:p>
        </w:tc>
        <w:tc>
          <w:tcPr>
            <w:tcW w:type="dxa" w:w="39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Website submission deadline</w:t>
            </w:r>
          </w:p>
        </w:tc>
        <w:tc>
          <w:tcPr>
            <w:tcW w:type="dxa" w:w="39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Stable project page and QR code</w:t>
            </w:r>
          </w:p>
        </w:tc>
      </w:tr>
      <w:tr>
        <w:trPr>
          <w:cantSplit/>
        </w:trPr>
        <w:tc>
          <w:tcPr>
            <w:tcW w:type="dxa" w:w="15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09:20</w:t>
            </w:r>
          </w:p>
        </w:tc>
        <w:tc>
          <w:tcPr>
            <w:tcW w:type="dxa" w:w="39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Demo briefing and track assignment</w:t>
            </w:r>
          </w:p>
        </w:tc>
        <w:tc>
          <w:tcPr>
            <w:tcW w:type="dxa" w:w="39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Teams and audiences in position</w:t>
            </w:r>
          </w:p>
        </w:tc>
      </w:tr>
      <w:tr>
        <w:trPr>
          <w:cantSplit/>
        </w:trPr>
        <w:tc>
          <w:tcPr>
            <w:tcW w:type="dxa" w:w="15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09:25–10:55</w:t>
            </w:r>
          </w:p>
        </w:tc>
        <w:tc>
          <w:tcPr>
            <w:tcW w:type="dxa" w:w="39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Six 15-minute rounds across two parallel tracks</w:t>
            </w:r>
          </w:p>
        </w:tc>
        <w:tc>
          <w:tcPr>
            <w:tcW w:type="dxa" w:w="39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Capacity for 12 complete demos</w:t>
            </w:r>
          </w:p>
        </w:tc>
      </w:tr>
      <w:tr>
        <w:trPr>
          <w:cantSplit/>
        </w:trPr>
        <w:tc>
          <w:tcPr>
            <w:tcW w:type="dxa" w:w="15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10:55</w:t>
            </w:r>
          </w:p>
        </w:tc>
        <w:tc>
          <w:tcPr>
            <w:tcW w:type="dxa" w:w="39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Feedback capture and transition</w:t>
            </w:r>
          </w:p>
        </w:tc>
        <w:tc>
          <w:tcPr>
            <w:tcW w:type="dxa" w:w="39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Website feedback and next changes recorded</w:t>
            </w:r>
          </w:p>
        </w:tc>
      </w:tr>
      <w:tr>
        <w:trPr>
          <w:cantSplit/>
        </w:trPr>
        <w:tc>
          <w:tcPr>
            <w:tcW w:type="dxa" w:w="15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11:05</w:t>
            </w:r>
          </w:p>
        </w:tc>
        <w:tc>
          <w:tcPr>
            <w:tcW w:type="dxa" w:w="39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Colosseum and subtrack continuation plan</w:t>
            </w:r>
          </w:p>
        </w:tc>
        <w:tc>
          <w:tcPr>
            <w:tcW w:type="dxa" w:w="39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Owners, dates and submission pathway</w:t>
            </w:r>
          </w:p>
        </w:tc>
      </w:tr>
      <w:tr>
        <w:trPr>
          <w:cantSplit/>
        </w:trPr>
        <w:tc>
          <w:tcPr>
            <w:tcW w:type="dxa" w:w="15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11:20</w:t>
            </w:r>
          </w:p>
        </w:tc>
        <w:tc>
          <w:tcPr>
            <w:tcW w:type="dxa" w:w="39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Partner acknowledgement, community photo and close</w:t>
            </w:r>
          </w:p>
        </w:tc>
        <w:tc>
          <w:tcPr>
            <w:tcW w:type="dxa" w:w="39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Event completed before lunch</w:t>
            </w:r>
          </w:p>
        </w:tc>
      </w:tr>
      <w:tr>
        <w:trPr>
          <w:cantSplit/>
        </w:trPr>
        <w:tc>
          <w:tcPr>
            <w:tcW w:type="dxa" w:w="15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11:30</w:t>
            </w:r>
          </w:p>
        </w:tc>
        <w:tc>
          <w:tcPr>
            <w:tcW w:type="dxa" w:w="39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Venue closes to participants</w:t>
            </w:r>
          </w:p>
        </w:tc>
        <w:tc>
          <w:tcPr>
            <w:tcW w:type="dxa" w:w="39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No Sunday lunch required</w:t>
            </w:r>
          </w:p>
        </w:tc>
      </w:tr>
    </w:tbl>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8F5EE"/>
            <w:tcBorders>
              <w:top w:val="nil"/>
              <w:bottom w:val="nil"/>
              <w:start w:val="single" w:sz="24" w:color="267A55"/>
              <w:end w:val="nil"/>
            </w:tcBorders>
          </w:tcPr>
          <w:p>
            <w:pPr>
              <w:pStyle w:val="TableBody"/>
              <w:spacing w:before="40" w:after="40"/>
            </w:pPr>
            <w:r>
              <w:rPr>
                <w:rFonts w:ascii="Courier New" w:hAnsi="Courier New" w:eastAsia="Courier New"/>
                <w:b/>
                <w:color w:val="267A55"/>
                <w:sz w:val="18"/>
              </w:rPr>
              <w:t xml:space="preserve">CAPACITY MATH  </w:t>
            </w:r>
            <w:r>
              <w:rPr>
                <w:rFonts w:ascii="Arial" w:hAnsi="Arial" w:eastAsia="Arial"/>
                <w:b w:val="0"/>
                <w:color w:val="151020"/>
                <w:sz w:val="20"/>
              </w:rPr>
              <w:t>2 tracks × 6 rounds × 1 team per round = 12 team demos. Each 15-minute slot contains approximately 7 minutes of product demonstration, 5 minutes of feedback and 3 minutes of transition.</w:t>
            </w:r>
          </w:p>
        </w:tc>
      </w:tr>
    </w:tbl>
    <w:p>
      <w:pPr>
        <w:spacing w:before="0" w:after="80" w:line="320" w:lineRule="auto"/>
      </w:pPr>
      <w:r>
        <w:rPr>
          <w:rFonts w:ascii="Arial" w:hAnsi="Arial" w:eastAsia="Arial"/>
          <w:b w:val="0"/>
          <w:i w:val="0"/>
          <w:color w:val="151020"/>
          <w:sz w:val="2"/>
        </w:rPr>
      </w:r>
    </w:p>
    <w:p>
      <w:pPr>
        <w:pStyle w:val="Heading2"/>
      </w:pPr>
      <w:r>
        <w:t>Demo operating model</w:t>
      </w:r>
    </w:p>
    <w:p>
      <w:pPr>
        <w:numPr>
          <w:ilvl w:val="0"/>
          <w:numId w:val="10"/>
        </w:numPr>
        <w:spacing w:before="0" w:after="80" w:line="290" w:lineRule="auto"/>
      </w:pPr>
      <w:r>
        <w:rPr>
          <w:rFonts w:ascii="Arial" w:hAnsi="Arial" w:eastAsia="Arial"/>
          <w:b/>
          <w:color w:val="151020"/>
          <w:sz w:val="22"/>
        </w:rPr>
        <w:t xml:space="preserve">Two separated zones. </w:t>
      </w:r>
      <w:r>
        <w:rPr>
          <w:rFonts w:ascii="Arial" w:hAnsi="Arial" w:eastAsia="Arial"/>
          <w:color w:val="151020"/>
          <w:sz w:val="22"/>
        </w:rPr>
        <w:t>Each track needs a display, power, acoustic separation and one anchor mentor to protect timing.</w:t>
      </w:r>
    </w:p>
    <w:p>
      <w:pPr>
        <w:numPr>
          <w:ilvl w:val="0"/>
          <w:numId w:val="10"/>
        </w:numPr>
        <w:spacing w:before="0" w:after="80" w:line="290" w:lineRule="auto"/>
      </w:pPr>
      <w:r>
        <w:rPr>
          <w:rFonts w:ascii="Arial" w:hAnsi="Arial" w:eastAsia="Arial"/>
          <w:b/>
          <w:color w:val="151020"/>
          <w:sz w:val="22"/>
        </w:rPr>
        <w:t xml:space="preserve">Website-first evidence. </w:t>
      </w:r>
      <w:r>
        <w:rPr>
          <w:rFonts w:ascii="Arial" w:hAnsi="Arial" w:eastAsia="Arial"/>
          <w:color w:val="151020"/>
          <w:sz w:val="22"/>
        </w:rPr>
        <w:t>Every demo shows a project QR code; visitors leave feedback directly on the project page.</w:t>
      </w:r>
    </w:p>
    <w:p>
      <w:pPr>
        <w:numPr>
          <w:ilvl w:val="0"/>
          <w:numId w:val="10"/>
        </w:numPr>
        <w:spacing w:before="0" w:after="80" w:line="290" w:lineRule="auto"/>
      </w:pPr>
      <w:r>
        <w:rPr>
          <w:rFonts w:ascii="Arial" w:hAnsi="Arial" w:eastAsia="Arial"/>
          <w:b/>
          <w:color w:val="151020"/>
          <w:sz w:val="22"/>
        </w:rPr>
        <w:t xml:space="preserve">Rotating audience. </w:t>
      </w:r>
      <w:r>
        <w:rPr>
          <w:rFonts w:ascii="Arial" w:hAnsi="Arial" w:eastAsia="Arial"/>
          <w:color w:val="151020"/>
          <w:sz w:val="22"/>
        </w:rPr>
        <w:t>Teams not presenting attend other demos and contribute peer feedback.</w:t>
      </w:r>
    </w:p>
    <w:p>
      <w:pPr>
        <w:numPr>
          <w:ilvl w:val="0"/>
          <w:numId w:val="10"/>
        </w:numPr>
        <w:spacing w:before="0" w:after="80" w:line="290" w:lineRule="auto"/>
      </w:pPr>
      <w:r>
        <w:rPr>
          <w:rFonts w:ascii="Arial" w:hAnsi="Arial" w:eastAsia="Arial"/>
          <w:b/>
          <w:color w:val="151020"/>
          <w:sz w:val="22"/>
        </w:rPr>
        <w:t xml:space="preserve">No local ranking. </w:t>
      </w:r>
      <w:r>
        <w:rPr>
          <w:rFonts w:ascii="Arial" w:hAnsi="Arial" w:eastAsia="Arial"/>
          <w:color w:val="151020"/>
          <w:sz w:val="22"/>
        </w:rPr>
        <w:t>The close recognizes progress and readiness rather than announcing local winners.</w:t>
      </w:r>
    </w:p>
    <w:p>
      <w:pPr>
        <w:pStyle w:val="Heading2"/>
      </w:pPr>
      <w:r>
        <w:t>Feedback lenses</w:t>
      </w:r>
    </w:p>
    <w:tbl>
      <w:tblPr>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Lens</w:t>
            </w:r>
          </w:p>
        </w:tc>
        <w:tc>
          <w:tcPr>
            <w:tcW w:type="dxa" w:w="720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Question</w:t>
            </w:r>
          </w:p>
        </w:tc>
      </w:tr>
      <w:tr>
        <w:trPr>
          <w:cantSplit/>
        </w:trPr>
        <w:tc>
          <w:tcPr>
            <w:tcW w:type="dxa" w:w="21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User clarity</w:t>
            </w:r>
          </w:p>
        </w:tc>
        <w:tc>
          <w:tcPr>
            <w:tcW w:type="dxa" w:w="72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Is the target user specific and credible?</w:t>
            </w:r>
          </w:p>
        </w:tc>
      </w:tr>
      <w:tr>
        <w:trPr>
          <w:cantSplit/>
        </w:trPr>
        <w:tc>
          <w:tcPr>
            <w:tcW w:type="dxa" w:w="21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Value</w:t>
            </w:r>
          </w:p>
        </w:tc>
        <w:tc>
          <w:tcPr>
            <w:tcW w:type="dxa" w:w="72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Does the time-based exchange solve a real problem?</w:t>
            </w:r>
          </w:p>
        </w:tc>
      </w:tr>
      <w:tr>
        <w:trPr>
          <w:cantSplit/>
        </w:trPr>
        <w:tc>
          <w:tcPr>
            <w:tcW w:type="dxa" w:w="21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Product</w:t>
            </w:r>
          </w:p>
        </w:tc>
        <w:tc>
          <w:tcPr>
            <w:tcW w:type="dxa" w:w="72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Can a user complete the essential journey?</w:t>
            </w:r>
          </w:p>
        </w:tc>
      </w:tr>
      <w:tr>
        <w:trPr>
          <w:cantSplit/>
        </w:trPr>
        <w:tc>
          <w:tcPr>
            <w:tcW w:type="dxa" w:w="21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Evidence</w:t>
            </w:r>
          </w:p>
        </w:tc>
        <w:tc>
          <w:tcPr>
            <w:tcW w:type="dxa" w:w="72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What did the team learn from real feedback or behavior?</w:t>
            </w:r>
          </w:p>
        </w:tc>
      </w:tr>
      <w:tr>
        <w:trPr>
          <w:cantSplit/>
        </w:trPr>
        <w:tc>
          <w:tcPr>
            <w:tcW w:type="dxa" w:w="21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Iteration</w:t>
            </w:r>
          </w:p>
        </w:tc>
        <w:tc>
          <w:tcPr>
            <w:tcW w:type="dxa" w:w="72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What changed across checkpoints, and why?</w:t>
            </w:r>
          </w:p>
        </w:tc>
      </w:tr>
      <w:tr>
        <w:trPr>
          <w:cantSplit/>
        </w:trPr>
        <w:tc>
          <w:tcPr>
            <w:tcW w:type="dxa" w:w="21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Continuation</w:t>
            </w:r>
          </w:p>
        </w:tc>
        <w:tc>
          <w:tcPr>
            <w:tcW w:type="dxa" w:w="72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What is the next test during the Colosseum period?</w:t>
            </w:r>
          </w:p>
        </w:tc>
      </w:tr>
    </w:tbl>
    <w:p>
      <w:r>
        <w:br w:type="page"/>
      </w:r>
    </w:p>
    <w:p>
      <w:pPr>
        <w:spacing w:before="0" w:after="80" w:line="320" w:lineRule="auto"/>
      </w:pPr>
      <w:r>
        <w:rPr>
          <w:rFonts w:ascii="Courier New" w:hAnsi="Courier New" w:eastAsia="Courier New"/>
          <w:b/>
          <w:i w:val="0"/>
          <w:color w:val="6D45B8"/>
          <w:sz w:val="18"/>
        </w:rPr>
        <w:t>06 / VENUE PARTNERSHIP</w:t>
      </w:r>
    </w:p>
    <w:p>
      <w:pPr>
        <w:pStyle w:val="Heading1"/>
      </w:pPr>
      <w:r>
        <w:t>What we are asking the venue partner to provide</w:t>
      </w:r>
    </w:p>
    <w:p>
      <w:pPr>
        <w:spacing w:before="0" w:after="240" w:line="307" w:lineRule="auto"/>
      </w:pPr>
      <w:r>
        <w:rPr>
          <w:rFonts w:ascii="Arial" w:hAnsi="Arial" w:eastAsia="Arial"/>
          <w:b w:val="0"/>
          <w:i w:val="0"/>
          <w:color w:val="625A6E"/>
          <w:sz w:val="22"/>
        </w:rPr>
        <w:t>The venue contribution is in kind and remains separate from the event's VND 60 million catering and operations budget. The ideal partner can provide a safe, accessible and technically reliable environment for concentrated product work.</w:t>
      </w:r>
    </w:p>
    <w:p>
      <w:pPr>
        <w:pStyle w:val="Heading2"/>
      </w:pPr>
      <w:r>
        <w:t>Access schedule</w:t>
      </w:r>
    </w:p>
    <w:tbl>
      <w:tblPr>
        <w:tblW w:type="dxa" w:w="9360"/>
        <w:jc w:val="left"/>
        <w:tblLayout w:type="fixed"/>
        <w:tblLook w:firstColumn="1" w:firstRow="1" w:lastColumn="0" w:lastRow="0" w:noHBand="0" w:noVBand="1" w:val="04A0"/>
        <w:tblInd w:w="120" w:type="dxa"/>
      </w:tblPr>
      <w:tblGrid>
        <w:gridCol w:w="2100"/>
        <w:gridCol w:w="2160"/>
        <w:gridCol w:w="5100"/>
      </w:tblGrid>
      <w:tr>
        <w:trPr>
          <w:tblHeader w:val="true"/>
        </w:trPr>
        <w:tc>
          <w:tcPr>
            <w:tcW w:type="dxa" w:w="210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Day</w:t>
            </w:r>
          </w:p>
        </w:tc>
        <w:tc>
          <w:tcPr>
            <w:tcW w:type="dxa" w:w="216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center"/>
            </w:pPr>
            <w:r>
              <w:rPr>
                <w:rFonts w:ascii="Arial" w:hAnsi="Arial" w:eastAsia="Arial"/>
                <w:b/>
                <w:color w:val="FFFFFF"/>
                <w:sz w:val="17"/>
              </w:rPr>
              <w:t>Requested access</w:t>
            </w:r>
          </w:p>
        </w:tc>
        <w:tc>
          <w:tcPr>
            <w:tcW w:type="dxa" w:w="510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Purpose</w:t>
            </w:r>
          </w:p>
        </w:tc>
      </w:tr>
      <w:tr>
        <w:trPr>
          <w:cantSplit/>
        </w:trPr>
        <w:tc>
          <w:tcPr>
            <w:tcW w:type="dxa" w:w="21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Friday, 18 Sep</w:t>
            </w:r>
          </w:p>
        </w:tc>
        <w:tc>
          <w:tcPr>
            <w:tcW w:type="dxa" w:w="2160"/>
            <w:tcBorders>
              <w:top w:val="single" w:sz="4" w:color="D9D2E3"/>
              <w:bottom w:val="single" w:sz="4" w:color="D9D2E3"/>
              <w:start w:val="single" w:sz="4" w:color="D9D2E3"/>
              <w:end w:val="single" w:sz="4" w:color="D9D2E3"/>
            </w:tcBorders>
          </w:tcPr>
          <w:p>
            <w:pPr>
              <w:pStyle w:val="TableBody"/>
              <w:jc w:val="center"/>
            </w:pPr>
            <w:r>
              <w:rPr>
                <w:rFonts w:ascii="Arial" w:hAnsi="Arial" w:eastAsia="Arial"/>
                <w:color w:val="151020"/>
                <w:sz w:val="18"/>
              </w:rPr>
              <w:t>16:30–21:30</w:t>
            </w:r>
          </w:p>
        </w:tc>
        <w:tc>
          <w:tcPr>
            <w:tcW w:type="dxa" w:w="51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Setup, registration, kickoff and pack-down</w:t>
            </w:r>
          </w:p>
        </w:tc>
      </w:tr>
      <w:tr>
        <w:trPr>
          <w:cantSplit/>
        </w:trPr>
        <w:tc>
          <w:tcPr>
            <w:tcW w:type="dxa" w:w="21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Saturday, 19 Sep</w:t>
            </w:r>
          </w:p>
        </w:tc>
        <w:tc>
          <w:tcPr>
            <w:tcW w:type="dxa" w:w="2160"/>
            <w:shd w:fill="F7F5FA"/>
            <w:tcBorders>
              <w:top w:val="single" w:sz="4" w:color="D9D2E3"/>
              <w:bottom w:val="single" w:sz="4" w:color="D9D2E3"/>
              <w:start w:val="single" w:sz="4" w:color="D9D2E3"/>
              <w:end w:val="single" w:sz="4" w:color="D9D2E3"/>
            </w:tcBorders>
          </w:tcPr>
          <w:p>
            <w:pPr>
              <w:pStyle w:val="TableBody"/>
              <w:jc w:val="center"/>
            </w:pPr>
            <w:r>
              <w:rPr>
                <w:rFonts w:ascii="Arial" w:hAnsi="Arial" w:eastAsia="Arial"/>
                <w:color w:val="151020"/>
                <w:sz w:val="18"/>
              </w:rPr>
              <w:t>08:00–17:30</w:t>
            </w:r>
          </w:p>
        </w:tc>
        <w:tc>
          <w:tcPr>
            <w:tcW w:type="dxa" w:w="51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Setup, full build day and close</w:t>
            </w:r>
          </w:p>
        </w:tc>
      </w:tr>
      <w:tr>
        <w:trPr>
          <w:cantSplit/>
        </w:trPr>
        <w:tc>
          <w:tcPr>
            <w:tcW w:type="dxa" w:w="21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Sunday, 20 Sep</w:t>
            </w:r>
          </w:p>
        </w:tc>
        <w:tc>
          <w:tcPr>
            <w:tcW w:type="dxa" w:w="2160"/>
            <w:tcBorders>
              <w:top w:val="single" w:sz="4" w:color="D9D2E3"/>
              <w:bottom w:val="single" w:sz="4" w:color="D9D2E3"/>
              <w:start w:val="single" w:sz="4" w:color="D9D2E3"/>
              <w:end w:val="single" w:sz="4" w:color="D9D2E3"/>
            </w:tcBorders>
          </w:tcPr>
          <w:p>
            <w:pPr>
              <w:pStyle w:val="TableBody"/>
              <w:jc w:val="center"/>
            </w:pPr>
            <w:r>
              <w:rPr>
                <w:rFonts w:ascii="Arial" w:hAnsi="Arial" w:eastAsia="Arial"/>
                <w:color w:val="151020"/>
                <w:sz w:val="18"/>
              </w:rPr>
              <w:t>08:00–12:00</w:t>
            </w:r>
          </w:p>
        </w:tc>
        <w:tc>
          <w:tcPr>
            <w:tcW w:type="dxa" w:w="51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Coffee, submissions, two demo tracks and closing</w:t>
            </w:r>
          </w:p>
        </w:tc>
      </w:tr>
    </w:tbl>
    <w:p>
      <w:pPr>
        <w:pStyle w:val="Heading2"/>
      </w:pPr>
      <w:r>
        <w:t>Required facilities</w:t>
      </w:r>
    </w:p>
    <w:p>
      <w:pPr>
        <w:numPr>
          <w:ilvl w:val="0"/>
          <w:numId w:val="10"/>
        </w:numPr>
        <w:spacing w:before="0" w:after="80" w:line="290" w:lineRule="auto"/>
      </w:pPr>
      <w:r>
        <w:rPr>
          <w:rFonts w:ascii="Arial" w:hAnsi="Arial" w:eastAsia="Arial"/>
          <w:b/>
          <w:color w:val="151020"/>
          <w:sz w:val="22"/>
        </w:rPr>
        <w:t xml:space="preserve">Capacity and layout. </w:t>
      </w:r>
      <w:r>
        <w:rPr>
          <w:rFonts w:ascii="Arial" w:hAnsi="Arial" w:eastAsia="Arial"/>
          <w:color w:val="151020"/>
          <w:sz w:val="22"/>
        </w:rPr>
        <w:t>Seating for up to 80 people, team tables for laptop work, a presentation zone, two separated Sunday demo zones, mentor corners and a catering/water area.</w:t>
      </w:r>
    </w:p>
    <w:p>
      <w:pPr>
        <w:numPr>
          <w:ilvl w:val="0"/>
          <w:numId w:val="10"/>
        </w:numPr>
        <w:spacing w:before="0" w:after="80" w:line="290" w:lineRule="auto"/>
      </w:pPr>
      <w:r>
        <w:rPr>
          <w:rFonts w:ascii="Arial" w:hAnsi="Arial" w:eastAsia="Arial"/>
          <w:b/>
          <w:color w:val="151020"/>
          <w:sz w:val="22"/>
        </w:rPr>
        <w:t xml:space="preserve">Internet. </w:t>
      </w:r>
      <w:r>
        <w:rPr>
          <w:rFonts w:ascii="Arial" w:hAnsi="Arial" w:eastAsia="Arial"/>
          <w:color w:val="151020"/>
          <w:sz w:val="22"/>
        </w:rPr>
        <w:t>Stable connectivity for approximately 100 simultaneous devices, with an identified technical contact and permission for the organizers to bring backup connectivity.</w:t>
      </w:r>
    </w:p>
    <w:p>
      <w:pPr>
        <w:numPr>
          <w:ilvl w:val="0"/>
          <w:numId w:val="10"/>
        </w:numPr>
        <w:spacing w:before="0" w:after="80" w:line="290" w:lineRule="auto"/>
      </w:pPr>
      <w:r>
        <w:rPr>
          <w:rFonts w:ascii="Arial" w:hAnsi="Arial" w:eastAsia="Arial"/>
          <w:b/>
          <w:color w:val="151020"/>
          <w:sz w:val="22"/>
        </w:rPr>
        <w:t xml:space="preserve">Power. </w:t>
      </w:r>
      <w:r>
        <w:rPr>
          <w:rFonts w:ascii="Arial" w:hAnsi="Arial" w:eastAsia="Arial"/>
          <w:color w:val="151020"/>
          <w:sz w:val="22"/>
        </w:rPr>
        <w:t>Safe access to sufficient outlets for every team; permission to use tested extension boards and cable covers.</w:t>
      </w:r>
    </w:p>
    <w:p>
      <w:pPr>
        <w:numPr>
          <w:ilvl w:val="0"/>
          <w:numId w:val="10"/>
        </w:numPr>
        <w:spacing w:before="0" w:after="80" w:line="290" w:lineRule="auto"/>
      </w:pPr>
      <w:r>
        <w:rPr>
          <w:rFonts w:ascii="Arial" w:hAnsi="Arial" w:eastAsia="Arial"/>
          <w:b/>
          <w:color w:val="151020"/>
          <w:sz w:val="22"/>
        </w:rPr>
        <w:t xml:space="preserve">Presentation. </w:t>
      </w:r>
      <w:r>
        <w:rPr>
          <w:rFonts w:ascii="Arial" w:hAnsi="Arial" w:eastAsia="Arial"/>
          <w:color w:val="151020"/>
          <w:sz w:val="22"/>
        </w:rPr>
        <w:t>At least one central screen or projector with microphone support, plus a display or projector for each Sunday demo track.</w:t>
      </w:r>
    </w:p>
    <w:p>
      <w:pPr>
        <w:numPr>
          <w:ilvl w:val="0"/>
          <w:numId w:val="10"/>
        </w:numPr>
        <w:spacing w:before="0" w:after="80" w:line="290" w:lineRule="auto"/>
      </w:pPr>
      <w:r>
        <w:rPr>
          <w:rFonts w:ascii="Arial" w:hAnsi="Arial" w:eastAsia="Arial"/>
          <w:b/>
          <w:color w:val="151020"/>
          <w:sz w:val="22"/>
        </w:rPr>
        <w:t xml:space="preserve">Operating environment. </w:t>
      </w:r>
      <w:r>
        <w:rPr>
          <w:rFonts w:ascii="Arial" w:hAnsi="Arial" w:eastAsia="Arial"/>
          <w:color w:val="151020"/>
          <w:sz w:val="22"/>
        </w:rPr>
        <w:t>Air conditioning, restrooms, drinking-water access, accessibility information and appropriate lighting.</w:t>
      </w:r>
    </w:p>
    <w:p>
      <w:pPr>
        <w:numPr>
          <w:ilvl w:val="0"/>
          <w:numId w:val="10"/>
        </w:numPr>
        <w:spacing w:before="0" w:after="80" w:line="290" w:lineRule="auto"/>
      </w:pPr>
      <w:r>
        <w:rPr>
          <w:rFonts w:ascii="Arial" w:hAnsi="Arial" w:eastAsia="Arial"/>
          <w:b/>
          <w:color w:val="151020"/>
          <w:sz w:val="22"/>
        </w:rPr>
        <w:t xml:space="preserve">Safety and access. </w:t>
      </w:r>
      <w:r>
        <w:rPr>
          <w:rFonts w:ascii="Arial" w:hAnsi="Arial" w:eastAsia="Arial"/>
          <w:color w:val="151020"/>
          <w:sz w:val="22"/>
        </w:rPr>
        <w:t>Security, cleaning, entry procedures, emergency contacts, capacity limits and clear weekend opening/closing responsibility.</w:t>
      </w:r>
    </w:p>
    <w:p>
      <w:pPr>
        <w:pStyle w:val="Heading2"/>
      </w:pPr>
      <w:r>
        <w:t>Division of responsibility</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Venue partner</w:t>
            </w:r>
          </w:p>
        </w:tc>
        <w:tc>
          <w:tcPr>
            <w:tcW w:type="dxa" w:w="468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Organizing team</w:t>
            </w:r>
          </w:p>
        </w:tc>
      </w:tr>
      <w:tr>
        <w:trPr>
          <w:cantSplit/>
        </w:trPr>
        <w:tc>
          <w:tcPr>
            <w:tcW w:type="dxa" w:w="468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Space, utilities, agreed furniture and included AV</w:t>
            </w:r>
          </w:p>
        </w:tc>
        <w:tc>
          <w:tcPr>
            <w:tcW w:type="dxa" w:w="468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Program design, registration, participant communication and run of show</w:t>
            </w:r>
          </w:p>
        </w:tc>
      </w:tr>
      <w:tr>
        <w:trPr>
          <w:cantSplit/>
        </w:trPr>
        <w:tc>
          <w:tcPr>
            <w:tcW w:type="dxa" w:w="468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Weekend access, security, cleaning and venue technical contact</w:t>
            </w:r>
          </w:p>
        </w:tc>
        <w:tc>
          <w:tcPr>
            <w:tcW w:type="dxa" w:w="468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Catering procurement, event crew, mentors and participant support</w:t>
            </w:r>
          </w:p>
        </w:tc>
      </w:tr>
      <w:tr>
        <w:trPr>
          <w:cantSplit/>
        </w:trPr>
        <w:tc>
          <w:tcPr>
            <w:tcW w:type="dxa" w:w="468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Venue safety rules and emergency procedures</w:t>
            </w:r>
          </w:p>
        </w:tc>
        <w:tc>
          <w:tcPr>
            <w:tcW w:type="dxa" w:w="468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Code of conduct, dietary collection, project submissions and feedback</w:t>
            </w:r>
          </w:p>
        </w:tc>
      </w:tr>
      <w:tr>
        <w:trPr>
          <w:cantSplit/>
        </w:trPr>
        <w:tc>
          <w:tcPr>
            <w:tcW w:type="dxa" w:w="468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Brand assets and acknowledgement requirements</w:t>
            </w:r>
          </w:p>
        </w:tc>
        <w:tc>
          <w:tcPr>
            <w:tcW w:type="dxa" w:w="468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Partner visibility, photography coordination and post-event report</w:t>
            </w:r>
          </w:p>
        </w:tc>
      </w:tr>
    </w:tbl>
    <w:p>
      <w:r>
        <w:br w:type="page"/>
      </w:r>
    </w:p>
    <w:p>
      <w:pPr>
        <w:spacing w:before="0" w:after="80" w:line="320" w:lineRule="auto"/>
      </w:pPr>
      <w:r>
        <w:rPr>
          <w:rFonts w:ascii="Courier New" w:hAnsi="Courier New" w:eastAsia="Courier New"/>
          <w:b/>
          <w:i w:val="0"/>
          <w:color w:val="6D45B8"/>
          <w:sz w:val="18"/>
        </w:rPr>
        <w:t>07 / PARTNERSHIP VALUE</w:t>
      </w:r>
    </w:p>
    <w:p>
      <w:pPr>
        <w:pStyle w:val="Heading1"/>
      </w:pPr>
      <w:r>
        <w:t>A visible role in Da Nang's builder pipeline</w:t>
      </w:r>
    </w:p>
    <w:p>
      <w:pPr>
        <w:spacing w:before="0" w:after="240" w:line="307" w:lineRule="auto"/>
      </w:pPr>
      <w:r>
        <w:rPr>
          <w:rFonts w:ascii="Arial" w:hAnsi="Arial" w:eastAsia="Arial"/>
          <w:b w:val="0"/>
          <w:i w:val="0"/>
          <w:color w:val="625A6E"/>
          <w:sz w:val="22"/>
        </w:rPr>
        <w:t>The venue partner is not a background supplier. It becomes the physical home of a program that connects online learning, local technical talent and a direct continuation pathway into the Solana ecosystem.</w:t>
      </w:r>
    </w:p>
    <w:p>
      <w:pPr>
        <w:pStyle w:val="Heading2"/>
      </w:pPr>
      <w:r>
        <w:t>Venue partner benefits</w:t>
      </w:r>
    </w:p>
    <w:p>
      <w:pPr>
        <w:numPr>
          <w:ilvl w:val="0"/>
          <w:numId w:val="10"/>
        </w:numPr>
        <w:spacing w:before="0" w:after="80" w:line="290" w:lineRule="auto"/>
      </w:pPr>
      <w:r>
        <w:rPr>
          <w:rFonts w:ascii="Arial" w:hAnsi="Arial" w:eastAsia="Arial"/>
          <w:b/>
          <w:color w:val="151020"/>
          <w:sz w:val="22"/>
        </w:rPr>
        <w:t xml:space="preserve">Official recognition. </w:t>
      </w:r>
      <w:r>
        <w:rPr>
          <w:rFonts w:ascii="Arial" w:hAnsi="Arial" w:eastAsia="Arial"/>
          <w:color w:val="151020"/>
          <w:sz w:val="22"/>
        </w:rPr>
        <w:t>Named as the Official Venue Partner across the event website, registration pages and event communications.</w:t>
      </w:r>
    </w:p>
    <w:p>
      <w:pPr>
        <w:numPr>
          <w:ilvl w:val="0"/>
          <w:numId w:val="10"/>
        </w:numPr>
        <w:spacing w:before="0" w:after="80" w:line="290" w:lineRule="auto"/>
      </w:pPr>
      <w:r>
        <w:rPr>
          <w:rFonts w:ascii="Arial" w:hAnsi="Arial" w:eastAsia="Arial"/>
          <w:b/>
          <w:color w:val="151020"/>
          <w:sz w:val="22"/>
        </w:rPr>
        <w:t xml:space="preserve">On-site visibility. </w:t>
      </w:r>
      <w:r>
        <w:rPr>
          <w:rFonts w:ascii="Arial" w:hAnsi="Arial" w:eastAsia="Arial"/>
          <w:color w:val="151020"/>
          <w:sz w:val="22"/>
        </w:rPr>
        <w:t>Logo placement at registration, the central presentation area and both Sunday demo tracks, subject to agreed brand guidelines.</w:t>
      </w:r>
    </w:p>
    <w:p>
      <w:pPr>
        <w:numPr>
          <w:ilvl w:val="0"/>
          <w:numId w:val="10"/>
        </w:numPr>
        <w:spacing w:before="0" w:after="80" w:line="290" w:lineRule="auto"/>
      </w:pPr>
      <w:r>
        <w:rPr>
          <w:rFonts w:ascii="Arial" w:hAnsi="Arial" w:eastAsia="Arial"/>
          <w:b/>
          <w:color w:val="151020"/>
          <w:sz w:val="22"/>
        </w:rPr>
        <w:t xml:space="preserve">Opening participation. </w:t>
      </w:r>
      <w:r>
        <w:rPr>
          <w:rFonts w:ascii="Arial" w:hAnsi="Arial" w:eastAsia="Arial"/>
          <w:color w:val="151020"/>
          <w:sz w:val="22"/>
        </w:rPr>
        <w:t>A short welcome during Friday's kickoff and acknowledgement during Sunday's closing.</w:t>
      </w:r>
    </w:p>
    <w:p>
      <w:pPr>
        <w:numPr>
          <w:ilvl w:val="0"/>
          <w:numId w:val="10"/>
        </w:numPr>
        <w:spacing w:before="0" w:after="80" w:line="290" w:lineRule="auto"/>
      </w:pPr>
      <w:r>
        <w:rPr>
          <w:rFonts w:ascii="Arial" w:hAnsi="Arial" w:eastAsia="Arial"/>
          <w:b/>
          <w:color w:val="151020"/>
          <w:sz w:val="22"/>
        </w:rPr>
        <w:t xml:space="preserve">Talent access. </w:t>
      </w:r>
      <w:r>
        <w:rPr>
          <w:rFonts w:ascii="Arial" w:hAnsi="Arial" w:eastAsia="Arial"/>
          <w:color w:val="151020"/>
          <w:sz w:val="22"/>
        </w:rPr>
        <w:t>Direct engagement with approximately 70 builders and visibility into 11–12 emerging project teams.</w:t>
      </w:r>
    </w:p>
    <w:p>
      <w:pPr>
        <w:numPr>
          <w:ilvl w:val="0"/>
          <w:numId w:val="10"/>
        </w:numPr>
        <w:spacing w:before="0" w:after="80" w:line="290" w:lineRule="auto"/>
      </w:pPr>
      <w:r>
        <w:rPr>
          <w:rFonts w:ascii="Arial" w:hAnsi="Arial" w:eastAsia="Arial"/>
          <w:b/>
          <w:color w:val="151020"/>
          <w:sz w:val="22"/>
        </w:rPr>
        <w:t xml:space="preserve">Content and media. </w:t>
      </w:r>
      <w:r>
        <w:rPr>
          <w:rFonts w:ascii="Arial" w:hAnsi="Arial" w:eastAsia="Arial"/>
          <w:color w:val="151020"/>
          <w:sz w:val="22"/>
        </w:rPr>
        <w:t>Access to approved event photographs, project links and a concise post-event impact report.</w:t>
      </w:r>
    </w:p>
    <w:p>
      <w:pPr>
        <w:numPr>
          <w:ilvl w:val="0"/>
          <w:numId w:val="10"/>
        </w:numPr>
        <w:spacing w:before="0" w:after="80" w:line="290" w:lineRule="auto"/>
      </w:pPr>
      <w:r>
        <w:rPr>
          <w:rFonts w:ascii="Arial" w:hAnsi="Arial" w:eastAsia="Arial"/>
          <w:b/>
          <w:color w:val="151020"/>
          <w:sz w:val="22"/>
        </w:rPr>
        <w:t xml:space="preserve">Ecosystem association. </w:t>
      </w:r>
      <w:r>
        <w:rPr>
          <w:rFonts w:ascii="Arial" w:hAnsi="Arial" w:eastAsia="Arial"/>
          <w:color w:val="151020"/>
          <w:sz w:val="22"/>
        </w:rPr>
        <w:t>Association with a Superteam Vietnam Colosseum build effort focused on learning, iteration and real products.</w:t>
      </w:r>
    </w:p>
    <w:p>
      <w:pPr>
        <w:pStyle w:val="Heading2"/>
      </w:pPr>
      <w:r>
        <w:t>Core operating team</w:t>
      </w:r>
    </w:p>
    <w:tbl>
      <w:tblPr>
        <w:tblW w:type="dxa" w:w="9360"/>
        <w:jc w:val="left"/>
        <w:tblLayout w:type="fixed"/>
        <w:tblLook w:firstColumn="1" w:firstRow="1" w:lastColumn="0" w:lastRow="0" w:noHBand="0" w:noVBand="1" w:val="04A0"/>
        <w:tblInd w:w="120" w:type="dxa"/>
      </w:tblPr>
      <w:tblGrid>
        <w:gridCol w:w="2760"/>
        <w:gridCol w:w="6600"/>
      </w:tblGrid>
      <w:tr>
        <w:trPr>
          <w:tblHeader w:val="true"/>
        </w:trPr>
        <w:tc>
          <w:tcPr>
            <w:tcW w:type="dxa" w:w="276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Role</w:t>
            </w:r>
          </w:p>
        </w:tc>
        <w:tc>
          <w:tcPr>
            <w:tcW w:type="dxa" w:w="660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Responsibility</w:t>
            </w:r>
          </w:p>
        </w:tc>
      </w:tr>
      <w:tr>
        <w:trPr>
          <w:cantSplit/>
        </w:trPr>
        <w:tc>
          <w:tcPr>
            <w:tcW w:type="dxa" w:w="27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Hieu · program coordination</w:t>
            </w:r>
          </w:p>
        </w:tc>
        <w:tc>
          <w:tcPr>
            <w:tcW w:type="dxa" w:w="66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Program thesis, venue relationship, learning direction and ecosystem coordination</w:t>
            </w:r>
          </w:p>
        </w:tc>
      </w:tr>
      <w:tr>
        <w:trPr>
          <w:cantSplit/>
        </w:trPr>
        <w:tc>
          <w:tcPr>
            <w:tcW w:type="dxa" w:w="27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Danh · operations lead</w:t>
            </w:r>
          </w:p>
        </w:tc>
        <w:tc>
          <w:tcPr>
            <w:tcW w:type="dxa" w:w="66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Run of show, suppliers, crew, venue readiness, participant operations and incident escalation</w:t>
            </w:r>
          </w:p>
        </w:tc>
      </w:tr>
      <w:tr>
        <w:trPr>
          <w:cantSplit/>
        </w:trPr>
        <w:tc>
          <w:tcPr>
            <w:tcW w:type="dxa" w:w="27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Mentors · to be confirmed</w:t>
            </w:r>
          </w:p>
        </w:tc>
        <w:tc>
          <w:tcPr>
            <w:tcW w:type="dxa" w:w="66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Product, technical and go-to-market feedback across online and in-person checkpoints</w:t>
            </w:r>
          </w:p>
        </w:tc>
      </w:tr>
      <w:tr>
        <w:trPr>
          <w:cantSplit/>
        </w:trPr>
        <w:tc>
          <w:tcPr>
            <w:tcW w:type="dxa" w:w="27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Event crew</w:t>
            </w:r>
          </w:p>
        </w:tc>
        <w:tc>
          <w:tcPr>
            <w:tcW w:type="dxa" w:w="66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Registration, room operations, catering, timekeeping, technical support and documentation</w:t>
            </w:r>
          </w:p>
        </w:tc>
      </w:tr>
      <w:tr>
        <w:trPr>
          <w:cantSplit/>
        </w:trPr>
        <w:tc>
          <w:tcPr>
            <w:tcW w:type="dxa" w:w="27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DN Blockchain Hub / community collaborators</w:t>
            </w:r>
          </w:p>
        </w:tc>
        <w:tc>
          <w:tcPr>
            <w:tcW w:type="dxa" w:w="66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Local outreach and community support, subject to final confirmation</w:t>
            </w:r>
          </w:p>
        </w:tc>
      </w:tr>
    </w:tbl>
    <w:p>
      <w:r>
        <w:br w:type="page"/>
      </w:r>
    </w:p>
    <w:p>
      <w:pPr>
        <w:spacing w:before="0" w:after="80" w:line="320" w:lineRule="auto"/>
      </w:pPr>
      <w:r>
        <w:rPr>
          <w:rFonts w:ascii="Courier New" w:hAnsi="Courier New" w:eastAsia="Courier New"/>
          <w:b/>
          <w:i w:val="0"/>
          <w:color w:val="6D45B8"/>
          <w:sz w:val="18"/>
        </w:rPr>
        <w:t>07 / DELIVERY CONTROLS</w:t>
      </w:r>
    </w:p>
    <w:p>
      <w:pPr>
        <w:pStyle w:val="Heading1"/>
      </w:pPr>
      <w:r>
        <w:t>Safeguards, risks and readiness checks</w:t>
      </w:r>
    </w:p>
    <w:p>
      <w:pPr>
        <w:spacing w:before="0" w:after="240" w:line="307" w:lineRule="auto"/>
      </w:pPr>
      <w:r>
        <w:rPr>
          <w:rFonts w:ascii="Arial" w:hAnsi="Arial" w:eastAsia="Arial"/>
          <w:b w:val="0"/>
          <w:i w:val="0"/>
          <w:color w:val="625A6E"/>
          <w:sz w:val="22"/>
        </w:rPr>
        <w:t>A short event still needs explicit operating controls. Danh leads delivery, while venue and program responsibilities are confirmed before participants arrive.</w:t>
      </w:r>
    </w:p>
    <w:p>
      <w:pPr>
        <w:pStyle w:val="Heading2"/>
      </w:pPr>
      <w:r>
        <w:t>Participant safeguards</w:t>
      </w:r>
    </w:p>
    <w:p>
      <w:pPr>
        <w:numPr>
          <w:ilvl w:val="0"/>
          <w:numId w:val="10"/>
        </w:numPr>
        <w:spacing w:before="0" w:after="80" w:line="290" w:lineRule="auto"/>
      </w:pPr>
      <w:r>
        <w:rPr>
          <w:rFonts w:ascii="Arial" w:hAnsi="Arial" w:eastAsia="Arial"/>
          <w:color w:val="151020"/>
          <w:sz w:val="22"/>
        </w:rPr>
        <w:t>Published code of conduct and named escalation contacts.</w:t>
      </w:r>
    </w:p>
    <w:p>
      <w:pPr>
        <w:numPr>
          <w:ilvl w:val="0"/>
          <w:numId w:val="10"/>
        </w:numPr>
        <w:spacing w:before="0" w:after="80" w:line="290" w:lineRule="auto"/>
      </w:pPr>
      <w:r>
        <w:rPr>
          <w:rFonts w:ascii="Arial" w:hAnsi="Arial" w:eastAsia="Arial"/>
          <w:color w:val="151020"/>
          <w:sz w:val="22"/>
        </w:rPr>
        <w:t>No overnight venue operations and no expectation of overnight building.</w:t>
      </w:r>
    </w:p>
    <w:p>
      <w:pPr>
        <w:numPr>
          <w:ilvl w:val="0"/>
          <w:numId w:val="10"/>
        </w:numPr>
        <w:spacing w:before="0" w:after="80" w:line="290" w:lineRule="auto"/>
      </w:pPr>
      <w:r>
        <w:rPr>
          <w:rFonts w:ascii="Arial" w:hAnsi="Arial" w:eastAsia="Arial"/>
          <w:color w:val="151020"/>
          <w:sz w:val="22"/>
        </w:rPr>
        <w:t>Dietary and accessibility needs collected before catering and room plans are finalized.</w:t>
      </w:r>
    </w:p>
    <w:p>
      <w:pPr>
        <w:numPr>
          <w:ilvl w:val="0"/>
          <w:numId w:val="10"/>
        </w:numPr>
        <w:spacing w:before="0" w:after="80" w:line="290" w:lineRule="auto"/>
      </w:pPr>
      <w:r>
        <w:rPr>
          <w:rFonts w:ascii="Arial" w:hAnsi="Arial" w:eastAsia="Arial"/>
          <w:color w:val="151020"/>
          <w:sz w:val="22"/>
        </w:rPr>
        <w:t>Photo consent and project-visibility choices included in registration and submission flows.</w:t>
      </w:r>
    </w:p>
    <w:p>
      <w:pPr>
        <w:numPr>
          <w:ilvl w:val="0"/>
          <w:numId w:val="10"/>
        </w:numPr>
        <w:spacing w:before="0" w:after="80" w:line="290" w:lineRule="auto"/>
      </w:pPr>
      <w:r>
        <w:rPr>
          <w:rFonts w:ascii="Arial" w:hAnsi="Arial" w:eastAsia="Arial"/>
          <w:color w:val="151020"/>
          <w:sz w:val="22"/>
        </w:rPr>
        <w:t>First-aid supplies, emergency contacts and clear venue evacuation information.</w:t>
      </w:r>
    </w:p>
    <w:p>
      <w:pPr>
        <w:pStyle w:val="Heading2"/>
      </w:pPr>
      <w:r>
        <w:t>Key delivery risks</w:t>
      </w:r>
    </w:p>
    <w:tbl>
      <w:tblPr>
        <w:tblW w:type="dxa" w:w="9360"/>
        <w:jc w:val="left"/>
        <w:tblLayout w:type="fixed"/>
        <w:tblLook w:firstColumn="1" w:firstRow="1" w:lastColumn="0" w:lastRow="0" w:noHBand="0" w:noVBand="1" w:val="04A0"/>
        <w:tblInd w:w="120" w:type="dxa"/>
      </w:tblPr>
      <w:tblGrid>
        <w:gridCol w:w="2100"/>
        <w:gridCol w:w="5700"/>
        <w:gridCol w:w="1560"/>
      </w:tblGrid>
      <w:tr>
        <w:trPr>
          <w:tblHeader w:val="true"/>
        </w:trPr>
        <w:tc>
          <w:tcPr>
            <w:tcW w:type="dxa" w:w="210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Risk</w:t>
            </w:r>
          </w:p>
        </w:tc>
        <w:tc>
          <w:tcPr>
            <w:tcW w:type="dxa" w:w="570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Mitigation</w:t>
            </w:r>
          </w:p>
        </w:tc>
        <w:tc>
          <w:tcPr>
            <w:tcW w:type="dxa" w:w="156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Owner</w:t>
            </w:r>
          </w:p>
        </w:tc>
      </w:tr>
      <w:tr>
        <w:trPr>
          <w:cantSplit/>
        </w:trPr>
        <w:tc>
          <w:tcPr>
            <w:tcW w:type="dxa" w:w="21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Participants arrive unprepared</w:t>
            </w:r>
          </w:p>
        </w:tc>
        <w:tc>
          <w:tcPr>
            <w:tcW w:type="dxa" w:w="57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Online readiness gate by 17 September; incomplete teams receive remote support before Friday</w:t>
            </w:r>
          </w:p>
        </w:tc>
        <w:tc>
          <w:tcPr>
            <w:tcW w:type="dxa" w:w="15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Program</w:t>
            </w:r>
          </w:p>
        </w:tc>
      </w:tr>
      <w:tr>
        <w:trPr>
          <w:cantSplit/>
        </w:trPr>
        <w:tc>
          <w:tcPr>
            <w:tcW w:type="dxa" w:w="21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Internet instability</w:t>
            </w:r>
          </w:p>
        </w:tc>
        <w:tc>
          <w:tcPr>
            <w:tcW w:type="dxa" w:w="57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Pre-event load test, venue technical contact and backup connectivity budget</w:t>
            </w:r>
          </w:p>
        </w:tc>
        <w:tc>
          <w:tcPr>
            <w:tcW w:type="dxa" w:w="15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Ops + venue</w:t>
            </w:r>
          </w:p>
        </w:tc>
      </w:tr>
      <w:tr>
        <w:trPr>
          <w:cantSplit/>
        </w:trPr>
        <w:tc>
          <w:tcPr>
            <w:tcW w:type="dxa" w:w="21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Lower Sunday attendance</w:t>
            </w:r>
          </w:p>
        </w:tc>
        <w:tc>
          <w:tcPr>
            <w:tcW w:type="dxa" w:w="57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Submission deadline and team demo slots confirmed Saturday; Sunday ends before lunch</w:t>
            </w:r>
          </w:p>
        </w:tc>
        <w:tc>
          <w:tcPr>
            <w:tcW w:type="dxa" w:w="15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Ops</w:t>
            </w:r>
          </w:p>
        </w:tc>
      </w:tr>
      <w:tr>
        <w:trPr>
          <w:cantSplit/>
        </w:trPr>
        <w:tc>
          <w:tcPr>
            <w:tcW w:type="dxa" w:w="21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Demo tracks interfere</w:t>
            </w:r>
          </w:p>
        </w:tc>
        <w:tc>
          <w:tcPr>
            <w:tcW w:type="dxa" w:w="57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Separate rooms or acoustically separated zones; no competing public-address systems</w:t>
            </w:r>
          </w:p>
        </w:tc>
        <w:tc>
          <w:tcPr>
            <w:tcW w:type="dxa" w:w="15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Venue</w:t>
            </w:r>
          </w:p>
        </w:tc>
      </w:tr>
      <w:tr>
        <w:trPr>
          <w:cantSplit/>
        </w:trPr>
        <w:tc>
          <w:tcPr>
            <w:tcW w:type="dxa" w:w="21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Catering variance</w:t>
            </w:r>
          </w:p>
        </w:tc>
        <w:tc>
          <w:tcPr>
            <w:tcW w:type="dxa" w:w="570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Final attendance confirmation, dietary list and 5% delivery buffer</w:t>
            </w:r>
          </w:p>
        </w:tc>
        <w:tc>
          <w:tcPr>
            <w:tcW w:type="dxa" w:w="15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Ops</w:t>
            </w:r>
          </w:p>
        </w:tc>
      </w:tr>
      <w:tr>
        <w:trPr>
          <w:cantSplit/>
        </w:trPr>
        <w:tc>
          <w:tcPr>
            <w:tcW w:type="dxa" w:w="21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No local prize reduces urgency</w:t>
            </w:r>
          </w:p>
        </w:tc>
        <w:tc>
          <w:tcPr>
            <w:tcW w:type="dxa" w:w="570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Progress checkpoints, public demos, mentor access and clear subtrack continuation value</w:t>
            </w:r>
          </w:p>
        </w:tc>
        <w:tc>
          <w:tcPr>
            <w:tcW w:type="dxa" w:w="15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Program</w:t>
            </w:r>
          </w:p>
        </w:tc>
      </w:tr>
    </w:tbl>
    <w:p>
      <w:pPr>
        <w:pStyle w:val="Heading2"/>
      </w:pPr>
      <w:r>
        <w:t>Go / no-go checks</w:t>
      </w:r>
    </w:p>
    <w:p>
      <w:pPr>
        <w:numPr>
          <w:ilvl w:val="0"/>
          <w:numId w:val="10"/>
        </w:numPr>
        <w:spacing w:before="0" w:after="80" w:line="290" w:lineRule="auto"/>
      </w:pPr>
      <w:r>
        <w:rPr>
          <w:rFonts w:ascii="Arial" w:hAnsi="Arial" w:eastAsia="Arial"/>
          <w:b/>
          <w:color w:val="151020"/>
          <w:sz w:val="22"/>
        </w:rPr>
        <w:t xml:space="preserve">72 hours before. </w:t>
      </w:r>
      <w:r>
        <w:rPr>
          <w:rFonts w:ascii="Arial" w:hAnsi="Arial" w:eastAsia="Arial"/>
          <w:color w:val="151020"/>
          <w:sz w:val="22"/>
        </w:rPr>
        <w:t>Confirm venue access, final headcount, dietary list, crew rota, demo tracks and supplier delivery windows.</w:t>
      </w:r>
    </w:p>
    <w:p>
      <w:pPr>
        <w:numPr>
          <w:ilvl w:val="0"/>
          <w:numId w:val="10"/>
        </w:numPr>
        <w:spacing w:before="0" w:after="80" w:line="290" w:lineRule="auto"/>
      </w:pPr>
      <w:r>
        <w:rPr>
          <w:rFonts w:ascii="Arial" w:hAnsi="Arial" w:eastAsia="Arial"/>
          <w:b/>
          <w:color w:val="151020"/>
          <w:sz w:val="22"/>
        </w:rPr>
        <w:t xml:space="preserve">Before each opening. </w:t>
      </w:r>
      <w:r>
        <w:rPr>
          <w:rFonts w:ascii="Arial" w:hAnsi="Arial" w:eastAsia="Arial"/>
          <w:color w:val="151020"/>
          <w:sz w:val="22"/>
        </w:rPr>
        <w:t>Test internet, power, displays, microphones, QR codes, emergency contacts and room circulation.</w:t>
      </w:r>
    </w:p>
    <w:p>
      <w:pPr>
        <w:numPr>
          <w:ilvl w:val="0"/>
          <w:numId w:val="10"/>
        </w:numPr>
        <w:spacing w:before="0" w:after="80" w:line="290" w:lineRule="auto"/>
      </w:pPr>
      <w:r>
        <w:rPr>
          <w:rFonts w:ascii="Arial" w:hAnsi="Arial" w:eastAsia="Arial"/>
          <w:b/>
          <w:color w:val="151020"/>
          <w:sz w:val="22"/>
        </w:rPr>
        <w:t xml:space="preserve">Before Sunday demos. </w:t>
      </w:r>
      <w:r>
        <w:rPr>
          <w:rFonts w:ascii="Arial" w:hAnsi="Arial" w:eastAsia="Arial"/>
          <w:color w:val="151020"/>
          <w:sz w:val="22"/>
        </w:rPr>
        <w:t>Lock track assignments, confirm both mentors, publish the submission deadline and test every project page.</w:t>
      </w:r>
    </w:p>
    <w:p>
      <w:r>
        <w:br w:type="page"/>
      </w:r>
    </w:p>
    <w:p>
      <w:pPr>
        <w:spacing w:before="0" w:after="80" w:line="320" w:lineRule="auto"/>
      </w:pPr>
      <w:r>
        <w:rPr>
          <w:rFonts w:ascii="Courier New" w:hAnsi="Courier New" w:eastAsia="Courier New"/>
          <w:b/>
          <w:i w:val="0"/>
          <w:color w:val="6D45B8"/>
          <w:sz w:val="18"/>
        </w:rPr>
        <w:t>08 / BUDGET</w:t>
      </w:r>
    </w:p>
    <w:p>
      <w:pPr>
        <w:pStyle w:val="Heading1"/>
      </w:pPr>
      <w:r>
        <w:t>A VND 60 million cash plan, with venue supplied in kind</w:t>
      </w:r>
    </w:p>
    <w:p>
      <w:pPr>
        <w:spacing w:before="0" w:after="240" w:line="307" w:lineRule="auto"/>
      </w:pPr>
      <w:r>
        <w:rPr>
          <w:rFonts w:ascii="Arial" w:hAnsi="Arial" w:eastAsia="Arial"/>
          <w:b w:val="0"/>
          <w:i w:val="0"/>
          <w:color w:val="625A6E"/>
          <w:sz w:val="22"/>
        </w:rPr>
        <w:t>The budget prioritizes participant food, paid operational responsibility and delivery reliability. It excludes local prizes, venue rental and website-development labor.</w:t>
      </w:r>
    </w:p>
    <w:p>
      <w:pPr>
        <w:pStyle w:val="Heading2"/>
      </w:pPr>
      <w:r>
        <w:t>Catering plan · 80 catered people</w:t>
      </w:r>
    </w:p>
    <w:tbl>
      <w:tblPr>
        <w:tblW w:type="dxa" w:w="9360"/>
        <w:jc w:val="left"/>
        <w:tblLayout w:type="fixed"/>
        <w:tblLook w:firstColumn="1" w:firstRow="1" w:lastColumn="0" w:lastRow="0" w:noHBand="0" w:noVBand="1" w:val="04A0"/>
        <w:tblInd w:w="120" w:type="dxa"/>
      </w:tblPr>
      <w:tblGrid>
        <w:gridCol w:w="4050"/>
        <w:gridCol w:w="2790"/>
        <w:gridCol w:w="2520"/>
      </w:tblGrid>
      <w:tr>
        <w:trPr>
          <w:tblHeader w:val="true"/>
        </w:trPr>
        <w:tc>
          <w:tcPr>
            <w:tcW w:type="dxa" w:w="405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Item</w:t>
            </w:r>
          </w:p>
        </w:tc>
        <w:tc>
          <w:tcPr>
            <w:tcW w:type="dxa" w:w="279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Planning basis</w:t>
            </w:r>
          </w:p>
        </w:tc>
        <w:tc>
          <w:tcPr>
            <w:tcW w:type="dxa" w:w="252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right"/>
            </w:pPr>
            <w:r>
              <w:rPr>
                <w:rFonts w:ascii="Arial" w:hAnsi="Arial" w:eastAsia="Arial"/>
                <w:b/>
                <w:color w:val="FFFFFF"/>
                <w:sz w:val="17"/>
              </w:rPr>
              <w:t>Budget</w:t>
            </w:r>
          </w:p>
        </w:tc>
      </w:tr>
      <w:tr>
        <w:trPr>
          <w:cantSplit/>
        </w:trPr>
        <w:tc>
          <w:tcPr>
            <w:tcW w:type="dxa" w:w="405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Friday light dinner</w:t>
            </w:r>
          </w:p>
        </w:tc>
        <w:tc>
          <w:tcPr>
            <w:tcW w:type="dxa" w:w="279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80 × VND 80,000</w:t>
            </w:r>
          </w:p>
        </w:tc>
        <w:tc>
          <w:tcPr>
            <w:tcW w:type="dxa" w:w="2520"/>
            <w:tcBorders>
              <w:top w:val="single" w:sz="4" w:color="D9D2E3"/>
              <w:bottom w:val="single" w:sz="4" w:color="D9D2E3"/>
              <w:start w:val="single" w:sz="4" w:color="D9D2E3"/>
              <w:end w:val="single" w:sz="4" w:color="D9D2E3"/>
            </w:tcBorders>
          </w:tcPr>
          <w:p>
            <w:pPr>
              <w:pStyle w:val="TableBody"/>
              <w:jc w:val="right"/>
            </w:pPr>
            <w:r>
              <w:rPr>
                <w:rFonts w:ascii="Arial" w:hAnsi="Arial" w:eastAsia="Arial"/>
                <w:color w:val="151020"/>
                <w:sz w:val="18"/>
              </w:rPr>
              <w:t>VND 6.4m</w:t>
            </w:r>
          </w:p>
        </w:tc>
      </w:tr>
      <w:tr>
        <w:trPr>
          <w:cantSplit/>
        </w:trPr>
        <w:tc>
          <w:tcPr>
            <w:tcW w:type="dxa" w:w="405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Saturday lunch</w:t>
            </w:r>
          </w:p>
        </w:tc>
        <w:tc>
          <w:tcPr>
            <w:tcW w:type="dxa" w:w="279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80 × VND 80,000</w:t>
            </w:r>
          </w:p>
        </w:tc>
        <w:tc>
          <w:tcPr>
            <w:tcW w:type="dxa" w:w="2520"/>
            <w:shd w:fill="F7F5FA"/>
            <w:tcBorders>
              <w:top w:val="single" w:sz="4" w:color="D9D2E3"/>
              <w:bottom w:val="single" w:sz="4" w:color="D9D2E3"/>
              <w:start w:val="single" w:sz="4" w:color="D9D2E3"/>
              <w:end w:val="single" w:sz="4" w:color="D9D2E3"/>
            </w:tcBorders>
          </w:tcPr>
          <w:p>
            <w:pPr>
              <w:pStyle w:val="TableBody"/>
              <w:jc w:val="right"/>
            </w:pPr>
            <w:r>
              <w:rPr>
                <w:rFonts w:ascii="Arial" w:hAnsi="Arial" w:eastAsia="Arial"/>
                <w:color w:val="151020"/>
                <w:sz w:val="18"/>
              </w:rPr>
              <w:t>VND 6.4m</w:t>
            </w:r>
          </w:p>
        </w:tc>
      </w:tr>
      <w:tr>
        <w:trPr>
          <w:cantSplit/>
        </w:trPr>
        <w:tc>
          <w:tcPr>
            <w:tcW w:type="dxa" w:w="405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Saturday tea break</w:t>
            </w:r>
          </w:p>
        </w:tc>
        <w:tc>
          <w:tcPr>
            <w:tcW w:type="dxa" w:w="279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80 × VND 55,000</w:t>
            </w:r>
          </w:p>
        </w:tc>
        <w:tc>
          <w:tcPr>
            <w:tcW w:type="dxa" w:w="2520"/>
            <w:tcBorders>
              <w:top w:val="single" w:sz="4" w:color="D9D2E3"/>
              <w:bottom w:val="single" w:sz="4" w:color="D9D2E3"/>
              <w:start w:val="single" w:sz="4" w:color="D9D2E3"/>
              <w:end w:val="single" w:sz="4" w:color="D9D2E3"/>
            </w:tcBorders>
          </w:tcPr>
          <w:p>
            <w:pPr>
              <w:pStyle w:val="TableBody"/>
              <w:jc w:val="right"/>
            </w:pPr>
            <w:r>
              <w:rPr>
                <w:rFonts w:ascii="Arial" w:hAnsi="Arial" w:eastAsia="Arial"/>
                <w:color w:val="151020"/>
                <w:sz w:val="18"/>
              </w:rPr>
              <w:t>VND 4.4m</w:t>
            </w:r>
          </w:p>
        </w:tc>
      </w:tr>
      <w:tr>
        <w:trPr>
          <w:cantSplit/>
        </w:trPr>
        <w:tc>
          <w:tcPr>
            <w:tcW w:type="dxa" w:w="405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Sunday coffee + light breakfast</w:t>
            </w:r>
          </w:p>
        </w:tc>
        <w:tc>
          <w:tcPr>
            <w:tcW w:type="dxa" w:w="279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80 × VND 55,000</w:t>
            </w:r>
          </w:p>
        </w:tc>
        <w:tc>
          <w:tcPr>
            <w:tcW w:type="dxa" w:w="2520"/>
            <w:shd w:fill="F7F5FA"/>
            <w:tcBorders>
              <w:top w:val="single" w:sz="4" w:color="D9D2E3"/>
              <w:bottom w:val="single" w:sz="4" w:color="D9D2E3"/>
              <w:start w:val="single" w:sz="4" w:color="D9D2E3"/>
              <w:end w:val="single" w:sz="4" w:color="D9D2E3"/>
            </w:tcBorders>
          </w:tcPr>
          <w:p>
            <w:pPr>
              <w:pStyle w:val="TableBody"/>
              <w:jc w:val="right"/>
            </w:pPr>
            <w:r>
              <w:rPr>
                <w:rFonts w:ascii="Arial" w:hAnsi="Arial" w:eastAsia="Arial"/>
                <w:color w:val="151020"/>
                <w:sz w:val="18"/>
              </w:rPr>
              <w:t>VND 4.4m</w:t>
            </w:r>
          </w:p>
        </w:tc>
      </w:tr>
      <w:tr>
        <w:trPr>
          <w:cantSplit/>
        </w:trPr>
        <w:tc>
          <w:tcPr>
            <w:tcW w:type="dxa" w:w="405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Water and continuous coffee</w:t>
            </w:r>
          </w:p>
        </w:tc>
        <w:tc>
          <w:tcPr>
            <w:tcW w:type="dxa" w:w="279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Weekend provision</w:t>
            </w:r>
          </w:p>
        </w:tc>
        <w:tc>
          <w:tcPr>
            <w:tcW w:type="dxa" w:w="2520"/>
            <w:tcBorders>
              <w:top w:val="single" w:sz="4" w:color="D9D2E3"/>
              <w:bottom w:val="single" w:sz="4" w:color="D9D2E3"/>
              <w:start w:val="single" w:sz="4" w:color="D9D2E3"/>
              <w:end w:val="single" w:sz="4" w:color="D9D2E3"/>
            </w:tcBorders>
          </w:tcPr>
          <w:p>
            <w:pPr>
              <w:pStyle w:val="TableBody"/>
              <w:jc w:val="right"/>
            </w:pPr>
            <w:r>
              <w:rPr>
                <w:rFonts w:ascii="Arial" w:hAnsi="Arial" w:eastAsia="Arial"/>
                <w:color w:val="151020"/>
                <w:sz w:val="18"/>
              </w:rPr>
              <w:t>VND 2.4m</w:t>
            </w:r>
          </w:p>
        </w:tc>
      </w:tr>
      <w:tr>
        <w:trPr>
          <w:cantSplit/>
        </w:trPr>
        <w:tc>
          <w:tcPr>
            <w:tcW w:type="dxa" w:w="405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Delivery and dietary buffer</w:t>
            </w:r>
          </w:p>
        </w:tc>
        <w:tc>
          <w:tcPr>
            <w:tcW w:type="dxa" w:w="279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Approximately 5%</w:t>
            </w:r>
          </w:p>
        </w:tc>
        <w:tc>
          <w:tcPr>
            <w:tcW w:type="dxa" w:w="2520"/>
            <w:shd w:fill="F7F5FA"/>
            <w:tcBorders>
              <w:top w:val="single" w:sz="4" w:color="D9D2E3"/>
              <w:bottom w:val="single" w:sz="4" w:color="D9D2E3"/>
              <w:start w:val="single" w:sz="4" w:color="D9D2E3"/>
              <w:end w:val="single" w:sz="4" w:color="D9D2E3"/>
            </w:tcBorders>
          </w:tcPr>
          <w:p>
            <w:pPr>
              <w:pStyle w:val="TableBody"/>
              <w:jc w:val="right"/>
            </w:pPr>
            <w:r>
              <w:rPr>
                <w:rFonts w:ascii="Arial" w:hAnsi="Arial" w:eastAsia="Arial"/>
                <w:color w:val="151020"/>
                <w:sz w:val="18"/>
              </w:rPr>
              <w:t>VND 1.6m</w:t>
            </w:r>
          </w:p>
        </w:tc>
      </w:tr>
      <w:tr>
        <w:trPr>
          <w:cantSplit/>
        </w:trPr>
        <w:tc>
          <w:tcPr>
            <w:tcW w:type="dxa" w:w="405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Catering subtotal</w:t>
            </w:r>
          </w:p>
        </w:tc>
        <w:tc>
          <w:tcPr>
            <w:tcW w:type="dxa" w:w="279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r>
          </w:p>
        </w:tc>
        <w:tc>
          <w:tcPr>
            <w:tcW w:type="dxa" w:w="2520"/>
            <w:tcBorders>
              <w:top w:val="single" w:sz="4" w:color="D9D2E3"/>
              <w:bottom w:val="single" w:sz="4" w:color="D9D2E3"/>
              <w:start w:val="single" w:sz="4" w:color="D9D2E3"/>
              <w:end w:val="single" w:sz="4" w:color="D9D2E3"/>
            </w:tcBorders>
          </w:tcPr>
          <w:p>
            <w:pPr>
              <w:pStyle w:val="TableBody"/>
              <w:jc w:val="right"/>
            </w:pPr>
            <w:r>
              <w:rPr>
                <w:rFonts w:ascii="Arial" w:hAnsi="Arial" w:eastAsia="Arial"/>
                <w:color w:val="151020"/>
                <w:sz w:val="18"/>
              </w:rPr>
              <w:t>VND 25.6m</w:t>
            </w:r>
          </w:p>
        </w:tc>
      </w:tr>
    </w:tbl>
    <w:p>
      <w:pPr>
        <w:pStyle w:val="Heading2"/>
      </w:pPr>
      <w:r>
        <w:t>Operations plan</w:t>
      </w:r>
    </w:p>
    <w:tbl>
      <w:tblPr>
        <w:tblW w:type="dxa" w:w="9360"/>
        <w:jc w:val="left"/>
        <w:tblLayout w:type="fixed"/>
        <w:tblLook w:firstColumn="1" w:firstRow="1" w:lastColumn="0" w:lastRow="0" w:noHBand="0" w:noVBand="1" w:val="04A0"/>
        <w:tblInd w:w="120" w:type="dxa"/>
      </w:tblPr>
      <w:tblGrid>
        <w:gridCol w:w="3810"/>
        <w:gridCol w:w="3030"/>
        <w:gridCol w:w="2520"/>
      </w:tblGrid>
      <w:tr>
        <w:trPr>
          <w:tblHeader w:val="true"/>
        </w:trPr>
        <w:tc>
          <w:tcPr>
            <w:tcW w:type="dxa" w:w="381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Item</w:t>
            </w:r>
          </w:p>
        </w:tc>
        <w:tc>
          <w:tcPr>
            <w:tcW w:type="dxa" w:w="303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Scope</w:t>
            </w:r>
          </w:p>
        </w:tc>
        <w:tc>
          <w:tcPr>
            <w:tcW w:type="dxa" w:w="252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right"/>
            </w:pPr>
            <w:r>
              <w:rPr>
                <w:rFonts w:ascii="Arial" w:hAnsi="Arial" w:eastAsia="Arial"/>
                <w:b/>
                <w:color w:val="FFFFFF"/>
                <w:sz w:val="17"/>
              </w:rPr>
              <w:t>Budget</w:t>
            </w:r>
          </w:p>
        </w:tc>
      </w:tr>
      <w:tr>
        <w:trPr>
          <w:cantSplit/>
        </w:trPr>
        <w:tc>
          <w:tcPr>
            <w:tcW w:type="dxa" w:w="381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Operations lead</w:t>
            </w:r>
          </w:p>
        </w:tc>
        <w:tc>
          <w:tcPr>
            <w:tcW w:type="dxa" w:w="303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Planning and delivery leadership</w:t>
            </w:r>
          </w:p>
        </w:tc>
        <w:tc>
          <w:tcPr>
            <w:tcW w:type="dxa" w:w="2520"/>
            <w:tcBorders>
              <w:top w:val="single" w:sz="4" w:color="D9D2E3"/>
              <w:bottom w:val="single" w:sz="4" w:color="D9D2E3"/>
              <w:start w:val="single" w:sz="4" w:color="D9D2E3"/>
              <w:end w:val="single" w:sz="4" w:color="D9D2E3"/>
            </w:tcBorders>
          </w:tcPr>
          <w:p>
            <w:pPr>
              <w:pStyle w:val="TableBody"/>
              <w:jc w:val="right"/>
            </w:pPr>
            <w:r>
              <w:rPr>
                <w:rFonts w:ascii="Arial" w:hAnsi="Arial" w:eastAsia="Arial"/>
                <w:color w:val="151020"/>
                <w:sz w:val="17"/>
              </w:rPr>
              <w:t>VND 8.0m</w:t>
            </w:r>
          </w:p>
        </w:tc>
      </w:tr>
      <w:tr>
        <w:trPr>
          <w:cantSplit/>
        </w:trPr>
        <w:tc>
          <w:tcPr>
            <w:tcW w:type="dxa" w:w="381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Event crew</w:t>
            </w:r>
          </w:p>
        </w:tc>
        <w:tc>
          <w:tcPr>
            <w:tcW w:type="dxa" w:w="303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Four-person support across 2.5 days</w:t>
            </w:r>
          </w:p>
        </w:tc>
        <w:tc>
          <w:tcPr>
            <w:tcW w:type="dxa" w:w="2520"/>
            <w:shd w:fill="F7F5FA"/>
            <w:tcBorders>
              <w:top w:val="single" w:sz="4" w:color="D9D2E3"/>
              <w:bottom w:val="single" w:sz="4" w:color="D9D2E3"/>
              <w:start w:val="single" w:sz="4" w:color="D9D2E3"/>
              <w:end w:val="single" w:sz="4" w:color="D9D2E3"/>
            </w:tcBorders>
          </w:tcPr>
          <w:p>
            <w:pPr>
              <w:pStyle w:val="TableBody"/>
              <w:jc w:val="right"/>
            </w:pPr>
            <w:r>
              <w:rPr>
                <w:rFonts w:ascii="Arial" w:hAnsi="Arial" w:eastAsia="Arial"/>
                <w:color w:val="151020"/>
                <w:sz w:val="17"/>
              </w:rPr>
              <w:t>VND 4.5m</w:t>
            </w:r>
          </w:p>
        </w:tc>
      </w:tr>
      <w:tr>
        <w:trPr>
          <w:cantSplit/>
        </w:trPr>
        <w:tc>
          <w:tcPr>
            <w:tcW w:type="dxa" w:w="381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AV, internet and power backup</w:t>
            </w:r>
          </w:p>
        </w:tc>
        <w:tc>
          <w:tcPr>
            <w:tcW w:type="dxa" w:w="303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Only for gaps in venue provision</w:t>
            </w:r>
          </w:p>
        </w:tc>
        <w:tc>
          <w:tcPr>
            <w:tcW w:type="dxa" w:w="2520"/>
            <w:tcBorders>
              <w:top w:val="single" w:sz="4" w:color="D9D2E3"/>
              <w:bottom w:val="single" w:sz="4" w:color="D9D2E3"/>
              <w:start w:val="single" w:sz="4" w:color="D9D2E3"/>
              <w:end w:val="single" w:sz="4" w:color="D9D2E3"/>
            </w:tcBorders>
          </w:tcPr>
          <w:p>
            <w:pPr>
              <w:pStyle w:val="TableBody"/>
              <w:jc w:val="right"/>
            </w:pPr>
            <w:r>
              <w:rPr>
                <w:rFonts w:ascii="Arial" w:hAnsi="Arial" w:eastAsia="Arial"/>
                <w:color w:val="151020"/>
                <w:sz w:val="17"/>
              </w:rPr>
              <w:t>VND 3.0m</w:t>
            </w:r>
          </w:p>
        </w:tc>
      </w:tr>
      <w:tr>
        <w:trPr>
          <w:cantSplit/>
        </w:trPr>
        <w:tc>
          <w:tcPr>
            <w:tcW w:type="dxa" w:w="381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Photography and media</w:t>
            </w:r>
          </w:p>
        </w:tc>
        <w:tc>
          <w:tcPr>
            <w:tcW w:type="dxa" w:w="303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Selected event coverage</w:t>
            </w:r>
          </w:p>
        </w:tc>
        <w:tc>
          <w:tcPr>
            <w:tcW w:type="dxa" w:w="2520"/>
            <w:shd w:fill="F7F5FA"/>
            <w:tcBorders>
              <w:top w:val="single" w:sz="4" w:color="D9D2E3"/>
              <w:bottom w:val="single" w:sz="4" w:color="D9D2E3"/>
              <w:start w:val="single" w:sz="4" w:color="D9D2E3"/>
              <w:end w:val="single" w:sz="4" w:color="D9D2E3"/>
            </w:tcBorders>
          </w:tcPr>
          <w:p>
            <w:pPr>
              <w:pStyle w:val="TableBody"/>
              <w:jc w:val="right"/>
            </w:pPr>
            <w:r>
              <w:rPr>
                <w:rFonts w:ascii="Arial" w:hAnsi="Arial" w:eastAsia="Arial"/>
                <w:color w:val="151020"/>
                <w:sz w:val="17"/>
              </w:rPr>
              <w:t>VND 4.0m</w:t>
            </w:r>
          </w:p>
        </w:tc>
      </w:tr>
      <w:tr>
        <w:trPr>
          <w:cantSplit/>
        </w:trPr>
        <w:tc>
          <w:tcPr>
            <w:tcW w:type="dxa" w:w="381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Printing and signage</w:t>
            </w:r>
          </w:p>
        </w:tc>
        <w:tc>
          <w:tcPr>
            <w:tcW w:type="dxa" w:w="303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Badges, schedules and partner visibility</w:t>
            </w:r>
          </w:p>
        </w:tc>
        <w:tc>
          <w:tcPr>
            <w:tcW w:type="dxa" w:w="2520"/>
            <w:tcBorders>
              <w:top w:val="single" w:sz="4" w:color="D9D2E3"/>
              <w:bottom w:val="single" w:sz="4" w:color="D9D2E3"/>
              <w:start w:val="single" w:sz="4" w:color="D9D2E3"/>
              <w:end w:val="single" w:sz="4" w:color="D9D2E3"/>
            </w:tcBorders>
          </w:tcPr>
          <w:p>
            <w:pPr>
              <w:pStyle w:val="TableBody"/>
              <w:jc w:val="right"/>
            </w:pPr>
            <w:r>
              <w:rPr>
                <w:rFonts w:ascii="Arial" w:hAnsi="Arial" w:eastAsia="Arial"/>
                <w:color w:val="151020"/>
                <w:sz w:val="17"/>
              </w:rPr>
              <w:t>VND 2.5m</w:t>
            </w:r>
          </w:p>
        </w:tc>
      </w:tr>
      <w:tr>
        <w:trPr>
          <w:cantSplit/>
        </w:trPr>
        <w:tc>
          <w:tcPr>
            <w:tcW w:type="dxa" w:w="381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Supplies, first aid and cleaning buffer</w:t>
            </w:r>
          </w:p>
        </w:tc>
        <w:tc>
          <w:tcPr>
            <w:tcW w:type="dxa" w:w="303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Event consumables and safety</w:t>
            </w:r>
          </w:p>
        </w:tc>
        <w:tc>
          <w:tcPr>
            <w:tcW w:type="dxa" w:w="2520"/>
            <w:shd w:fill="F7F5FA"/>
            <w:tcBorders>
              <w:top w:val="single" w:sz="4" w:color="D9D2E3"/>
              <w:bottom w:val="single" w:sz="4" w:color="D9D2E3"/>
              <w:start w:val="single" w:sz="4" w:color="D9D2E3"/>
              <w:end w:val="single" w:sz="4" w:color="D9D2E3"/>
            </w:tcBorders>
          </w:tcPr>
          <w:p>
            <w:pPr>
              <w:pStyle w:val="TableBody"/>
              <w:jc w:val="right"/>
            </w:pPr>
            <w:r>
              <w:rPr>
                <w:rFonts w:ascii="Arial" w:hAnsi="Arial" w:eastAsia="Arial"/>
                <w:color w:val="151020"/>
                <w:sz w:val="17"/>
              </w:rPr>
              <w:t>VND 2.5m</w:t>
            </w:r>
          </w:p>
        </w:tc>
      </w:tr>
      <w:tr>
        <w:trPr>
          <w:cantSplit/>
        </w:trPr>
        <w:tc>
          <w:tcPr>
            <w:tcW w:type="dxa" w:w="381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Mentor and local transport</w:t>
            </w:r>
          </w:p>
        </w:tc>
        <w:tc>
          <w:tcPr>
            <w:tcW w:type="dxa" w:w="303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Reasonable reimbursements</w:t>
            </w:r>
          </w:p>
        </w:tc>
        <w:tc>
          <w:tcPr>
            <w:tcW w:type="dxa" w:w="2520"/>
            <w:tcBorders>
              <w:top w:val="single" w:sz="4" w:color="D9D2E3"/>
              <w:bottom w:val="single" w:sz="4" w:color="D9D2E3"/>
              <w:start w:val="single" w:sz="4" w:color="D9D2E3"/>
              <w:end w:val="single" w:sz="4" w:color="D9D2E3"/>
            </w:tcBorders>
          </w:tcPr>
          <w:p>
            <w:pPr>
              <w:pStyle w:val="TableBody"/>
              <w:jc w:val="right"/>
            </w:pPr>
            <w:r>
              <w:rPr>
                <w:rFonts w:ascii="Arial" w:hAnsi="Arial" w:eastAsia="Arial"/>
                <w:color w:val="151020"/>
                <w:sz w:val="17"/>
              </w:rPr>
              <w:t>VND 2.0m</w:t>
            </w:r>
          </w:p>
        </w:tc>
      </w:tr>
      <w:tr>
        <w:trPr>
          <w:cantSplit/>
        </w:trPr>
        <w:tc>
          <w:tcPr>
            <w:tcW w:type="dxa" w:w="381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Website operating services</w:t>
            </w:r>
          </w:p>
        </w:tc>
        <w:tc>
          <w:tcPr>
            <w:tcW w:type="dxa" w:w="303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Hosting, email and storage; not development</w:t>
            </w:r>
          </w:p>
        </w:tc>
        <w:tc>
          <w:tcPr>
            <w:tcW w:type="dxa" w:w="2520"/>
            <w:shd w:fill="F7F5FA"/>
            <w:tcBorders>
              <w:top w:val="single" w:sz="4" w:color="D9D2E3"/>
              <w:bottom w:val="single" w:sz="4" w:color="D9D2E3"/>
              <w:start w:val="single" w:sz="4" w:color="D9D2E3"/>
              <w:end w:val="single" w:sz="4" w:color="D9D2E3"/>
            </w:tcBorders>
          </w:tcPr>
          <w:p>
            <w:pPr>
              <w:pStyle w:val="TableBody"/>
              <w:jc w:val="right"/>
            </w:pPr>
            <w:r>
              <w:rPr>
                <w:rFonts w:ascii="Arial" w:hAnsi="Arial" w:eastAsia="Arial"/>
                <w:color w:val="151020"/>
                <w:sz w:val="17"/>
              </w:rPr>
              <w:t>VND 1.5m</w:t>
            </w:r>
          </w:p>
        </w:tc>
      </w:tr>
      <w:tr>
        <w:trPr>
          <w:cantSplit/>
        </w:trPr>
        <w:tc>
          <w:tcPr>
            <w:tcW w:type="dxa" w:w="381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Operations subtotal</w:t>
            </w:r>
          </w:p>
        </w:tc>
        <w:tc>
          <w:tcPr>
            <w:tcW w:type="dxa" w:w="303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r>
          </w:p>
        </w:tc>
        <w:tc>
          <w:tcPr>
            <w:tcW w:type="dxa" w:w="2520"/>
            <w:tcBorders>
              <w:top w:val="single" w:sz="4" w:color="D9D2E3"/>
              <w:bottom w:val="single" w:sz="4" w:color="D9D2E3"/>
              <w:start w:val="single" w:sz="4" w:color="D9D2E3"/>
              <w:end w:val="single" w:sz="4" w:color="D9D2E3"/>
            </w:tcBorders>
          </w:tcPr>
          <w:p>
            <w:pPr>
              <w:pStyle w:val="TableBody"/>
              <w:jc w:val="right"/>
            </w:pPr>
            <w:r>
              <w:rPr>
                <w:rFonts w:ascii="Arial" w:hAnsi="Arial" w:eastAsia="Arial"/>
                <w:color w:val="151020"/>
                <w:sz w:val="17"/>
              </w:rPr>
              <w:t>VND 28.0m</w:t>
            </w:r>
          </w:p>
        </w:tc>
      </w:tr>
      <w:tr>
        <w:trPr>
          <w:cantSplit/>
        </w:trPr>
        <w:tc>
          <w:tcPr>
            <w:tcW w:type="dxa" w:w="381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Contingency</w:t>
            </w:r>
          </w:p>
        </w:tc>
        <w:tc>
          <w:tcPr>
            <w:tcW w:type="dxa" w:w="303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Approximately 10%</w:t>
            </w:r>
          </w:p>
        </w:tc>
        <w:tc>
          <w:tcPr>
            <w:tcW w:type="dxa" w:w="2520"/>
            <w:shd w:fill="F7F5FA"/>
            <w:tcBorders>
              <w:top w:val="single" w:sz="4" w:color="D9D2E3"/>
              <w:bottom w:val="single" w:sz="4" w:color="D9D2E3"/>
              <w:start w:val="single" w:sz="4" w:color="D9D2E3"/>
              <w:end w:val="single" w:sz="4" w:color="D9D2E3"/>
            </w:tcBorders>
          </w:tcPr>
          <w:p>
            <w:pPr>
              <w:pStyle w:val="TableBody"/>
              <w:jc w:val="right"/>
            </w:pPr>
            <w:r>
              <w:rPr>
                <w:rFonts w:ascii="Arial" w:hAnsi="Arial" w:eastAsia="Arial"/>
                <w:color w:val="151020"/>
                <w:sz w:val="17"/>
              </w:rPr>
              <w:t>VND 5.4m</w:t>
            </w:r>
          </w:p>
        </w:tc>
      </w:tr>
      <w:tr>
        <w:trPr>
          <w:cantSplit/>
        </w:trPr>
        <w:tc>
          <w:tcPr>
            <w:tcW w:type="dxa" w:w="381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Planned cash total</w:t>
            </w:r>
          </w:p>
        </w:tc>
        <w:tc>
          <w:tcPr>
            <w:tcW w:type="dxa" w:w="303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Rounded funding target: VND 60.0m</w:t>
            </w:r>
          </w:p>
        </w:tc>
        <w:tc>
          <w:tcPr>
            <w:tcW w:type="dxa" w:w="2520"/>
            <w:tcBorders>
              <w:top w:val="single" w:sz="4" w:color="D9D2E3"/>
              <w:bottom w:val="single" w:sz="4" w:color="D9D2E3"/>
              <w:start w:val="single" w:sz="4" w:color="D9D2E3"/>
              <w:end w:val="single" w:sz="4" w:color="D9D2E3"/>
            </w:tcBorders>
          </w:tcPr>
          <w:p>
            <w:pPr>
              <w:pStyle w:val="TableBody"/>
              <w:jc w:val="right"/>
            </w:pPr>
            <w:r>
              <w:rPr>
                <w:rFonts w:ascii="Arial" w:hAnsi="Arial" w:eastAsia="Arial"/>
                <w:color w:val="151020"/>
                <w:sz w:val="17"/>
              </w:rPr>
              <w:t>VND 59.0m</w:t>
            </w:r>
          </w:p>
        </w:tc>
      </w:tr>
    </w:tbl>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FF5DD"/>
            <w:tcBorders>
              <w:top w:val="nil"/>
              <w:bottom w:val="nil"/>
              <w:start w:val="single" w:sz="24" w:color="8A5A00"/>
              <w:end w:val="nil"/>
            </w:tcBorders>
          </w:tcPr>
          <w:p>
            <w:pPr>
              <w:pStyle w:val="TableBody"/>
              <w:spacing w:before="40" w:after="40"/>
            </w:pPr>
            <w:r>
              <w:rPr>
                <w:rFonts w:ascii="Courier New" w:hAnsi="Courier New" w:eastAsia="Courier New"/>
                <w:b/>
                <w:color w:val="8A5A00"/>
                <w:sz w:val="18"/>
              </w:rPr>
              <w:t xml:space="preserve">EXPLICIT EXCLUSIONS  </w:t>
            </w:r>
            <w:r>
              <w:rPr>
                <w:rFonts w:ascii="Arial" w:hAnsi="Arial" w:eastAsia="Arial"/>
                <w:b w:val="0"/>
                <w:color w:val="151020"/>
                <w:sz w:val="20"/>
              </w:rPr>
              <w:t>No local prize pool · venue supplied in kind · website development contributed or separately sponsored · mentors unpaid except for reasonable transport · the Superteam Vietnam subtrack prize is external to this event budget.</w:t>
            </w:r>
          </w:p>
        </w:tc>
      </w:tr>
    </w:tbl>
    <w:p>
      <w:pPr>
        <w:spacing w:before="0" w:after="80" w:line="320" w:lineRule="auto"/>
      </w:pPr>
      <w:r>
        <w:rPr>
          <w:rFonts w:ascii="Arial" w:hAnsi="Arial" w:eastAsia="Arial"/>
          <w:b w:val="0"/>
          <w:i w:val="0"/>
          <w:color w:val="151020"/>
          <w:sz w:val="2"/>
        </w:rPr>
      </w:r>
    </w:p>
    <w:p>
      <w:pPr>
        <w:pStyle w:val="Heading2"/>
      </w:pPr>
      <w:r>
        <w:t>Proposed cash-funding structure</w:t>
      </w:r>
    </w:p>
    <w:tbl>
      <w:tblPr>
        <w:tblW w:type="dxa" w:w="9360"/>
        <w:jc w:val="left"/>
        <w:tblLayout w:type="fixed"/>
        <w:tblLook w:firstColumn="1" w:firstRow="1" w:lastColumn="0" w:lastRow="0" w:noHBand="0" w:noVBand="1" w:val="04A0"/>
        <w:tblInd w:w="120" w:type="dxa"/>
      </w:tblPr>
      <w:tblGrid>
        <w:gridCol w:w="3210"/>
        <w:gridCol w:w="1710"/>
        <w:gridCol w:w="4440"/>
      </w:tblGrid>
      <w:tr>
        <w:trPr>
          <w:tblHeader w:val="true"/>
        </w:trPr>
        <w:tc>
          <w:tcPr>
            <w:tcW w:type="dxa" w:w="321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Partner type</w:t>
            </w:r>
          </w:p>
        </w:tc>
        <w:tc>
          <w:tcPr>
            <w:tcW w:type="dxa" w:w="171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right"/>
            </w:pPr>
            <w:r>
              <w:rPr>
                <w:rFonts w:ascii="Arial" w:hAnsi="Arial" w:eastAsia="Arial"/>
                <w:b/>
                <w:color w:val="FFFFFF"/>
                <w:sz w:val="17"/>
              </w:rPr>
              <w:t>Target</w:t>
            </w:r>
          </w:p>
        </w:tc>
        <w:tc>
          <w:tcPr>
            <w:tcW w:type="dxa" w:w="444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Primary coverage</w:t>
            </w:r>
          </w:p>
        </w:tc>
      </w:tr>
      <w:tr>
        <w:trPr>
          <w:cantSplit/>
        </w:trPr>
        <w:tc>
          <w:tcPr>
            <w:tcW w:type="dxa" w:w="321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Program / operations partner</w:t>
            </w:r>
          </w:p>
        </w:tc>
        <w:tc>
          <w:tcPr>
            <w:tcW w:type="dxa" w:w="1710"/>
            <w:tcBorders>
              <w:top w:val="single" w:sz="4" w:color="D9D2E3"/>
              <w:bottom w:val="single" w:sz="4" w:color="D9D2E3"/>
              <w:start w:val="single" w:sz="4" w:color="D9D2E3"/>
              <w:end w:val="single" w:sz="4" w:color="D9D2E3"/>
            </w:tcBorders>
          </w:tcPr>
          <w:p>
            <w:pPr>
              <w:pStyle w:val="TableBody"/>
              <w:jc w:val="right"/>
            </w:pPr>
            <w:r>
              <w:rPr>
                <w:rFonts w:ascii="Arial" w:hAnsi="Arial" w:eastAsia="Arial"/>
                <w:color w:val="151020"/>
                <w:sz w:val="18"/>
              </w:rPr>
              <w:t>VND 25m</w:t>
            </w:r>
          </w:p>
        </w:tc>
        <w:tc>
          <w:tcPr>
            <w:tcW w:type="dxa" w:w="444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Operations lead, crew and program delivery</w:t>
            </w:r>
          </w:p>
        </w:tc>
      </w:tr>
      <w:tr>
        <w:trPr>
          <w:cantSplit/>
        </w:trPr>
        <w:tc>
          <w:tcPr>
            <w:tcW w:type="dxa" w:w="321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Food partner</w:t>
            </w:r>
          </w:p>
        </w:tc>
        <w:tc>
          <w:tcPr>
            <w:tcW w:type="dxa" w:w="1710"/>
            <w:shd w:fill="F7F5FA"/>
            <w:tcBorders>
              <w:top w:val="single" w:sz="4" w:color="D9D2E3"/>
              <w:bottom w:val="single" w:sz="4" w:color="D9D2E3"/>
              <w:start w:val="single" w:sz="4" w:color="D9D2E3"/>
              <w:end w:val="single" w:sz="4" w:color="D9D2E3"/>
            </w:tcBorders>
          </w:tcPr>
          <w:p>
            <w:pPr>
              <w:pStyle w:val="TableBody"/>
              <w:jc w:val="right"/>
            </w:pPr>
            <w:r>
              <w:rPr>
                <w:rFonts w:ascii="Arial" w:hAnsi="Arial" w:eastAsia="Arial"/>
                <w:color w:val="151020"/>
                <w:sz w:val="18"/>
              </w:rPr>
              <w:t>VND 25m</w:t>
            </w:r>
          </w:p>
        </w:tc>
        <w:tc>
          <w:tcPr>
            <w:tcW w:type="dxa" w:w="444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Participant meals, breaks and hydration</w:t>
            </w:r>
          </w:p>
        </w:tc>
      </w:tr>
      <w:tr>
        <w:trPr>
          <w:cantSplit/>
        </w:trPr>
        <w:tc>
          <w:tcPr>
            <w:tcW w:type="dxa" w:w="321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Two supporting partners</w:t>
            </w:r>
          </w:p>
        </w:tc>
        <w:tc>
          <w:tcPr>
            <w:tcW w:type="dxa" w:w="1710"/>
            <w:tcBorders>
              <w:top w:val="single" w:sz="4" w:color="D9D2E3"/>
              <w:bottom w:val="single" w:sz="4" w:color="D9D2E3"/>
              <w:start w:val="single" w:sz="4" w:color="D9D2E3"/>
              <w:end w:val="single" w:sz="4" w:color="D9D2E3"/>
            </w:tcBorders>
          </w:tcPr>
          <w:p>
            <w:pPr>
              <w:pStyle w:val="TableBody"/>
              <w:jc w:val="right"/>
            </w:pPr>
            <w:r>
              <w:rPr>
                <w:rFonts w:ascii="Arial" w:hAnsi="Arial" w:eastAsia="Arial"/>
                <w:color w:val="151020"/>
                <w:sz w:val="18"/>
              </w:rPr>
              <w:t>VND 5m each</w:t>
            </w:r>
          </w:p>
        </w:tc>
        <w:tc>
          <w:tcPr>
            <w:tcW w:type="dxa" w:w="444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Media, supplies, transport and contingency</w:t>
            </w:r>
          </w:p>
        </w:tc>
      </w:tr>
      <w:tr>
        <w:trPr>
          <w:cantSplit/>
        </w:trPr>
        <w:tc>
          <w:tcPr>
            <w:tcW w:type="dxa" w:w="321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Venue partner</w:t>
            </w:r>
          </w:p>
        </w:tc>
        <w:tc>
          <w:tcPr>
            <w:tcW w:type="dxa" w:w="1710"/>
            <w:shd w:fill="F7F5FA"/>
            <w:tcBorders>
              <w:top w:val="single" w:sz="4" w:color="D9D2E3"/>
              <w:bottom w:val="single" w:sz="4" w:color="D9D2E3"/>
              <w:start w:val="single" w:sz="4" w:color="D9D2E3"/>
              <w:end w:val="single" w:sz="4" w:color="D9D2E3"/>
            </w:tcBorders>
          </w:tcPr>
          <w:p>
            <w:pPr>
              <w:pStyle w:val="TableBody"/>
              <w:jc w:val="right"/>
            </w:pPr>
            <w:r>
              <w:rPr>
                <w:rFonts w:ascii="Arial" w:hAnsi="Arial" w:eastAsia="Arial"/>
                <w:color w:val="151020"/>
                <w:sz w:val="18"/>
              </w:rPr>
              <w:t>In kind</w:t>
            </w:r>
          </w:p>
        </w:tc>
        <w:tc>
          <w:tcPr>
            <w:tcW w:type="dxa" w:w="444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8"/>
              </w:rPr>
              <w:t>Space, utilities, agreed AV, security and cleaning</w:t>
            </w:r>
          </w:p>
        </w:tc>
      </w:tr>
    </w:tbl>
    <w:p>
      <w:r>
        <w:br w:type="page"/>
      </w:r>
    </w:p>
    <w:p>
      <w:pPr>
        <w:spacing w:before="0" w:after="80" w:line="320" w:lineRule="auto"/>
      </w:pPr>
      <w:r>
        <w:rPr>
          <w:rFonts w:ascii="Courier New" w:hAnsi="Courier New" w:eastAsia="Courier New"/>
          <w:b/>
          <w:i w:val="0"/>
          <w:color w:val="6D45B8"/>
          <w:sz w:val="18"/>
        </w:rPr>
        <w:t>09 / MEASUREMENT AND CLOSE</w:t>
      </w:r>
    </w:p>
    <w:p>
      <w:pPr>
        <w:pStyle w:val="Heading1"/>
      </w:pPr>
      <w:r>
        <w:t>How success will be measured and reported</w:t>
      </w:r>
    </w:p>
    <w:p>
      <w:pPr>
        <w:spacing w:before="0" w:after="240" w:line="307" w:lineRule="auto"/>
      </w:pPr>
      <w:r>
        <w:rPr>
          <w:rFonts w:ascii="Arial" w:hAnsi="Arial" w:eastAsia="Arial"/>
          <w:b w:val="0"/>
          <w:i w:val="0"/>
          <w:color w:val="625A6E"/>
          <w:sz w:val="22"/>
        </w:rPr>
        <w:t>The organizing team will report outcomes that reflect learning, building and continuation—not vanity attendance alone. The venue partner receives a concise report within seven days of the in-person weekend.</w:t>
      </w:r>
    </w:p>
    <w:p>
      <w:pPr>
        <w:pStyle w:val="Heading2"/>
      </w:pPr>
      <w:r>
        <w:t>Proposed success measures</w:t>
      </w:r>
    </w:p>
    <w:tbl>
      <w:tblPr>
        <w:tblW w:type="dxa" w:w="9360"/>
        <w:jc w:val="left"/>
        <w:tblLayout w:type="fixed"/>
        <w:tblLook w:firstColumn="1" w:firstRow="1" w:lastColumn="0" w:lastRow="0" w:noHBand="0" w:noVBand="1" w:val="04A0"/>
        <w:tblInd w:w="120" w:type="dxa"/>
      </w:tblPr>
      <w:tblGrid>
        <w:gridCol w:w="2760"/>
        <w:gridCol w:w="2520"/>
        <w:gridCol w:w="4080"/>
      </w:tblGrid>
      <w:tr>
        <w:trPr>
          <w:tblHeader w:val="true"/>
        </w:trPr>
        <w:tc>
          <w:tcPr>
            <w:tcW w:type="dxa" w:w="276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Measure</w:t>
            </w:r>
          </w:p>
        </w:tc>
        <w:tc>
          <w:tcPr>
            <w:tcW w:type="dxa" w:w="252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Target</w:t>
            </w:r>
          </w:p>
        </w:tc>
        <w:tc>
          <w:tcPr>
            <w:tcW w:type="dxa" w:w="4080"/>
            <w:vAlign w:val="center"/>
            <w:tcMar>
              <w:top w:w="80" w:type="dxa"/>
              <w:bottom w:w="80" w:type="dxa"/>
              <w:start w:w="120" w:type="dxa"/>
              <w:end w:w="120" w:type="dxa"/>
            </w:tcMar>
            <w:shd w:fill="42296F"/>
            <w:tcBorders>
              <w:top w:val="single" w:sz="4" w:color="42296F"/>
              <w:bottom w:val="single" w:sz="4" w:color="42296F"/>
              <w:start w:val="single" w:sz="4" w:color="42296F"/>
              <w:end w:val="single" w:sz="4" w:color="42296F"/>
            </w:tcBorders>
          </w:tcPr>
          <w:p>
            <w:pPr>
              <w:pStyle w:val="TableHeader"/>
              <w:jc w:val="left"/>
            </w:pPr>
            <w:r>
              <w:rPr>
                <w:rFonts w:ascii="Arial" w:hAnsi="Arial" w:eastAsia="Arial"/>
                <w:b/>
                <w:color w:val="FFFFFF"/>
                <w:sz w:val="17"/>
              </w:rPr>
              <w:t>Evidence</w:t>
            </w:r>
          </w:p>
        </w:tc>
      </w:tr>
      <w:tr>
        <w:trPr>
          <w:cantSplit/>
        </w:trPr>
        <w:tc>
          <w:tcPr>
            <w:tcW w:type="dxa" w:w="27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Builder participation</w:t>
            </w:r>
          </w:p>
        </w:tc>
        <w:tc>
          <w:tcPr>
            <w:tcW w:type="dxa" w:w="252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70 participants</w:t>
            </w:r>
          </w:p>
        </w:tc>
        <w:tc>
          <w:tcPr>
            <w:tcW w:type="dxa" w:w="408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Registration and check-in</w:t>
            </w:r>
          </w:p>
        </w:tc>
      </w:tr>
      <w:tr>
        <w:trPr>
          <w:cantSplit/>
        </w:trPr>
        <w:tc>
          <w:tcPr>
            <w:tcW w:type="dxa" w:w="27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Active teams</w:t>
            </w:r>
          </w:p>
        </w:tc>
        <w:tc>
          <w:tcPr>
            <w:tcW w:type="dxa" w:w="252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11–12 teams</w:t>
            </w:r>
          </w:p>
        </w:tc>
        <w:tc>
          <w:tcPr>
            <w:tcW w:type="dxa" w:w="408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Website project workspaces</w:t>
            </w:r>
          </w:p>
        </w:tc>
      </w:tr>
      <w:tr>
        <w:trPr>
          <w:cantSplit/>
        </w:trPr>
        <w:tc>
          <w:tcPr>
            <w:tcW w:type="dxa" w:w="27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Sunday submissions</w:t>
            </w:r>
          </w:p>
        </w:tc>
        <w:tc>
          <w:tcPr>
            <w:tcW w:type="dxa" w:w="252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11–12 projects</w:t>
            </w:r>
          </w:p>
        </w:tc>
        <w:tc>
          <w:tcPr>
            <w:tcW w:type="dxa" w:w="408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Timestamped website submissions</w:t>
            </w:r>
          </w:p>
        </w:tc>
      </w:tr>
      <w:tr>
        <w:trPr>
          <w:cantSplit/>
        </w:trPr>
        <w:tc>
          <w:tcPr>
            <w:tcW w:type="dxa" w:w="27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Iteration completion</w:t>
            </w:r>
          </w:p>
        </w:tc>
        <w:tc>
          <w:tcPr>
            <w:tcW w:type="dxa" w:w="252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At least 80% of teams publish two or more meaningful checkpoints</w:t>
            </w:r>
          </w:p>
        </w:tc>
        <w:tc>
          <w:tcPr>
            <w:tcW w:type="dxa" w:w="408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Project histories</w:t>
            </w:r>
          </w:p>
        </w:tc>
      </w:tr>
      <w:tr>
        <w:trPr>
          <w:cantSplit/>
        </w:trPr>
        <w:tc>
          <w:tcPr>
            <w:tcW w:type="dxa" w:w="276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Subtrack continuation</w:t>
            </w:r>
          </w:p>
        </w:tc>
        <w:tc>
          <w:tcPr>
            <w:tcW w:type="dxa" w:w="252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At least 8 teams continue toward the Superteam Vietnam subtrack</w:t>
            </w:r>
          </w:p>
        </w:tc>
        <w:tc>
          <w:tcPr>
            <w:tcW w:type="dxa" w:w="4080"/>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Post-event project updates</w:t>
            </w:r>
          </w:p>
        </w:tc>
      </w:tr>
      <w:tr>
        <w:trPr>
          <w:cantSplit/>
        </w:trPr>
        <w:tc>
          <w:tcPr>
            <w:tcW w:type="dxa" w:w="276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Partner visibility</w:t>
            </w:r>
          </w:p>
        </w:tc>
        <w:tc>
          <w:tcPr>
            <w:tcW w:type="dxa" w:w="252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Agreed digital and on-site placements delivered</w:t>
            </w:r>
          </w:p>
        </w:tc>
        <w:tc>
          <w:tcPr>
            <w:tcW w:type="dxa" w:w="4080"/>
            <w:shd w:fill="F7F5FA"/>
            <w:tcBorders>
              <w:top w:val="single" w:sz="4" w:color="D9D2E3"/>
              <w:bottom w:val="single" w:sz="4" w:color="D9D2E3"/>
              <w:start w:val="single" w:sz="4" w:color="D9D2E3"/>
              <w:end w:val="single" w:sz="4" w:color="D9D2E3"/>
            </w:tcBorders>
          </w:tcPr>
          <w:p>
            <w:pPr>
              <w:pStyle w:val="TableBody"/>
              <w:jc w:val="left"/>
            </w:pPr>
            <w:r>
              <w:rPr>
                <w:rFonts w:ascii="Arial" w:hAnsi="Arial" w:eastAsia="Arial"/>
                <w:color w:val="151020"/>
                <w:sz w:val="17"/>
              </w:rPr>
              <w:t>Website, event photos and signage record</w:t>
            </w:r>
          </w:p>
        </w:tc>
      </w:tr>
    </w:tbl>
    <w:p>
      <w:pPr>
        <w:pStyle w:val="Heading2"/>
      </w:pPr>
      <w:r>
        <w:t>Post-event report</w:t>
      </w:r>
    </w:p>
    <w:p>
      <w:pPr>
        <w:numPr>
          <w:ilvl w:val="0"/>
          <w:numId w:val="10"/>
        </w:numPr>
        <w:spacing w:before="0" w:after="80" w:line="290" w:lineRule="auto"/>
      </w:pPr>
      <w:r>
        <w:rPr>
          <w:rFonts w:ascii="Arial" w:hAnsi="Arial" w:eastAsia="Arial"/>
          <w:color w:val="151020"/>
          <w:sz w:val="22"/>
        </w:rPr>
        <w:t>Attendance, team and submission totals.</w:t>
      </w:r>
    </w:p>
    <w:p>
      <w:pPr>
        <w:numPr>
          <w:ilvl w:val="0"/>
          <w:numId w:val="10"/>
        </w:numPr>
        <w:spacing w:before="0" w:after="80" w:line="290" w:lineRule="auto"/>
      </w:pPr>
      <w:r>
        <w:rPr>
          <w:rFonts w:ascii="Arial" w:hAnsi="Arial" w:eastAsia="Arial"/>
          <w:color w:val="151020"/>
          <w:sz w:val="22"/>
        </w:rPr>
        <w:t>Project directory with links and short descriptions.</w:t>
      </w:r>
    </w:p>
    <w:p>
      <w:pPr>
        <w:numPr>
          <w:ilvl w:val="0"/>
          <w:numId w:val="10"/>
        </w:numPr>
        <w:spacing w:before="0" w:after="80" w:line="290" w:lineRule="auto"/>
      </w:pPr>
      <w:r>
        <w:rPr>
          <w:rFonts w:ascii="Arial" w:hAnsi="Arial" w:eastAsia="Arial"/>
          <w:color w:val="151020"/>
          <w:sz w:val="22"/>
        </w:rPr>
        <w:t>Checkpoint and continuation metrics.</w:t>
      </w:r>
    </w:p>
    <w:p>
      <w:pPr>
        <w:numPr>
          <w:ilvl w:val="0"/>
          <w:numId w:val="10"/>
        </w:numPr>
        <w:spacing w:before="0" w:after="80" w:line="290" w:lineRule="auto"/>
      </w:pPr>
      <w:r>
        <w:rPr>
          <w:rFonts w:ascii="Arial" w:hAnsi="Arial" w:eastAsia="Arial"/>
          <w:color w:val="151020"/>
          <w:sz w:val="22"/>
        </w:rPr>
        <w:t>Approved photography and partner-visibility record.</w:t>
      </w:r>
    </w:p>
    <w:p>
      <w:pPr>
        <w:numPr>
          <w:ilvl w:val="0"/>
          <w:numId w:val="10"/>
        </w:numPr>
        <w:spacing w:before="0" w:after="80" w:line="290" w:lineRule="auto"/>
      </w:pPr>
      <w:r>
        <w:rPr>
          <w:rFonts w:ascii="Arial" w:hAnsi="Arial" w:eastAsia="Arial"/>
          <w:color w:val="151020"/>
          <w:sz w:val="22"/>
        </w:rPr>
        <w:t>Operational lessons and recommendations for the next program.</w:t>
      </w:r>
    </w:p>
    <w:p>
      <w:pPr>
        <w:pStyle w:val="Heading2"/>
      </w:pPr>
      <w:r>
        <w:t>Partnership next steps</w:t>
      </w:r>
    </w:p>
    <w:p>
      <w:pPr>
        <w:numPr>
          <w:ilvl w:val="0"/>
          <w:numId w:val="12"/>
        </w:numPr>
        <w:spacing w:before="0" w:after="80" w:line="290" w:lineRule="auto"/>
      </w:pPr>
      <w:r>
        <w:rPr>
          <w:rFonts w:ascii="Arial" w:hAnsi="Arial" w:eastAsia="Arial"/>
          <w:b/>
          <w:color w:val="151020"/>
          <w:sz w:val="22"/>
        </w:rPr>
        <w:t xml:space="preserve">Confirm interest. </w:t>
      </w:r>
      <w:r>
        <w:rPr>
          <w:rFonts w:ascii="Arial" w:hAnsi="Arial" w:eastAsia="Arial"/>
          <w:color w:val="151020"/>
          <w:sz w:val="22"/>
        </w:rPr>
        <w:t>Agree that the venue can support the dates, capacity and requested operating hours.</w:t>
      </w:r>
    </w:p>
    <w:p>
      <w:pPr>
        <w:numPr>
          <w:ilvl w:val="0"/>
          <w:numId w:val="12"/>
        </w:numPr>
        <w:spacing w:before="0" w:after="80" w:line="290" w:lineRule="auto"/>
      </w:pPr>
      <w:r>
        <w:rPr>
          <w:rFonts w:ascii="Arial" w:hAnsi="Arial" w:eastAsia="Arial"/>
          <w:b/>
          <w:color w:val="151020"/>
          <w:sz w:val="22"/>
        </w:rPr>
        <w:t xml:space="preserve">Complete a site and infrastructure check. </w:t>
      </w:r>
      <w:r>
        <w:rPr>
          <w:rFonts w:ascii="Arial" w:hAnsi="Arial" w:eastAsia="Arial"/>
          <w:color w:val="151020"/>
          <w:sz w:val="22"/>
        </w:rPr>
        <w:t>Validate internet, power, layouts, accessibility, AV and Sunday demo separation.</w:t>
      </w:r>
    </w:p>
    <w:p>
      <w:pPr>
        <w:numPr>
          <w:ilvl w:val="0"/>
          <w:numId w:val="12"/>
        </w:numPr>
        <w:spacing w:before="0" w:after="80" w:line="290" w:lineRule="auto"/>
      </w:pPr>
      <w:r>
        <w:rPr>
          <w:rFonts w:ascii="Arial" w:hAnsi="Arial" w:eastAsia="Arial"/>
          <w:b/>
          <w:color w:val="151020"/>
          <w:sz w:val="22"/>
        </w:rPr>
        <w:t xml:space="preserve">Document the in-kind contribution. </w:t>
      </w:r>
      <w:r>
        <w:rPr>
          <w:rFonts w:ascii="Arial" w:hAnsi="Arial" w:eastAsia="Arial"/>
          <w:color w:val="151020"/>
          <w:sz w:val="22"/>
        </w:rPr>
        <w:t>Record the venue's normal commercial value and the exact services included.</w:t>
      </w:r>
    </w:p>
    <w:p>
      <w:pPr>
        <w:numPr>
          <w:ilvl w:val="0"/>
          <w:numId w:val="12"/>
        </w:numPr>
        <w:spacing w:before="0" w:after="80" w:line="290" w:lineRule="auto"/>
      </w:pPr>
      <w:r>
        <w:rPr>
          <w:rFonts w:ascii="Arial" w:hAnsi="Arial" w:eastAsia="Arial"/>
          <w:b/>
          <w:color w:val="151020"/>
          <w:sz w:val="22"/>
        </w:rPr>
        <w:t xml:space="preserve">Exchange brand assets and contacts. </w:t>
      </w:r>
      <w:r>
        <w:rPr>
          <w:rFonts w:ascii="Arial" w:hAnsi="Arial" w:eastAsia="Arial"/>
          <w:color w:val="151020"/>
          <w:sz w:val="22"/>
        </w:rPr>
        <w:t>Confirm public naming, logo use, technical contact and incident escalation route.</w:t>
      </w:r>
    </w:p>
    <w:p>
      <w:pPr>
        <w:numPr>
          <w:ilvl w:val="0"/>
          <w:numId w:val="12"/>
        </w:numPr>
        <w:spacing w:before="0" w:after="80" w:line="290" w:lineRule="auto"/>
      </w:pPr>
      <w:r>
        <w:rPr>
          <w:rFonts w:ascii="Arial" w:hAnsi="Arial" w:eastAsia="Arial"/>
          <w:b/>
          <w:color w:val="151020"/>
          <w:sz w:val="22"/>
        </w:rPr>
        <w:t xml:space="preserve">Approve the operating plan. </w:t>
      </w:r>
      <w:r>
        <w:rPr>
          <w:rFonts w:ascii="Arial" w:hAnsi="Arial" w:eastAsia="Arial"/>
          <w:color w:val="151020"/>
          <w:sz w:val="22"/>
        </w:rPr>
        <w:t>Sign off the access schedule, catering process, security, cleaning and final room layout.</w:t>
      </w:r>
    </w:p>
    <w:p>
      <w:pPr>
        <w:numPr>
          <w:ilvl w:val="0"/>
          <w:numId w:val="12"/>
        </w:numPr>
        <w:spacing w:before="0" w:after="80" w:line="290" w:lineRule="auto"/>
      </w:pPr>
      <w:r>
        <w:rPr>
          <w:rFonts w:ascii="Arial" w:hAnsi="Arial" w:eastAsia="Arial"/>
          <w:b/>
          <w:color w:val="151020"/>
          <w:sz w:val="22"/>
        </w:rPr>
        <w:t xml:space="preserve">Launch public promotion. </w:t>
      </w:r>
      <w:r>
        <w:rPr>
          <w:rFonts w:ascii="Arial" w:hAnsi="Arial" w:eastAsia="Arial"/>
          <w:color w:val="151020"/>
          <w:sz w:val="22"/>
        </w:rPr>
        <w:t>Publish the venue partnership on the website and participant communications.</w:t>
      </w:r>
    </w:p>
    <w:p>
      <w:pPr>
        <w:pageBreakBefore/>
        <w:spacing w:before="0" w:after="80" w:line="320" w:lineRule="auto"/>
      </w:pPr>
      <w:r>
        <w:rPr>
          <w:rFonts w:ascii="Courier New" w:hAnsi="Courier New" w:eastAsia="Courier New"/>
          <w:b/>
          <w:i w:val="0"/>
          <w:color w:val="6D45B8"/>
          <w:sz w:val="18"/>
        </w:rPr>
        <w:t>10 / CONFIRMATION</w:t>
      </w:r>
    </w:p>
    <w:p>
      <w:pPr>
        <w:pStyle w:val="Heading1"/>
      </w:pPr>
      <w:r>
        <w:t>Venue confirmation and reference notes</w:t>
      </w:r>
    </w:p>
    <w:p>
      <w:pPr>
        <w:spacing w:before="0" w:after="240" w:line="307" w:lineRule="auto"/>
      </w:pPr>
      <w:r>
        <w:rPr>
          <w:rFonts w:ascii="Arial" w:hAnsi="Arial" w:eastAsia="Arial"/>
          <w:b w:val="0"/>
          <w:i w:val="0"/>
          <w:color w:val="625A6E"/>
          <w:sz w:val="22"/>
        </w:rPr>
        <w:t>A short site review and written record of the in-kind contribution will turn this proposal into an executable venue plan.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8F5EE"/>
            <w:tcBorders>
              <w:top w:val="nil"/>
              <w:bottom w:val="nil"/>
              <w:start w:val="single" w:sz="24" w:color="267A55"/>
              <w:end w:val="nil"/>
            </w:tcBorders>
          </w:tcPr>
          <w:p>
            <w:pPr>
              <w:pStyle w:val="TableBody"/>
              <w:spacing w:before="40" w:after="40"/>
            </w:pPr>
            <w:r>
              <w:rPr>
                <w:rFonts w:ascii="Courier New" w:hAnsi="Courier New" w:eastAsia="Courier New"/>
                <w:b/>
                <w:color w:val="267A55"/>
                <w:sz w:val="18"/>
              </w:rPr>
              <w:t xml:space="preserve">REQUESTED RESPONSE  </w:t>
            </w:r>
            <w:r>
              <w:rPr>
                <w:rFonts w:ascii="Arial" w:hAnsi="Arial" w:eastAsia="Arial"/>
                <w:b w:val="0"/>
                <w:color w:val="151020"/>
                <w:sz w:val="20"/>
              </w:rPr>
              <w:t>Because the online program opens on 4 September and the in-person weekend begins on 18 September, venue confirmation is requested as soon as possible, ideally by 4 September 2026.</w:t>
            </w:r>
          </w:p>
        </w:tc>
      </w:tr>
    </w:tbl>
    <w:p>
      <w:pPr>
        <w:spacing w:before="0" w:after="80" w:line="320" w:lineRule="auto"/>
      </w:pPr>
      <w:r>
        <w:rPr>
          <w:rFonts w:ascii="Arial" w:hAnsi="Arial" w:eastAsia="Arial"/>
          <w:b w:val="0"/>
          <w:i w:val="0"/>
          <w:color w:val="151020"/>
          <w:sz w:val="2"/>
        </w:rPr>
      </w:r>
    </w:p>
    <w:p>
      <w:pPr>
        <w:pStyle w:val="Heading2"/>
      </w:pPr>
      <w:r>
        <w:t>Confirm during the site review</w:t>
      </w:r>
    </w:p>
    <w:p>
      <w:pPr>
        <w:numPr>
          <w:ilvl w:val="0"/>
          <w:numId w:val="10"/>
        </w:numPr>
        <w:spacing w:before="0" w:after="80" w:line="290" w:lineRule="auto"/>
      </w:pPr>
      <w:r>
        <w:rPr>
          <w:rFonts w:ascii="Arial" w:hAnsi="Arial" w:eastAsia="Arial"/>
          <w:color w:val="151020"/>
          <w:sz w:val="22"/>
        </w:rPr>
        <w:t>Legal venue name, address, primary contact and weekend technical contact.</w:t>
      </w:r>
    </w:p>
    <w:p>
      <w:pPr>
        <w:numPr>
          <w:ilvl w:val="0"/>
          <w:numId w:val="10"/>
        </w:numPr>
        <w:spacing w:before="0" w:after="80" w:line="290" w:lineRule="auto"/>
      </w:pPr>
      <w:r>
        <w:rPr>
          <w:rFonts w:ascii="Arial" w:hAnsi="Arial" w:eastAsia="Arial"/>
          <w:color w:val="151020"/>
          <w:sz w:val="22"/>
        </w:rPr>
        <w:t>Maximum safe capacity and the agreed team-table layout.</w:t>
      </w:r>
    </w:p>
    <w:p>
      <w:pPr>
        <w:numPr>
          <w:ilvl w:val="0"/>
          <w:numId w:val="10"/>
        </w:numPr>
        <w:spacing w:before="0" w:after="80" w:line="290" w:lineRule="auto"/>
      </w:pPr>
      <w:r>
        <w:rPr>
          <w:rFonts w:ascii="Arial" w:hAnsi="Arial" w:eastAsia="Arial"/>
          <w:color w:val="151020"/>
          <w:sz w:val="22"/>
        </w:rPr>
        <w:t>Friday setup access and the exact closing procedure for all three days.</w:t>
      </w:r>
    </w:p>
    <w:p>
      <w:pPr>
        <w:numPr>
          <w:ilvl w:val="0"/>
          <w:numId w:val="10"/>
        </w:numPr>
        <w:spacing w:before="0" w:after="80" w:line="290" w:lineRule="auto"/>
      </w:pPr>
      <w:r>
        <w:rPr>
          <w:rFonts w:ascii="Arial" w:hAnsi="Arial" w:eastAsia="Arial"/>
          <w:color w:val="151020"/>
          <w:sz w:val="22"/>
        </w:rPr>
        <w:t>Measured internet capacity, network access method and backup-connectivity permissions.</w:t>
      </w:r>
    </w:p>
    <w:p>
      <w:pPr>
        <w:numPr>
          <w:ilvl w:val="0"/>
          <w:numId w:val="10"/>
        </w:numPr>
        <w:spacing w:before="0" w:after="80" w:line="290" w:lineRule="auto"/>
      </w:pPr>
      <w:r>
        <w:rPr>
          <w:rFonts w:ascii="Arial" w:hAnsi="Arial" w:eastAsia="Arial"/>
          <w:color w:val="151020"/>
          <w:sz w:val="22"/>
        </w:rPr>
        <w:t>Power distribution, extension-board rules and cable-management requirements.</w:t>
      </w:r>
    </w:p>
    <w:p>
      <w:pPr>
        <w:numPr>
          <w:ilvl w:val="0"/>
          <w:numId w:val="10"/>
        </w:numPr>
        <w:spacing w:before="0" w:after="80" w:line="290" w:lineRule="auto"/>
      </w:pPr>
      <w:r>
        <w:rPr>
          <w:rFonts w:ascii="Arial" w:hAnsi="Arial" w:eastAsia="Arial"/>
          <w:color w:val="151020"/>
          <w:sz w:val="22"/>
        </w:rPr>
        <w:t>Included screens, projectors, microphones, furniture, security and cleaning.</w:t>
      </w:r>
    </w:p>
    <w:p>
      <w:pPr>
        <w:numPr>
          <w:ilvl w:val="0"/>
          <w:numId w:val="10"/>
        </w:numPr>
        <w:spacing w:before="0" w:after="80" w:line="290" w:lineRule="auto"/>
      </w:pPr>
      <w:r>
        <w:rPr>
          <w:rFonts w:ascii="Arial" w:hAnsi="Arial" w:eastAsia="Arial"/>
          <w:color w:val="151020"/>
          <w:sz w:val="22"/>
        </w:rPr>
        <w:t>Location and acoustic separation of the two Sunday demo tracks.</w:t>
      </w:r>
    </w:p>
    <w:p>
      <w:pPr>
        <w:numPr>
          <w:ilvl w:val="0"/>
          <w:numId w:val="10"/>
        </w:numPr>
        <w:spacing w:before="0" w:after="80" w:line="290" w:lineRule="auto"/>
      </w:pPr>
      <w:r>
        <w:rPr>
          <w:rFonts w:ascii="Arial" w:hAnsi="Arial" w:eastAsia="Arial"/>
          <w:color w:val="151020"/>
          <w:sz w:val="22"/>
        </w:rPr>
        <w:t>Emergency, accessibility, catering-delivery and photography requirements.</w:t>
      </w:r>
    </w:p>
    <w:p>
      <w:pPr>
        <w:numPr>
          <w:ilvl w:val="0"/>
          <w:numId w:val="10"/>
        </w:numPr>
        <w:spacing w:before="0" w:after="80" w:line="290" w:lineRule="auto"/>
      </w:pPr>
      <w:r>
        <w:rPr>
          <w:rFonts w:ascii="Arial" w:hAnsi="Arial" w:eastAsia="Arial"/>
          <w:color w:val="151020"/>
          <w:sz w:val="22"/>
        </w:rPr>
        <w:t>Commercial value of the in-kind venue contribution and agreed public recognition.</w:t>
      </w:r>
    </w:p>
    <w:p>
      <w:pPr>
        <w:pStyle w:val="Heading2"/>
      </w:pPr>
      <w:r>
        <w:t>Reference notes</w:t>
      </w:r>
    </w:p>
    <w:p>
      <w:pPr>
        <w:pStyle w:val="SmallNote"/>
      </w:pPr>
      <w:r>
        <w:rPr>
          <w:rFonts w:ascii="Arial" w:hAnsi="Arial" w:eastAsia="Arial"/>
          <w:color w:val="625A6E"/>
          <w:sz w:val="18"/>
        </w:rPr>
        <w:t xml:space="preserve">1. Colosseum's published 2026 schedule lists the fall online hackathon as 28 September–2 November 2026: </w:t>
      </w:r>
      <w:hyperlink r:id="rId11">
        <w:r>
          <w:rPr>
            <w:rFonts w:ascii="Arial" w:hAnsi="Arial"/>
            <w:color w:val="6D45B8"/>
            <w:sz w:val="18"/>
            <w:u w:val="single"/>
          </w:rPr>
          <w:t>Colosseum Codex — 2026 Hackathons</w:t>
        </w:r>
      </w:hyperlink>
    </w:p>
    <w:p>
      <w:pPr>
        <w:pStyle w:val="SmallNote"/>
      </w:pPr>
      <w:r>
        <w:rPr>
          <w:rFonts w:ascii="Arial" w:hAnsi="Arial" w:eastAsia="Arial"/>
          <w:color w:val="625A6E"/>
          <w:sz w:val="18"/>
        </w:rPr>
        <w:t xml:space="preserve">2. Current event tea-break references advertise packages beginning around VND 55,000 per guest; final Da Nang vendor quotations are still required: </w:t>
      </w:r>
      <w:hyperlink r:id="rId12">
        <w:r>
          <w:rPr>
            <w:rFonts w:ascii="Arial" w:hAnsi="Arial"/>
            <w:color w:val="6D45B8"/>
            <w:sz w:val="18"/>
            <w:u w:val="single"/>
          </w:rPr>
          <w:t>2026 tea-break pricing reference</w:t>
        </w:r>
      </w:hyperlink>
    </w:p>
    <w:p>
      <w:pPr>
        <w:pStyle w:val="SmallNote"/>
      </w:pPr>
      <w:r>
        <w:rPr>
          <w:rFonts w:ascii="Arial" w:hAnsi="Arial" w:eastAsia="Arial"/>
          <w:color w:val="625A6E"/>
          <w:sz w:val="18"/>
        </w:rPr>
        <w:t xml:space="preserve">3. Da Nang meal and event-photography sources were used only as planning signals; all figures remain provisional until written quotations are obtained: </w:t>
      </w:r>
      <w:hyperlink r:id="rId13">
        <w:r>
          <w:rPr>
            <w:rFonts w:ascii="Arial" w:hAnsi="Arial"/>
            <w:color w:val="6D45B8"/>
            <w:sz w:val="18"/>
            <w:u w:val="single"/>
          </w:rPr>
          <w:t>Da Nang meal supplier</w:t>
        </w:r>
      </w:hyperlink>
      <w:r>
        <w:rPr>
          <w:rFonts w:ascii="Arial" w:hAnsi="Arial" w:eastAsia="Arial"/>
          <w:color w:val="625A6E"/>
          <w:sz w:val="18"/>
        </w:rPr>
        <w:t xml:space="preserve"> · </w:t>
      </w:r>
      <w:hyperlink r:id="rId14">
        <w:r>
          <w:rPr>
            <w:rFonts w:ascii="Arial" w:hAnsi="Arial"/>
            <w:color w:val="6D45B8"/>
            <w:sz w:val="18"/>
            <w:u w:val="single"/>
          </w:rPr>
          <w:t>Da Nang event photography</w:t>
        </w:r>
      </w:hyperlink>
    </w:p>
    <w:p>
      <w:pPr>
        <w:spacing w:before="0" w:after="0" w:line="276" w:lineRule="auto"/>
      </w:pPr>
      <w:r>
        <w:rPr>
          <w:rFonts w:ascii="Arial" w:hAnsi="Arial" w:eastAsia="Arial"/>
          <w:b w:val="0"/>
          <w:i/>
          <w:color w:val="625A6E"/>
          <w:sz w:val="17"/>
        </w:rPr>
        <w:t>Superteam Vietnam subtrack eligibility, branding and prize terms remain governed by the applicable program rules and final ecosystem coordination.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ourier New" w:hAnsi="Courier New" w:eastAsia="Courier New"/>
        <w:color w:val="625A6E"/>
        <w:sz w:val="16"/>
      </w:rPr>
      <w:t xml:space="preserve">DA NANG  ·  SEPTEMBER 2026  ·  PAGE </w:t>
    </w:r>
    <w:r>
      <w:rPr>
        <w:rFonts w:ascii="Courier New" w:hAnsi="Courier New" w:eastAsia="Courier New"/>
        <w:color w:val="625A6E"/>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ourier New" w:hAnsi="Courier New" w:eastAsia="Courier New"/>
        <w:b/>
        <w:color w:val="625A6E"/>
        <w:sz w:val="16"/>
      </w:rPr>
      <w:t>ONCHAIN TIME BUILDER SPRINT  /  VENUE PARTNERSHIP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9"/>
        <w:spacing w:before="0" w:after="80" w:line="29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79"/>
        <w:spacing w:before="0" w:after="80" w:line="290" w:lineRule="auto"/>
      </w:pPr>
    </w:lvl>
  </w:abstractNum>
  <w:num w:numId="11">
    <w:abstractNumId w:val="10"/>
  </w:num>
  <w:num w:numId="1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Arial" w:hAnsi="Arial"/>
      <w:color w:val="151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Arial" w:hAnsi="Arial"/>
      <w:b/>
      <w:bCs/>
      <w:color w:val="6D45B8"/>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Arial" w:hAnsi="Arial"/>
      <w:b/>
      <w:bCs/>
      <w:color w:val="6D45B8"/>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Arial" w:hAnsi="Arial"/>
      <w:b/>
      <w:bCs/>
      <w:color w:val="42296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spacing w:before="0" w:after="0" w:line="269" w:lineRule="auto"/>
    </w:pPr>
    <w:rPr>
      <w:rFonts w:ascii="Arial" w:hAnsi="Arial"/>
      <w:color w:val="151020"/>
      <w:sz w:val="18"/>
    </w:rPr>
  </w:style>
  <w:style w:type="paragraph" w:customStyle="1" w:styleId="TableHeader">
    <w:name w:val="Table Header"/>
    <w:pPr>
      <w:spacing w:before="0" w:after="0" w:line="252" w:lineRule="auto"/>
    </w:pPr>
    <w:rPr>
      <w:rFonts w:ascii="Arial" w:hAnsi="Arial"/>
      <w:b/>
      <w:color w:val="FFFFFF"/>
      <w:sz w:val="17"/>
    </w:rPr>
  </w:style>
  <w:style w:type="paragraph" w:customStyle="1" w:styleId="SmallNote">
    <w:name w:val="Small Note"/>
    <w:pPr>
      <w:spacing w:before="80" w:after="80" w:line="276" w:lineRule="auto"/>
    </w:pPr>
    <w:rPr>
      <w:rFonts w:ascii="Arial" w:hAnsi="Arial"/>
      <w:color w:val="625A6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log.colosseum.com/2026-hackathons-updraft-course-offline-signer-cli/" TargetMode="External"/><Relationship Id="rId12" Type="http://schemas.openxmlformats.org/officeDocument/2006/relationships/hyperlink" Target="https://circlefood.vn/menu-tea-break/" TargetMode="External"/><Relationship Id="rId13" Type="http://schemas.openxmlformats.org/officeDocument/2006/relationships/hyperlink" Target="https://www.suatancongnghiepdanang.vn/" TargetMode="External"/><Relationship Id="rId14" Type="http://schemas.openxmlformats.org/officeDocument/2006/relationships/hyperlink" Target="https://danangmedia.net/bao-gia-chup-anh-su-kien-da-nang-2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Onchain Time Builder Sprint — Venue Partnership Proposal</dc:title>
  <dc:subject>Venue partnership proposal for a two-week online program and Da Nang build weekend</dc:subject>
  <dc:creator>Onchain Time Builder Sprint organizing team</dc:creator>
  <cp:keywords>Solana, Colosseum, Superteam Vietnam, Da Nang, builder sprint, venue partnership</cp:keywords>
  <dc:description>Prepared 31 August 2026</dc:description>
  <cp:lastModifiedBy/>
  <cp:revision>1</cp:revision>
  <dcterms:created xsi:type="dcterms:W3CDTF">2013-12-23T23:15:00Z</dcterms:created>
  <dcterms:modified xsi:type="dcterms:W3CDTF">2013-12-23T23:15:00Z</dcterms:modified>
  <cp:category/>
</cp:coreProperties>
</file>