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A4DCE6" w14:textId="0C57D32C" w:rsidR="008051B6" w:rsidRDefault="008051B6">
      <w:r>
        <w:t>Project #2:  Creating a Retirement Portfolio</w:t>
      </w:r>
    </w:p>
    <w:p w14:paraId="204CE93F" w14:textId="419CDA72" w:rsidR="008051B6" w:rsidRDefault="008051B6"/>
    <w:p w14:paraId="58F3D94A" w14:textId="282B2EE4" w:rsidR="00DF7382" w:rsidRDefault="00DF7382" w:rsidP="00DF7382">
      <w:pPr>
        <w:jc w:val="both"/>
      </w:pPr>
      <w:r>
        <w:t xml:space="preserve">Since, I’m currently working out of India, </w:t>
      </w:r>
      <w:proofErr w:type="spellStart"/>
      <w:r>
        <w:t>Zerodha</w:t>
      </w:r>
      <w:proofErr w:type="spellEnd"/>
      <w:r>
        <w:t xml:space="preserve"> is one of the working platforms like Vanguard and to better connect with the Indian market I’ve assessed the same with the knowledge I have gained from the course… kindly allow me to be assessed on the basis of this submission. Alternatively, if the same is required to be done on Vanguard, in order to obtain requisite credits, I’ll try and create an account there as well. Kind regards and your consideration is highly appreciated.</w:t>
      </w:r>
    </w:p>
    <w:p w14:paraId="478F4B95" w14:textId="77777777" w:rsidR="00DF7382" w:rsidRDefault="00DF7382"/>
    <w:tbl>
      <w:tblPr>
        <w:tblStyle w:val="TableGrid"/>
        <w:tblW w:w="9360" w:type="dxa"/>
        <w:tblLook w:val="04A0" w:firstRow="1" w:lastRow="0" w:firstColumn="1" w:lastColumn="0" w:noHBand="0" w:noVBand="1"/>
      </w:tblPr>
      <w:tblGrid>
        <w:gridCol w:w="1885"/>
        <w:gridCol w:w="2469"/>
        <w:gridCol w:w="2503"/>
        <w:gridCol w:w="2503"/>
      </w:tblGrid>
      <w:tr w:rsidR="008051B6" w14:paraId="6CC88A2C" w14:textId="77777777" w:rsidTr="009A11B4">
        <w:trPr>
          <w:trHeight w:val="432"/>
        </w:trPr>
        <w:tc>
          <w:tcPr>
            <w:tcW w:w="1885" w:type="dxa"/>
          </w:tcPr>
          <w:p w14:paraId="50E957AB" w14:textId="77777777" w:rsidR="008051B6" w:rsidRPr="009A11B4" w:rsidRDefault="008051B6">
            <w:pPr>
              <w:rPr>
                <w:sz w:val="20"/>
                <w:szCs w:val="20"/>
              </w:rPr>
            </w:pPr>
          </w:p>
        </w:tc>
        <w:tc>
          <w:tcPr>
            <w:tcW w:w="2469" w:type="dxa"/>
            <w:shd w:val="clear" w:color="auto" w:fill="D9D9D9" w:themeFill="background1" w:themeFillShade="D9"/>
            <w:vAlign w:val="center"/>
          </w:tcPr>
          <w:p w14:paraId="22D51650" w14:textId="66E5A562" w:rsidR="008051B6" w:rsidRPr="009A11B4" w:rsidRDefault="008051B6" w:rsidP="009A11B4">
            <w:pPr>
              <w:jc w:val="center"/>
              <w:rPr>
                <w:b/>
                <w:bCs/>
                <w:sz w:val="20"/>
                <w:szCs w:val="20"/>
              </w:rPr>
            </w:pPr>
            <w:r w:rsidRPr="009A11B4">
              <w:rPr>
                <w:b/>
                <w:bCs/>
                <w:sz w:val="20"/>
                <w:szCs w:val="20"/>
              </w:rPr>
              <w:t>Fund #1</w:t>
            </w:r>
          </w:p>
        </w:tc>
        <w:tc>
          <w:tcPr>
            <w:tcW w:w="2503" w:type="dxa"/>
            <w:shd w:val="clear" w:color="auto" w:fill="D9D9D9" w:themeFill="background1" w:themeFillShade="D9"/>
            <w:vAlign w:val="center"/>
          </w:tcPr>
          <w:p w14:paraId="63C5B0B6" w14:textId="21DC41C3" w:rsidR="008051B6" w:rsidRPr="009A11B4" w:rsidRDefault="008051B6" w:rsidP="009A11B4">
            <w:pPr>
              <w:jc w:val="center"/>
              <w:rPr>
                <w:b/>
                <w:bCs/>
                <w:sz w:val="20"/>
                <w:szCs w:val="20"/>
              </w:rPr>
            </w:pPr>
            <w:r w:rsidRPr="009A11B4">
              <w:rPr>
                <w:b/>
                <w:bCs/>
                <w:sz w:val="20"/>
                <w:szCs w:val="20"/>
              </w:rPr>
              <w:t>Fund #2</w:t>
            </w:r>
          </w:p>
        </w:tc>
        <w:tc>
          <w:tcPr>
            <w:tcW w:w="2503" w:type="dxa"/>
            <w:shd w:val="clear" w:color="auto" w:fill="D9D9D9" w:themeFill="background1" w:themeFillShade="D9"/>
            <w:vAlign w:val="center"/>
          </w:tcPr>
          <w:p w14:paraId="3219120E" w14:textId="1C60D70E" w:rsidR="008051B6" w:rsidRPr="009A11B4" w:rsidRDefault="008051B6" w:rsidP="009A11B4">
            <w:pPr>
              <w:jc w:val="center"/>
              <w:rPr>
                <w:b/>
                <w:bCs/>
                <w:sz w:val="20"/>
                <w:szCs w:val="20"/>
              </w:rPr>
            </w:pPr>
            <w:r w:rsidRPr="009A11B4">
              <w:rPr>
                <w:b/>
                <w:bCs/>
                <w:sz w:val="20"/>
                <w:szCs w:val="20"/>
              </w:rPr>
              <w:t>Fund #3</w:t>
            </w:r>
          </w:p>
        </w:tc>
      </w:tr>
      <w:tr w:rsidR="008051B6" w14:paraId="17C132C3" w14:textId="77777777" w:rsidTr="009A11B4">
        <w:trPr>
          <w:trHeight w:val="1152"/>
        </w:trPr>
        <w:tc>
          <w:tcPr>
            <w:tcW w:w="1885" w:type="dxa"/>
            <w:vAlign w:val="center"/>
          </w:tcPr>
          <w:p w14:paraId="3D0A710D" w14:textId="7D37946B" w:rsidR="008051B6" w:rsidRPr="009A11B4" w:rsidRDefault="00DF7382" w:rsidP="009A11B4">
            <w:pPr>
              <w:rPr>
                <w:sz w:val="20"/>
                <w:szCs w:val="20"/>
              </w:rPr>
            </w:pPr>
            <w:r>
              <w:rPr>
                <w:sz w:val="20"/>
                <w:szCs w:val="20"/>
              </w:rPr>
              <w:t>ZERODHA</w:t>
            </w:r>
            <w:r w:rsidR="008051B6" w:rsidRPr="009A11B4">
              <w:rPr>
                <w:sz w:val="20"/>
                <w:szCs w:val="20"/>
              </w:rPr>
              <w:t xml:space="preserve"> Mutual Funds Selected</w:t>
            </w:r>
          </w:p>
        </w:tc>
        <w:tc>
          <w:tcPr>
            <w:tcW w:w="2469" w:type="dxa"/>
          </w:tcPr>
          <w:p w14:paraId="549FDCB5" w14:textId="10F67F46" w:rsidR="008051B6" w:rsidRDefault="00DF7382">
            <w:r>
              <w:br/>
            </w:r>
            <w:r w:rsidRPr="00DF7382">
              <w:rPr>
                <w:rFonts w:asciiTheme="minorHAnsi" w:hAnsiTheme="minorHAnsi" w:cstheme="minorBidi"/>
              </w:rPr>
              <w:t>Parag Parikh Flexi Cap Fund</w:t>
            </w:r>
          </w:p>
        </w:tc>
        <w:tc>
          <w:tcPr>
            <w:tcW w:w="2503" w:type="dxa"/>
          </w:tcPr>
          <w:p w14:paraId="13E2F58E" w14:textId="3E64867B" w:rsidR="008051B6" w:rsidRDefault="00DF7382">
            <w:r w:rsidRPr="00DF7382">
              <w:t>HDFC Mid-Cap Opportunities Fund</w:t>
            </w:r>
          </w:p>
        </w:tc>
        <w:tc>
          <w:tcPr>
            <w:tcW w:w="2503" w:type="dxa"/>
          </w:tcPr>
          <w:p w14:paraId="04F30E59" w14:textId="0E40515F" w:rsidR="008051B6" w:rsidRDefault="00DF7382">
            <w:r w:rsidRPr="00DF7382">
              <w:t>SBI Blue Chip Fund</w:t>
            </w:r>
          </w:p>
        </w:tc>
      </w:tr>
      <w:tr w:rsidR="008051B6" w14:paraId="220A1411" w14:textId="77777777" w:rsidTr="009A11B4">
        <w:trPr>
          <w:trHeight w:val="864"/>
        </w:trPr>
        <w:tc>
          <w:tcPr>
            <w:tcW w:w="1885" w:type="dxa"/>
            <w:vAlign w:val="center"/>
          </w:tcPr>
          <w:p w14:paraId="69C51976" w14:textId="393059E4" w:rsidR="008051B6" w:rsidRPr="009A11B4" w:rsidRDefault="008051B6" w:rsidP="009A11B4">
            <w:pPr>
              <w:rPr>
                <w:sz w:val="20"/>
                <w:szCs w:val="20"/>
              </w:rPr>
            </w:pPr>
            <w:r w:rsidRPr="009A11B4">
              <w:rPr>
                <w:sz w:val="20"/>
                <w:szCs w:val="20"/>
              </w:rPr>
              <w:t>Index Fund or Actively</w:t>
            </w:r>
            <w:r w:rsidR="009A11B4">
              <w:rPr>
                <w:sz w:val="20"/>
                <w:szCs w:val="20"/>
              </w:rPr>
              <w:t xml:space="preserve"> </w:t>
            </w:r>
            <w:r w:rsidRPr="009A11B4">
              <w:rPr>
                <w:sz w:val="20"/>
                <w:szCs w:val="20"/>
              </w:rPr>
              <w:t>Managed Fund?</w:t>
            </w:r>
          </w:p>
        </w:tc>
        <w:tc>
          <w:tcPr>
            <w:tcW w:w="2469" w:type="dxa"/>
          </w:tcPr>
          <w:p w14:paraId="496EADAA" w14:textId="71CD5271" w:rsidR="008051B6" w:rsidRDefault="00DF7382">
            <w:r>
              <w:t>Active (Growth Equity)</w:t>
            </w:r>
          </w:p>
        </w:tc>
        <w:tc>
          <w:tcPr>
            <w:tcW w:w="2503" w:type="dxa"/>
          </w:tcPr>
          <w:p w14:paraId="36093EE1" w14:textId="12B62C47" w:rsidR="008051B6" w:rsidRDefault="00DF7382">
            <w:r>
              <w:t>Active (Growth Equity)</w:t>
            </w:r>
          </w:p>
        </w:tc>
        <w:tc>
          <w:tcPr>
            <w:tcW w:w="2503" w:type="dxa"/>
          </w:tcPr>
          <w:p w14:paraId="1BBE1BB3" w14:textId="17D2F2B8" w:rsidR="008051B6" w:rsidRDefault="00DF7382">
            <w:r>
              <w:t>Active (Growth Equity)</w:t>
            </w:r>
          </w:p>
        </w:tc>
      </w:tr>
      <w:tr w:rsidR="00DF7382" w14:paraId="257E77DE" w14:textId="77777777" w:rsidTr="009A11B4">
        <w:trPr>
          <w:trHeight w:val="720"/>
        </w:trPr>
        <w:tc>
          <w:tcPr>
            <w:tcW w:w="1885" w:type="dxa"/>
            <w:vAlign w:val="center"/>
          </w:tcPr>
          <w:p w14:paraId="77B08CA4" w14:textId="35D5E3E1" w:rsidR="00DF7382" w:rsidRPr="009A11B4" w:rsidRDefault="00DF7382" w:rsidP="00DF7382">
            <w:pPr>
              <w:rPr>
                <w:sz w:val="20"/>
                <w:szCs w:val="20"/>
              </w:rPr>
            </w:pPr>
            <w:r w:rsidRPr="009A11B4">
              <w:rPr>
                <w:sz w:val="20"/>
                <w:szCs w:val="20"/>
              </w:rPr>
              <w:t>10-Year Average Rate of Return</w:t>
            </w:r>
          </w:p>
        </w:tc>
        <w:tc>
          <w:tcPr>
            <w:tcW w:w="2469" w:type="dxa"/>
          </w:tcPr>
          <w:p w14:paraId="4B105FD2" w14:textId="7E50C0A5" w:rsidR="00DF7382" w:rsidRDefault="00DF7382" w:rsidP="00DF7382">
            <w:r>
              <w:rPr>
                <w:rFonts w:ascii="Arial" w:hAnsi="Arial" w:cs="Arial"/>
                <w:color w:val="222222"/>
                <w:sz w:val="23"/>
                <w:szCs w:val="23"/>
              </w:rPr>
              <w:t>23.3343</w:t>
            </w:r>
          </w:p>
        </w:tc>
        <w:tc>
          <w:tcPr>
            <w:tcW w:w="2503" w:type="dxa"/>
          </w:tcPr>
          <w:p w14:paraId="4E38D906" w14:textId="7AFB7606" w:rsidR="00DF7382" w:rsidRDefault="00DF7382" w:rsidP="00DF7382">
            <w:r>
              <w:rPr>
                <w:rFonts w:ascii="Arial" w:hAnsi="Arial" w:cs="Arial"/>
                <w:color w:val="222222"/>
                <w:sz w:val="23"/>
                <w:szCs w:val="23"/>
              </w:rPr>
              <w:t>32.2639</w:t>
            </w:r>
          </w:p>
        </w:tc>
        <w:tc>
          <w:tcPr>
            <w:tcW w:w="2503" w:type="dxa"/>
          </w:tcPr>
          <w:p w14:paraId="75EA9DEF" w14:textId="1BEBAD28" w:rsidR="00DF7382" w:rsidRDefault="00DF7382" w:rsidP="00DF7382">
            <w:r>
              <w:t>1</w:t>
            </w:r>
            <w:r>
              <w:rPr>
                <w:rFonts w:ascii="Arial" w:hAnsi="Arial" w:cs="Arial"/>
                <w:color w:val="222222"/>
                <w:sz w:val="23"/>
                <w:szCs w:val="23"/>
              </w:rPr>
              <w:t>8.1902</w:t>
            </w:r>
          </w:p>
        </w:tc>
      </w:tr>
      <w:tr w:rsidR="008051B6" w14:paraId="3F9B96F1" w14:textId="77777777" w:rsidTr="009A11B4">
        <w:trPr>
          <w:trHeight w:val="720"/>
        </w:trPr>
        <w:tc>
          <w:tcPr>
            <w:tcW w:w="1885" w:type="dxa"/>
            <w:vAlign w:val="center"/>
          </w:tcPr>
          <w:p w14:paraId="7FC934B2" w14:textId="129BCF45" w:rsidR="008051B6" w:rsidRPr="009A11B4" w:rsidRDefault="008051B6" w:rsidP="009A11B4">
            <w:pPr>
              <w:rPr>
                <w:sz w:val="20"/>
                <w:szCs w:val="20"/>
              </w:rPr>
            </w:pPr>
            <w:r w:rsidRPr="009A11B4">
              <w:rPr>
                <w:sz w:val="20"/>
                <w:szCs w:val="20"/>
              </w:rPr>
              <w:t>Expense Ratio</w:t>
            </w:r>
          </w:p>
        </w:tc>
        <w:tc>
          <w:tcPr>
            <w:tcW w:w="2469" w:type="dxa"/>
          </w:tcPr>
          <w:p w14:paraId="64F78194" w14:textId="20324DCD" w:rsidR="008051B6" w:rsidRDefault="00DF7382">
            <w:r>
              <w:rPr>
                <w:rFonts w:ascii="Arial" w:hAnsi="Arial" w:cs="Arial"/>
                <w:color w:val="222222"/>
                <w:sz w:val="23"/>
                <w:szCs w:val="23"/>
                <w:shd w:val="clear" w:color="auto" w:fill="F8F7F8"/>
              </w:rPr>
              <w:t>0.57%</w:t>
            </w:r>
          </w:p>
        </w:tc>
        <w:tc>
          <w:tcPr>
            <w:tcW w:w="2503" w:type="dxa"/>
          </w:tcPr>
          <w:p w14:paraId="063300C8" w14:textId="671E5757" w:rsidR="008051B6" w:rsidRDefault="00DF7382">
            <w:r>
              <w:rPr>
                <w:rFonts w:ascii="Arial" w:hAnsi="Arial" w:cs="Arial"/>
                <w:color w:val="222222"/>
                <w:sz w:val="23"/>
                <w:szCs w:val="23"/>
              </w:rPr>
              <w:t>0.75</w:t>
            </w:r>
          </w:p>
        </w:tc>
        <w:tc>
          <w:tcPr>
            <w:tcW w:w="2503" w:type="dxa"/>
          </w:tcPr>
          <w:p w14:paraId="6DB1AF5A" w14:textId="51782C66" w:rsidR="008051B6" w:rsidRDefault="00DF7382">
            <w:r>
              <w:rPr>
                <w:rFonts w:ascii="Arial" w:hAnsi="Arial" w:cs="Arial"/>
                <w:color w:val="222222"/>
                <w:sz w:val="23"/>
                <w:szCs w:val="23"/>
              </w:rPr>
              <w:t>0.85</w:t>
            </w:r>
          </w:p>
        </w:tc>
      </w:tr>
      <w:tr w:rsidR="008051B6" w14:paraId="3912E333" w14:textId="77777777" w:rsidTr="009A11B4">
        <w:trPr>
          <w:trHeight w:val="720"/>
        </w:trPr>
        <w:tc>
          <w:tcPr>
            <w:tcW w:w="1885" w:type="dxa"/>
            <w:vAlign w:val="center"/>
          </w:tcPr>
          <w:p w14:paraId="4EFA80DA" w14:textId="1027291A" w:rsidR="008051B6" w:rsidRPr="009A11B4" w:rsidRDefault="008051B6" w:rsidP="009A11B4">
            <w:pPr>
              <w:rPr>
                <w:sz w:val="20"/>
                <w:szCs w:val="20"/>
              </w:rPr>
            </w:pPr>
            <w:r w:rsidRPr="009A11B4">
              <w:rPr>
                <w:sz w:val="20"/>
                <w:szCs w:val="20"/>
              </w:rPr>
              <w:t>% of Portfolio</w:t>
            </w:r>
          </w:p>
        </w:tc>
        <w:tc>
          <w:tcPr>
            <w:tcW w:w="2469" w:type="dxa"/>
          </w:tcPr>
          <w:p w14:paraId="7B2E1B36" w14:textId="04659660" w:rsidR="008051B6" w:rsidRDefault="00DF7382">
            <w:r>
              <w:t>50</w:t>
            </w:r>
          </w:p>
        </w:tc>
        <w:tc>
          <w:tcPr>
            <w:tcW w:w="2503" w:type="dxa"/>
          </w:tcPr>
          <w:p w14:paraId="32D6D5A9" w14:textId="27ED8A79" w:rsidR="008051B6" w:rsidRDefault="00DF7382">
            <w:r>
              <w:t>25</w:t>
            </w:r>
          </w:p>
        </w:tc>
        <w:tc>
          <w:tcPr>
            <w:tcW w:w="2503" w:type="dxa"/>
          </w:tcPr>
          <w:p w14:paraId="76CF95B9" w14:textId="3B995DB9" w:rsidR="008051B6" w:rsidRDefault="00DF7382">
            <w:r>
              <w:t>25</w:t>
            </w:r>
          </w:p>
        </w:tc>
      </w:tr>
      <w:tr w:rsidR="008051B6" w14:paraId="77E7FC1E" w14:textId="77777777" w:rsidTr="009A11B4">
        <w:trPr>
          <w:trHeight w:val="720"/>
        </w:trPr>
        <w:tc>
          <w:tcPr>
            <w:tcW w:w="1885" w:type="dxa"/>
            <w:vAlign w:val="center"/>
          </w:tcPr>
          <w:p w14:paraId="24A2F6CB" w14:textId="62233532" w:rsidR="008051B6" w:rsidRPr="009A11B4" w:rsidRDefault="008051B6" w:rsidP="009A11B4">
            <w:pPr>
              <w:rPr>
                <w:sz w:val="20"/>
                <w:szCs w:val="20"/>
              </w:rPr>
            </w:pPr>
            <w:r w:rsidRPr="009A11B4">
              <w:rPr>
                <w:sz w:val="20"/>
                <w:szCs w:val="20"/>
              </w:rPr>
              <w:t>Estimated Portfolio Rate of Return</w:t>
            </w:r>
          </w:p>
        </w:tc>
        <w:tc>
          <w:tcPr>
            <w:tcW w:w="2469" w:type="dxa"/>
          </w:tcPr>
          <w:p w14:paraId="2B2C72EC" w14:textId="77777777" w:rsidR="00DF7382" w:rsidRDefault="00DF7382" w:rsidP="00DF7382">
            <w:pPr>
              <w:rPr>
                <w:rFonts w:ascii="Calibri" w:hAnsi="Calibri" w:cs="Calibri"/>
                <w:color w:val="000000"/>
              </w:rPr>
            </w:pPr>
            <w:r>
              <w:rPr>
                <w:rFonts w:ascii="Calibri" w:hAnsi="Calibri" w:cs="Calibri"/>
                <w:color w:val="FF0000"/>
              </w:rPr>
              <w:t>(₹1,83,656.56)</w:t>
            </w:r>
          </w:p>
          <w:p w14:paraId="5B26CCE2" w14:textId="77777777" w:rsidR="000D6EBB" w:rsidRDefault="000D6EBB" w:rsidP="000D6EBB">
            <w:pPr>
              <w:rPr>
                <w:rFonts w:ascii="Calibri" w:hAnsi="Calibri" w:cs="Calibri"/>
                <w:color w:val="000000"/>
              </w:rPr>
            </w:pPr>
            <w:r>
              <w:rPr>
                <w:rFonts w:ascii="Calibri" w:hAnsi="Calibri" w:cs="Calibri"/>
                <w:color w:val="000000"/>
              </w:rPr>
              <w:t>46.16%</w:t>
            </w:r>
          </w:p>
          <w:p w14:paraId="1AE2865E" w14:textId="6C8C6CB0" w:rsidR="008051B6" w:rsidRDefault="008051B6"/>
        </w:tc>
        <w:tc>
          <w:tcPr>
            <w:tcW w:w="2503" w:type="dxa"/>
          </w:tcPr>
          <w:p w14:paraId="71CD6D87" w14:textId="77777777" w:rsidR="00DF7382" w:rsidRDefault="00DF7382" w:rsidP="00DF7382">
            <w:pPr>
              <w:rPr>
                <w:rFonts w:ascii="Calibri" w:hAnsi="Calibri" w:cs="Calibri"/>
                <w:color w:val="000000"/>
              </w:rPr>
            </w:pPr>
            <w:r>
              <w:rPr>
                <w:rFonts w:ascii="Calibri" w:hAnsi="Calibri" w:cs="Calibri"/>
                <w:color w:val="FF0000"/>
              </w:rPr>
              <w:t>(₹1,43,015.35)</w:t>
            </w:r>
          </w:p>
          <w:p w14:paraId="2712606F" w14:textId="77777777" w:rsidR="000D6EBB" w:rsidRDefault="000D6EBB" w:rsidP="000D6EBB">
            <w:pPr>
              <w:rPr>
                <w:rFonts w:ascii="Calibri" w:hAnsi="Calibri" w:cs="Calibri"/>
                <w:color w:val="000000"/>
              </w:rPr>
            </w:pPr>
            <w:r>
              <w:rPr>
                <w:rFonts w:ascii="Calibri" w:hAnsi="Calibri" w:cs="Calibri"/>
                <w:color w:val="000000"/>
              </w:rPr>
              <w:t>35.94%</w:t>
            </w:r>
          </w:p>
          <w:p w14:paraId="7F497599" w14:textId="092BB276" w:rsidR="008051B6" w:rsidRDefault="008051B6"/>
        </w:tc>
        <w:tc>
          <w:tcPr>
            <w:tcW w:w="2503" w:type="dxa"/>
          </w:tcPr>
          <w:p w14:paraId="599F88BA" w14:textId="77777777" w:rsidR="00DF7382" w:rsidRDefault="00DF7382" w:rsidP="00DF7382">
            <w:pPr>
              <w:rPr>
                <w:rFonts w:ascii="Calibri" w:hAnsi="Calibri" w:cs="Calibri"/>
                <w:color w:val="000000"/>
              </w:rPr>
            </w:pPr>
            <w:r>
              <w:rPr>
                <w:rFonts w:ascii="Calibri" w:hAnsi="Calibri" w:cs="Calibri"/>
                <w:color w:val="FF0000"/>
              </w:rPr>
              <w:t>(₹71,226.87)</w:t>
            </w:r>
          </w:p>
          <w:p w14:paraId="6C16E638" w14:textId="77777777" w:rsidR="000D6EBB" w:rsidRDefault="000D6EBB" w:rsidP="000D6EBB">
            <w:pPr>
              <w:rPr>
                <w:rFonts w:ascii="Calibri" w:hAnsi="Calibri" w:cs="Calibri"/>
                <w:color w:val="000000"/>
              </w:rPr>
            </w:pPr>
            <w:r>
              <w:rPr>
                <w:rFonts w:ascii="Calibri" w:hAnsi="Calibri" w:cs="Calibri"/>
                <w:color w:val="000000"/>
              </w:rPr>
              <w:t>17.90%</w:t>
            </w:r>
          </w:p>
          <w:p w14:paraId="40316A4A" w14:textId="16E4BC2C" w:rsidR="008051B6" w:rsidRDefault="008051B6" w:rsidP="00DF7382"/>
        </w:tc>
      </w:tr>
      <w:tr w:rsidR="008051B6" w14:paraId="70EC94D8" w14:textId="77777777" w:rsidTr="009A11B4">
        <w:trPr>
          <w:trHeight w:val="2160"/>
        </w:trPr>
        <w:tc>
          <w:tcPr>
            <w:tcW w:w="1885" w:type="dxa"/>
            <w:vAlign w:val="center"/>
          </w:tcPr>
          <w:p w14:paraId="479C2822" w14:textId="56E492FF" w:rsidR="008051B6" w:rsidRPr="009A11B4" w:rsidRDefault="008051B6" w:rsidP="009A11B4">
            <w:pPr>
              <w:rPr>
                <w:sz w:val="20"/>
                <w:szCs w:val="20"/>
              </w:rPr>
            </w:pPr>
            <w:r w:rsidRPr="009A11B4">
              <w:rPr>
                <w:sz w:val="20"/>
                <w:szCs w:val="20"/>
              </w:rPr>
              <w:t>Why did you select this fund?</w:t>
            </w:r>
          </w:p>
        </w:tc>
        <w:tc>
          <w:tcPr>
            <w:tcW w:w="2469" w:type="dxa"/>
          </w:tcPr>
          <w:p w14:paraId="065BC133" w14:textId="77777777" w:rsidR="008051B6" w:rsidRDefault="00DF7382">
            <w:r>
              <w:t xml:space="preserve">One of the prominent and good investments for large cap funds. </w:t>
            </w:r>
          </w:p>
          <w:p w14:paraId="337B1CD8" w14:textId="77777777" w:rsidR="00DF7382" w:rsidRDefault="00DF7382"/>
          <w:p w14:paraId="4CE392A5" w14:textId="77777777" w:rsidR="00DF7382" w:rsidRDefault="00DF7382">
            <w:r>
              <w:t>Eminent fund manager</w:t>
            </w:r>
          </w:p>
          <w:p w14:paraId="5C799A8D" w14:textId="77777777" w:rsidR="00DF7382" w:rsidRDefault="00DF7382"/>
          <w:p w14:paraId="4CBC6DAD" w14:textId="50C1FB43" w:rsidR="00DF7382" w:rsidRDefault="00DF7382">
            <w:r>
              <w:t xml:space="preserve">Lowest risk </w:t>
            </w:r>
          </w:p>
        </w:tc>
        <w:tc>
          <w:tcPr>
            <w:tcW w:w="2503" w:type="dxa"/>
          </w:tcPr>
          <w:p w14:paraId="73C87111" w14:textId="10FA2484" w:rsidR="008051B6" w:rsidRDefault="00DF7382">
            <w:r>
              <w:t xml:space="preserve">HDFC bank history of growth in mid cap funds and the performance over last 11 years </w:t>
            </w:r>
          </w:p>
        </w:tc>
        <w:tc>
          <w:tcPr>
            <w:tcW w:w="2503" w:type="dxa"/>
          </w:tcPr>
          <w:p w14:paraId="7432FB10" w14:textId="3C25670C" w:rsidR="008051B6" w:rsidRDefault="00DF7382">
            <w:r>
              <w:t xml:space="preserve">SBI </w:t>
            </w:r>
            <w:r>
              <w:t>bank history of growt</w:t>
            </w:r>
            <w:r>
              <w:t>h</w:t>
            </w:r>
            <w:r>
              <w:t xml:space="preserve"> funds and the performance</w:t>
            </w:r>
            <w:r>
              <w:t>.</w:t>
            </w:r>
          </w:p>
          <w:p w14:paraId="58F23C4F" w14:textId="77777777" w:rsidR="00DF7382" w:rsidRDefault="00DF7382"/>
          <w:p w14:paraId="6BA6969A" w14:textId="324E97D4" w:rsidR="00DF7382" w:rsidRDefault="00DF7382">
            <w:r>
              <w:t xml:space="preserve">Safer option </w:t>
            </w:r>
          </w:p>
        </w:tc>
      </w:tr>
    </w:tbl>
    <w:p w14:paraId="42471CE2" w14:textId="77777777" w:rsidR="00DF7382" w:rsidRDefault="00DF7382"/>
    <w:p w14:paraId="52AE03AF" w14:textId="098B5BA2" w:rsidR="008051B6" w:rsidRDefault="00DF7382">
      <w:r>
        <w:t xml:space="preserve"> </w:t>
      </w:r>
    </w:p>
    <w:sectPr w:rsidR="008051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51B6"/>
    <w:rsid w:val="000D6EBB"/>
    <w:rsid w:val="008051B6"/>
    <w:rsid w:val="009A11B4"/>
    <w:rsid w:val="00DF73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79EE14E"/>
  <w15:chartTrackingRefBased/>
  <w15:docId w15:val="{78F99929-ABAF-0E43-956B-FAD97ED1D9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7382"/>
    <w:rPr>
      <w:rFonts w:ascii="Times New Roman" w:eastAsia="Times New Roman" w:hAnsi="Times New Roman" w:cs="Times New Roman"/>
      <w:lang w:val="en-IN"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051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17544">
      <w:bodyDiv w:val="1"/>
      <w:marLeft w:val="0"/>
      <w:marRight w:val="0"/>
      <w:marTop w:val="0"/>
      <w:marBottom w:val="0"/>
      <w:divBdr>
        <w:top w:val="none" w:sz="0" w:space="0" w:color="auto"/>
        <w:left w:val="none" w:sz="0" w:space="0" w:color="auto"/>
        <w:bottom w:val="none" w:sz="0" w:space="0" w:color="auto"/>
        <w:right w:val="none" w:sz="0" w:space="0" w:color="auto"/>
      </w:divBdr>
    </w:div>
    <w:div w:id="384447403">
      <w:bodyDiv w:val="1"/>
      <w:marLeft w:val="0"/>
      <w:marRight w:val="0"/>
      <w:marTop w:val="0"/>
      <w:marBottom w:val="0"/>
      <w:divBdr>
        <w:top w:val="none" w:sz="0" w:space="0" w:color="auto"/>
        <w:left w:val="none" w:sz="0" w:space="0" w:color="auto"/>
        <w:bottom w:val="none" w:sz="0" w:space="0" w:color="auto"/>
        <w:right w:val="none" w:sz="0" w:space="0" w:color="auto"/>
      </w:divBdr>
    </w:div>
    <w:div w:id="1073118539">
      <w:bodyDiv w:val="1"/>
      <w:marLeft w:val="0"/>
      <w:marRight w:val="0"/>
      <w:marTop w:val="0"/>
      <w:marBottom w:val="0"/>
      <w:divBdr>
        <w:top w:val="none" w:sz="0" w:space="0" w:color="auto"/>
        <w:left w:val="none" w:sz="0" w:space="0" w:color="auto"/>
        <w:bottom w:val="none" w:sz="0" w:space="0" w:color="auto"/>
        <w:right w:val="none" w:sz="0" w:space="0" w:color="auto"/>
      </w:divBdr>
    </w:div>
    <w:div w:id="1073818219">
      <w:bodyDiv w:val="1"/>
      <w:marLeft w:val="0"/>
      <w:marRight w:val="0"/>
      <w:marTop w:val="0"/>
      <w:marBottom w:val="0"/>
      <w:divBdr>
        <w:top w:val="none" w:sz="0" w:space="0" w:color="auto"/>
        <w:left w:val="none" w:sz="0" w:space="0" w:color="auto"/>
        <w:bottom w:val="none" w:sz="0" w:space="0" w:color="auto"/>
        <w:right w:val="none" w:sz="0" w:space="0" w:color="auto"/>
      </w:divBdr>
    </w:div>
    <w:div w:id="1428111092">
      <w:bodyDiv w:val="1"/>
      <w:marLeft w:val="0"/>
      <w:marRight w:val="0"/>
      <w:marTop w:val="0"/>
      <w:marBottom w:val="0"/>
      <w:divBdr>
        <w:top w:val="none" w:sz="0" w:space="0" w:color="auto"/>
        <w:left w:val="none" w:sz="0" w:space="0" w:color="auto"/>
        <w:bottom w:val="none" w:sz="0" w:space="0" w:color="auto"/>
        <w:right w:val="none" w:sz="0" w:space="0" w:color="auto"/>
      </w:divBdr>
    </w:div>
    <w:div w:id="1652057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190</Words>
  <Characters>1089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CU Boulder</Company>
  <LinksUpToDate>false</LinksUpToDate>
  <CharactersWithSpaces>1277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Readey</dc:creator>
  <cp:keywords/>
  <dc:description/>
  <cp:lastModifiedBy>Jashandeep Singh</cp:lastModifiedBy>
  <cp:revision>3</cp:revision>
  <dcterms:created xsi:type="dcterms:W3CDTF">2022-07-07T18:59:00Z</dcterms:created>
  <dcterms:modified xsi:type="dcterms:W3CDTF">2024-04-14T14:30:00Z</dcterms:modified>
</cp:coreProperties>
</file>