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A4DCE6" w14:textId="0C57D32C" w:rsidR="008051B6" w:rsidRDefault="008051B6">
      <w:r>
        <w:t>Project #2:  Creating a Retirement Portfolio</w:t>
      </w:r>
    </w:p>
    <w:p w14:paraId="204CE93F" w14:textId="419CDA72" w:rsidR="008051B6" w:rsidRDefault="008051B6"/>
    <w:tbl>
      <w:tblPr>
        <w:tblStyle w:val="TableGrid"/>
        <w:tblW w:w="9360" w:type="dxa"/>
        <w:tblLook w:val="04A0" w:firstRow="1" w:lastRow="0" w:firstColumn="1" w:lastColumn="0" w:noHBand="0" w:noVBand="1"/>
      </w:tblPr>
      <w:tblGrid>
        <w:gridCol w:w="1885"/>
        <w:gridCol w:w="2469"/>
        <w:gridCol w:w="2503"/>
        <w:gridCol w:w="2503"/>
      </w:tblGrid>
      <w:tr w:rsidR="008051B6" w14:paraId="6CC88A2C" w14:textId="77777777" w:rsidTr="009A11B4">
        <w:trPr>
          <w:trHeight w:val="432"/>
        </w:trPr>
        <w:tc>
          <w:tcPr>
            <w:tcW w:w="1885" w:type="dxa"/>
          </w:tcPr>
          <w:p w14:paraId="50E957AB" w14:textId="77777777" w:rsidR="008051B6" w:rsidRPr="009A11B4" w:rsidRDefault="008051B6">
            <w:pPr>
              <w:rPr>
                <w:sz w:val="20"/>
                <w:szCs w:val="20"/>
              </w:rPr>
            </w:pPr>
          </w:p>
        </w:tc>
        <w:tc>
          <w:tcPr>
            <w:tcW w:w="2469" w:type="dxa"/>
            <w:shd w:val="clear" w:color="auto" w:fill="D9D9D9" w:themeFill="background1" w:themeFillShade="D9"/>
            <w:vAlign w:val="center"/>
          </w:tcPr>
          <w:p w14:paraId="22D51650" w14:textId="66E5A562" w:rsidR="008051B6" w:rsidRPr="009A11B4" w:rsidRDefault="008051B6" w:rsidP="009A11B4">
            <w:pPr>
              <w:jc w:val="center"/>
              <w:rPr>
                <w:b/>
                <w:bCs/>
                <w:sz w:val="20"/>
                <w:szCs w:val="20"/>
              </w:rPr>
            </w:pPr>
            <w:r w:rsidRPr="009A11B4">
              <w:rPr>
                <w:b/>
                <w:bCs/>
                <w:sz w:val="20"/>
                <w:szCs w:val="20"/>
              </w:rPr>
              <w:t>Fund #1</w:t>
            </w:r>
          </w:p>
        </w:tc>
        <w:tc>
          <w:tcPr>
            <w:tcW w:w="2503" w:type="dxa"/>
            <w:shd w:val="clear" w:color="auto" w:fill="D9D9D9" w:themeFill="background1" w:themeFillShade="D9"/>
            <w:vAlign w:val="center"/>
          </w:tcPr>
          <w:p w14:paraId="63C5B0B6" w14:textId="21DC41C3" w:rsidR="008051B6" w:rsidRPr="009A11B4" w:rsidRDefault="008051B6" w:rsidP="009A11B4">
            <w:pPr>
              <w:jc w:val="center"/>
              <w:rPr>
                <w:b/>
                <w:bCs/>
                <w:sz w:val="20"/>
                <w:szCs w:val="20"/>
              </w:rPr>
            </w:pPr>
            <w:r w:rsidRPr="009A11B4">
              <w:rPr>
                <w:b/>
                <w:bCs/>
                <w:sz w:val="20"/>
                <w:szCs w:val="20"/>
              </w:rPr>
              <w:t>Fund #2</w:t>
            </w:r>
          </w:p>
        </w:tc>
        <w:tc>
          <w:tcPr>
            <w:tcW w:w="2503" w:type="dxa"/>
            <w:shd w:val="clear" w:color="auto" w:fill="D9D9D9" w:themeFill="background1" w:themeFillShade="D9"/>
            <w:vAlign w:val="center"/>
          </w:tcPr>
          <w:p w14:paraId="3219120E" w14:textId="1C60D70E" w:rsidR="008051B6" w:rsidRPr="009A11B4" w:rsidRDefault="008051B6" w:rsidP="009A11B4">
            <w:pPr>
              <w:jc w:val="center"/>
              <w:rPr>
                <w:b/>
                <w:bCs/>
                <w:sz w:val="20"/>
                <w:szCs w:val="20"/>
              </w:rPr>
            </w:pPr>
            <w:r w:rsidRPr="009A11B4">
              <w:rPr>
                <w:b/>
                <w:bCs/>
                <w:sz w:val="20"/>
                <w:szCs w:val="20"/>
              </w:rPr>
              <w:t>Fund #3</w:t>
            </w:r>
          </w:p>
        </w:tc>
      </w:tr>
      <w:tr w:rsidR="008051B6" w14:paraId="17C132C3" w14:textId="77777777" w:rsidTr="009A11B4">
        <w:trPr>
          <w:trHeight w:val="1152"/>
        </w:trPr>
        <w:tc>
          <w:tcPr>
            <w:tcW w:w="1885" w:type="dxa"/>
            <w:vAlign w:val="center"/>
          </w:tcPr>
          <w:p w14:paraId="3D0A710D" w14:textId="2A2E6155" w:rsidR="008051B6" w:rsidRPr="009A11B4" w:rsidRDefault="008051B6" w:rsidP="009A11B4">
            <w:pPr>
              <w:rPr>
                <w:sz w:val="20"/>
                <w:szCs w:val="20"/>
              </w:rPr>
            </w:pPr>
            <w:r w:rsidRPr="009A11B4">
              <w:rPr>
                <w:sz w:val="20"/>
                <w:szCs w:val="20"/>
              </w:rPr>
              <w:t>Vanguard Mutual Funds Selected</w:t>
            </w:r>
          </w:p>
        </w:tc>
        <w:tc>
          <w:tcPr>
            <w:tcW w:w="2469" w:type="dxa"/>
          </w:tcPr>
          <w:p w14:paraId="549FDCB5" w14:textId="6E510BE1" w:rsidR="008051B6" w:rsidRDefault="00F2617F">
            <w:r w:rsidRPr="00F2617F">
              <w:t>Vanguard Total Stock Market Index Fund Admiral Shares</w:t>
            </w:r>
            <w:r>
              <w:t xml:space="preserve"> (</w:t>
            </w:r>
            <w:r w:rsidR="009B1B52">
              <w:t>VTSAX</w:t>
            </w:r>
            <w:r>
              <w:t>)</w:t>
            </w:r>
          </w:p>
        </w:tc>
        <w:tc>
          <w:tcPr>
            <w:tcW w:w="2503" w:type="dxa"/>
          </w:tcPr>
          <w:p w14:paraId="13E2F58E" w14:textId="3641A841" w:rsidR="008051B6" w:rsidRDefault="00F2617F">
            <w:r w:rsidRPr="00F2617F">
              <w:t>Vanguard 500 Index Fund Admiral Shares</w:t>
            </w:r>
            <w:r>
              <w:t xml:space="preserve"> (VFIAX)</w:t>
            </w:r>
          </w:p>
        </w:tc>
        <w:tc>
          <w:tcPr>
            <w:tcW w:w="2503" w:type="dxa"/>
          </w:tcPr>
          <w:p w14:paraId="04F30E59" w14:textId="42DB5AEF" w:rsidR="008051B6" w:rsidRDefault="00F2617F">
            <w:r w:rsidRPr="00F2617F">
              <w:t>Vanguard 500 Index Fund Investor Shares</w:t>
            </w:r>
            <w:r>
              <w:t xml:space="preserve"> (VFINX)</w:t>
            </w:r>
          </w:p>
        </w:tc>
      </w:tr>
      <w:tr w:rsidR="008051B6" w14:paraId="220A1411" w14:textId="77777777" w:rsidTr="009A11B4">
        <w:trPr>
          <w:trHeight w:val="864"/>
        </w:trPr>
        <w:tc>
          <w:tcPr>
            <w:tcW w:w="1885" w:type="dxa"/>
            <w:vAlign w:val="center"/>
          </w:tcPr>
          <w:p w14:paraId="69C51976" w14:textId="393059E4" w:rsidR="008051B6" w:rsidRPr="009A11B4" w:rsidRDefault="008051B6" w:rsidP="009A11B4">
            <w:pPr>
              <w:rPr>
                <w:sz w:val="20"/>
                <w:szCs w:val="20"/>
              </w:rPr>
            </w:pPr>
            <w:r w:rsidRPr="009A11B4">
              <w:rPr>
                <w:sz w:val="20"/>
                <w:szCs w:val="20"/>
              </w:rPr>
              <w:t>Index Fund or Actively</w:t>
            </w:r>
            <w:r w:rsidR="009A11B4">
              <w:rPr>
                <w:sz w:val="20"/>
                <w:szCs w:val="20"/>
              </w:rPr>
              <w:t xml:space="preserve"> </w:t>
            </w:r>
            <w:r w:rsidRPr="009A11B4">
              <w:rPr>
                <w:sz w:val="20"/>
                <w:szCs w:val="20"/>
              </w:rPr>
              <w:t>Managed Fund?</w:t>
            </w:r>
          </w:p>
        </w:tc>
        <w:tc>
          <w:tcPr>
            <w:tcW w:w="2469" w:type="dxa"/>
          </w:tcPr>
          <w:p w14:paraId="496EADAA" w14:textId="20705F94" w:rsidR="008051B6" w:rsidRDefault="00F2617F">
            <w:r>
              <w:t>Index Fund</w:t>
            </w:r>
          </w:p>
        </w:tc>
        <w:tc>
          <w:tcPr>
            <w:tcW w:w="2503" w:type="dxa"/>
          </w:tcPr>
          <w:p w14:paraId="36093EE1" w14:textId="44E7942C" w:rsidR="008051B6" w:rsidRDefault="00F2617F">
            <w:r>
              <w:t>Index Fund</w:t>
            </w:r>
          </w:p>
        </w:tc>
        <w:tc>
          <w:tcPr>
            <w:tcW w:w="2503" w:type="dxa"/>
          </w:tcPr>
          <w:p w14:paraId="1BBE1BB3" w14:textId="3B6473FA" w:rsidR="008051B6" w:rsidRDefault="00F2617F">
            <w:r>
              <w:t>Index Fund</w:t>
            </w:r>
          </w:p>
        </w:tc>
      </w:tr>
      <w:tr w:rsidR="008051B6" w14:paraId="257E77DE" w14:textId="77777777" w:rsidTr="009A11B4">
        <w:trPr>
          <w:trHeight w:val="720"/>
        </w:trPr>
        <w:tc>
          <w:tcPr>
            <w:tcW w:w="1885" w:type="dxa"/>
            <w:vAlign w:val="center"/>
          </w:tcPr>
          <w:p w14:paraId="77B08CA4" w14:textId="35D5E3E1" w:rsidR="008051B6" w:rsidRPr="009A11B4" w:rsidRDefault="008051B6" w:rsidP="009A11B4">
            <w:pPr>
              <w:rPr>
                <w:sz w:val="20"/>
                <w:szCs w:val="20"/>
              </w:rPr>
            </w:pPr>
            <w:r w:rsidRPr="009A11B4">
              <w:rPr>
                <w:sz w:val="20"/>
                <w:szCs w:val="20"/>
              </w:rPr>
              <w:t>10-Year Average Rate of Return</w:t>
            </w:r>
          </w:p>
        </w:tc>
        <w:tc>
          <w:tcPr>
            <w:tcW w:w="2469" w:type="dxa"/>
          </w:tcPr>
          <w:p w14:paraId="4B105FD2" w14:textId="42250D19" w:rsidR="008051B6" w:rsidRDefault="00F2617F">
            <w:r>
              <w:t>12.27%</w:t>
            </w:r>
          </w:p>
        </w:tc>
        <w:tc>
          <w:tcPr>
            <w:tcW w:w="2503" w:type="dxa"/>
          </w:tcPr>
          <w:p w14:paraId="4E38D906" w14:textId="212BC240" w:rsidR="008051B6" w:rsidRDefault="00F2617F">
            <w:r>
              <w:t>12.92%</w:t>
            </w:r>
          </w:p>
        </w:tc>
        <w:tc>
          <w:tcPr>
            <w:tcW w:w="2503" w:type="dxa"/>
          </w:tcPr>
          <w:p w14:paraId="75EA9DEF" w14:textId="3C4809BD" w:rsidR="008051B6" w:rsidRDefault="00F2617F">
            <w:r>
              <w:t>12.81%</w:t>
            </w:r>
          </w:p>
        </w:tc>
      </w:tr>
      <w:tr w:rsidR="008051B6" w14:paraId="3F9B96F1" w14:textId="77777777" w:rsidTr="009A11B4">
        <w:trPr>
          <w:trHeight w:val="720"/>
        </w:trPr>
        <w:tc>
          <w:tcPr>
            <w:tcW w:w="1885" w:type="dxa"/>
            <w:vAlign w:val="center"/>
          </w:tcPr>
          <w:p w14:paraId="7FC934B2" w14:textId="129BCF45" w:rsidR="008051B6" w:rsidRPr="009A11B4" w:rsidRDefault="008051B6" w:rsidP="009A11B4">
            <w:pPr>
              <w:rPr>
                <w:sz w:val="20"/>
                <w:szCs w:val="20"/>
              </w:rPr>
            </w:pPr>
            <w:r w:rsidRPr="009A11B4">
              <w:rPr>
                <w:sz w:val="20"/>
                <w:szCs w:val="20"/>
              </w:rPr>
              <w:t>Expense Ratio</w:t>
            </w:r>
          </w:p>
        </w:tc>
        <w:tc>
          <w:tcPr>
            <w:tcW w:w="2469" w:type="dxa"/>
          </w:tcPr>
          <w:p w14:paraId="64F78194" w14:textId="0FB98925" w:rsidR="008051B6" w:rsidRDefault="00F2617F">
            <w:r>
              <w:t>0.04%</w:t>
            </w:r>
          </w:p>
        </w:tc>
        <w:tc>
          <w:tcPr>
            <w:tcW w:w="2503" w:type="dxa"/>
          </w:tcPr>
          <w:p w14:paraId="063300C8" w14:textId="465853EC" w:rsidR="008051B6" w:rsidRDefault="00F2617F">
            <w:r>
              <w:t>0.04%</w:t>
            </w:r>
          </w:p>
        </w:tc>
        <w:tc>
          <w:tcPr>
            <w:tcW w:w="2503" w:type="dxa"/>
          </w:tcPr>
          <w:p w14:paraId="6DB1AF5A" w14:textId="577F0E79" w:rsidR="008051B6" w:rsidRDefault="00F2617F">
            <w:r>
              <w:t>0.14%</w:t>
            </w:r>
          </w:p>
        </w:tc>
      </w:tr>
      <w:tr w:rsidR="008051B6" w14:paraId="3912E333" w14:textId="77777777" w:rsidTr="009A11B4">
        <w:trPr>
          <w:trHeight w:val="720"/>
        </w:trPr>
        <w:tc>
          <w:tcPr>
            <w:tcW w:w="1885" w:type="dxa"/>
            <w:vAlign w:val="center"/>
          </w:tcPr>
          <w:p w14:paraId="4EFA80DA" w14:textId="1027291A" w:rsidR="008051B6" w:rsidRPr="009A11B4" w:rsidRDefault="008051B6" w:rsidP="009A11B4">
            <w:pPr>
              <w:rPr>
                <w:sz w:val="20"/>
                <w:szCs w:val="20"/>
              </w:rPr>
            </w:pPr>
            <w:r w:rsidRPr="009A11B4">
              <w:rPr>
                <w:sz w:val="20"/>
                <w:szCs w:val="20"/>
              </w:rPr>
              <w:t>% of Portfolio</w:t>
            </w:r>
          </w:p>
        </w:tc>
        <w:tc>
          <w:tcPr>
            <w:tcW w:w="2469" w:type="dxa"/>
          </w:tcPr>
          <w:p w14:paraId="7B2E1B36" w14:textId="25ED9079" w:rsidR="008051B6" w:rsidRDefault="00D362E1">
            <w:r>
              <w:t>40%</w:t>
            </w:r>
          </w:p>
        </w:tc>
        <w:tc>
          <w:tcPr>
            <w:tcW w:w="2503" w:type="dxa"/>
          </w:tcPr>
          <w:p w14:paraId="32D6D5A9" w14:textId="7AF1F57A" w:rsidR="008051B6" w:rsidRDefault="00D362E1">
            <w:r>
              <w:t>30%</w:t>
            </w:r>
          </w:p>
        </w:tc>
        <w:tc>
          <w:tcPr>
            <w:tcW w:w="2503" w:type="dxa"/>
          </w:tcPr>
          <w:p w14:paraId="76CF95B9" w14:textId="514C4F2B" w:rsidR="008051B6" w:rsidRDefault="00D362E1">
            <w:r>
              <w:t>30%</w:t>
            </w:r>
          </w:p>
        </w:tc>
      </w:tr>
      <w:tr w:rsidR="008051B6" w14:paraId="77E7FC1E" w14:textId="77777777" w:rsidTr="009A11B4">
        <w:trPr>
          <w:trHeight w:val="720"/>
        </w:trPr>
        <w:tc>
          <w:tcPr>
            <w:tcW w:w="1885" w:type="dxa"/>
            <w:vAlign w:val="center"/>
          </w:tcPr>
          <w:p w14:paraId="24A2F6CB" w14:textId="62233532" w:rsidR="008051B6" w:rsidRPr="009A11B4" w:rsidRDefault="008051B6" w:rsidP="009A11B4">
            <w:pPr>
              <w:rPr>
                <w:sz w:val="20"/>
                <w:szCs w:val="20"/>
              </w:rPr>
            </w:pPr>
            <w:r w:rsidRPr="009A11B4">
              <w:rPr>
                <w:sz w:val="20"/>
                <w:szCs w:val="20"/>
              </w:rPr>
              <w:t>Estimated Portfolio Rate of Return</w:t>
            </w:r>
          </w:p>
        </w:tc>
        <w:tc>
          <w:tcPr>
            <w:tcW w:w="2469" w:type="dxa"/>
          </w:tcPr>
          <w:p w14:paraId="1AE2865E" w14:textId="53743333" w:rsidR="008051B6" w:rsidRDefault="00D362E1">
            <w:r>
              <w:t>8.86%</w:t>
            </w:r>
          </w:p>
        </w:tc>
        <w:tc>
          <w:tcPr>
            <w:tcW w:w="2503" w:type="dxa"/>
          </w:tcPr>
          <w:p w14:paraId="7F497599" w14:textId="3136BC43" w:rsidR="008051B6" w:rsidRDefault="00D362E1">
            <w:r>
              <w:t>9.47%</w:t>
            </w:r>
          </w:p>
        </w:tc>
        <w:tc>
          <w:tcPr>
            <w:tcW w:w="2503" w:type="dxa"/>
          </w:tcPr>
          <w:p w14:paraId="40316A4A" w14:textId="5A1BDCB8" w:rsidR="008051B6" w:rsidRDefault="00D362E1">
            <w:r>
              <w:t>9.45%</w:t>
            </w:r>
          </w:p>
        </w:tc>
      </w:tr>
      <w:tr w:rsidR="008051B6" w14:paraId="70EC94D8" w14:textId="77777777" w:rsidTr="009A11B4">
        <w:trPr>
          <w:trHeight w:val="2160"/>
        </w:trPr>
        <w:tc>
          <w:tcPr>
            <w:tcW w:w="1885" w:type="dxa"/>
            <w:vAlign w:val="center"/>
          </w:tcPr>
          <w:p w14:paraId="479C2822" w14:textId="56E492FF" w:rsidR="008051B6" w:rsidRPr="009A11B4" w:rsidRDefault="008051B6" w:rsidP="009A11B4">
            <w:pPr>
              <w:rPr>
                <w:sz w:val="20"/>
                <w:szCs w:val="20"/>
              </w:rPr>
            </w:pPr>
            <w:r w:rsidRPr="009A11B4">
              <w:rPr>
                <w:sz w:val="20"/>
                <w:szCs w:val="20"/>
              </w:rPr>
              <w:t>Why did you select this fund?</w:t>
            </w:r>
          </w:p>
        </w:tc>
        <w:tc>
          <w:tcPr>
            <w:tcW w:w="2469" w:type="dxa"/>
          </w:tcPr>
          <w:p w14:paraId="4CBC6DAD" w14:textId="0F3773F2" w:rsidR="008051B6" w:rsidRDefault="00D362E1">
            <w:r w:rsidRPr="00D362E1">
              <w:t>Provides broad exposure to the US stock market, including large-, mid-, small-, and micro-cap stocks. With a low expense ratio and historically strong performance, it's a core holding for many investors seeking long-term growth</w:t>
            </w:r>
          </w:p>
        </w:tc>
        <w:tc>
          <w:tcPr>
            <w:tcW w:w="2503" w:type="dxa"/>
          </w:tcPr>
          <w:p w14:paraId="73C87111" w14:textId="5FC48898" w:rsidR="008051B6" w:rsidRDefault="00BC1099">
            <w:r w:rsidRPr="00BC1099">
              <w:t>S&amp;P 500 Index, comprising 500 of the largest publicly traded companies in the US. These funds offer simplicity and diversification across major sectors of the economy. While VFIAX has a lower expense ratio</w:t>
            </w:r>
            <w:r>
              <w:t>. I</w:t>
            </w:r>
            <w:r w:rsidRPr="00BC1099">
              <w:t>ncluding</w:t>
            </w:r>
            <w:r w:rsidRPr="00BC1099">
              <w:t xml:space="preserve"> funds allows for increased exposure to large-cap US stocks while maintaining low costs and broad diversification.</w:t>
            </w:r>
          </w:p>
        </w:tc>
        <w:tc>
          <w:tcPr>
            <w:tcW w:w="2503" w:type="dxa"/>
          </w:tcPr>
          <w:p w14:paraId="6BA6969A" w14:textId="03170208" w:rsidR="008051B6" w:rsidRDefault="00BC1099">
            <w:r w:rsidRPr="00BC1099">
              <w:t xml:space="preserve">S&amp;P 500 Index, comprising 500 of the largest publicly traded companies in the US. These funds offer simplicity and diversification across major sectors of the economy. </w:t>
            </w:r>
            <w:r>
              <w:t xml:space="preserve">While </w:t>
            </w:r>
            <w:r w:rsidRPr="00BC1099">
              <w:t>VFINX is also suitable for individual investors who prefer a lower initial investment requirement. Including funds allows for increased exposure to large-cap US stocks while maintaining low costs and broad diversification.</w:t>
            </w:r>
          </w:p>
        </w:tc>
      </w:tr>
    </w:tbl>
    <w:p w14:paraId="52AE03AF" w14:textId="77777777" w:rsidR="008051B6" w:rsidRDefault="008051B6"/>
    <w:sectPr w:rsidR="008051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1B6"/>
    <w:rsid w:val="008051B6"/>
    <w:rsid w:val="009A11B4"/>
    <w:rsid w:val="009B1B52"/>
    <w:rsid w:val="00BC1099"/>
    <w:rsid w:val="00D362E1"/>
    <w:rsid w:val="00F26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EE14E"/>
  <w15:chartTrackingRefBased/>
  <w15:docId w15:val="{78F99929-ABAF-0E43-956B-FAD97ED1D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51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 Boulder</Company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Readey</dc:creator>
  <cp:keywords/>
  <dc:description/>
  <cp:lastModifiedBy>Ravi Poturaju</cp:lastModifiedBy>
  <cp:revision>2</cp:revision>
  <dcterms:created xsi:type="dcterms:W3CDTF">2022-07-07T18:59:00Z</dcterms:created>
  <dcterms:modified xsi:type="dcterms:W3CDTF">2024-04-09T19:06:00Z</dcterms:modified>
</cp:coreProperties>
</file>