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the-way-of-living-order"/>
    <w:p>
      <w:pPr>
        <w:pStyle w:val="Heading1"/>
      </w:pPr>
      <w:r>
        <w:t xml:space="preserve">The Way of Living Order</w:t>
      </w:r>
    </w:p>
    <w:bookmarkStart w:id="21" w:name="evolution-value-and-the-god-of-man"/>
    <w:p>
      <w:pPr>
        <w:pStyle w:val="Heading2"/>
      </w:pPr>
      <w:r>
        <w:t xml:space="preserve">Evolution, Value, and the God of Man</w:t>
      </w:r>
    </w:p>
    <w:p>
      <w:pPr>
        <w:pStyle w:val="FirstParagraph"/>
      </w:pPr>
      <w:r>
        <w:rPr>
          <w:iCs/>
          <w:i/>
        </w:rPr>
        <w:t xml:space="preserve">Version 3 — 12 September 2026</w:t>
      </w:r>
    </w:p>
    <w:bookmarkStart w:id="20" w:name="abstract"/>
    <w:p>
      <w:pPr>
        <w:pStyle w:val="Heading3"/>
      </w:pPr>
      <w:r>
        <w:t xml:space="preserve">Abstract</w:t>
      </w:r>
    </w:p>
    <w:p>
      <w:pPr>
        <w:pStyle w:val="FirstParagraph"/>
      </w:pPr>
      <w:r>
        <w:t xml:space="preserve">Life is not merely matter arranged in complicated forms. It is matter organized to preserve and reconstruct its own organization through a continuous throughput of free energy. Every living system therefore distinguishes, in action, between states that sustain its organization and states that end it. This distinction supplies a natural value gradient: changes are good or bad for a living system according to whether they increase or decrease its capacity to continue the fight against local equilibration. Natural selection has written this distinction into organisms' structures, drives, perceptions, and collective forms. In some lineages, the fight has expanded from metabolism and replication into nervous systems, language, law, institutions, and technology—higher layers of stored constraint and coordinated repair.</w:t>
      </w:r>
    </w:p>
    <w:p>
      <w:pPr>
        <w:pStyle w:val="BodyText"/>
      </w:pPr>
      <w:r>
        <w:t xml:space="preserve">The argument of this paper is that this trajectory can ground an objective account of value within the domain of life, without claiming a purpose for the universe as a whole. Before reflective choice, life simply enacts the trajectory or fails. Once a living system can model alternative courses and knowingly depart from the conditions of its own flourishing, the same trajectory appears from within as obligation: the</w:t>
      </w:r>
      <w:r>
        <w:t xml:space="preserve"> </w:t>
      </w:r>
      <w:r>
        <w:rPr>
          <w:iCs/>
          <w:i/>
        </w:rPr>
        <w:t xml:space="preserve">ought</w:t>
      </w:r>
      <w:r>
        <w:t xml:space="preserve"> </w:t>
      </w:r>
      <w:r>
        <w:t xml:space="preserve">is the inherited way after a chooser arrives. A universal value gradient results when local goods are evaluated within the widest relevant account, the continuing field of life capable of producing and supporting further living agents. This does not reduce value to raw complexity, energy use, or survival at any cost. The relevant quantity is reconstructive living order: the durable capacity to preserve, repair, transmit, coordinate, and extend life without destroying the field that makes such activity possible.</w:t>
      </w:r>
    </w:p>
    <w:p>
      <w:pPr>
        <w:pStyle w:val="BodyText"/>
      </w:pPr>
      <w:r>
        <w:t xml:space="preserve">Within this framework, the “God of man” personifies the older-than-human trajectory that formed human nature, measures human action, and is fulfilled in human flourishing. Christianity is interpreted as a historically powerful encoding of that trajectory rather than as its exclusive or literal description. This interpretation neither depends on nor settles the separate question of a cosmological creator. The theological language is optional; the way it points toward is not.</w:t>
      </w:r>
    </w:p>
    <w:bookmarkEnd w:id="20"/>
    <w:bookmarkEnd w:id="21"/>
    <w:bookmarkStart w:id="28" w:name="X916ff533710416a7dba78dd8aa54b59fb00b494"/>
    <w:p>
      <w:pPr>
        <w:pStyle w:val="Heading2"/>
      </w:pPr>
      <w:r>
        <w:t xml:space="preserve">1. The claim</w:t>
      </w:r>
    </w:p>
    <w:p>
      <w:pPr>
        <w:pStyle w:val="FirstParagraph"/>
      </w:pPr>
      <w:r>
        <w:t xml:space="preserve">The world presents life with a direction it did not choose. Gradients dissipate. Structures erode. Records become noisy. Organisms lose the organization that makes them organisms. The second law of thermodynamics is not a malevolent force, but it is the law of the land: without continued work, usable differences are spent and organized systems approach equilibrium.</w:t>
      </w:r>
    </w:p>
    <w:p>
      <w:pPr>
        <w:pStyle w:val="BodyText"/>
      </w:pPr>
      <w:r>
        <w:t xml:space="preserve">Life is the extraordinary local response. An organism takes in matter and free energy, preserves a boundary, repairs damage, records information, and reconstructs its form. It does not repeal the second law. It maintains local organization by increasing entropy elsewhere. Schrödinger’s language of “negative entropy” was suggestive but easily misunderstood. The more precise description is that life is an open, nonequilibrium process sustained by free-energy throughput. Prigogine’s theory of dissipative structures established that organized states can arise and persist far from equilibrium while fully conforming to thermodynamics; more recent work has made the energetic cost of self-replication quantitatively explicit.</w:t>
      </w:r>
      <w:r>
        <w:rPr>
          <w:rStyle w:val="FootnoteReference"/>
        </w:rPr>
        <w:footnoteReference w:id="22"/>
      </w:r>
    </w:p>
    <w:p>
      <w:pPr>
        <w:pStyle w:val="BodyText"/>
      </w:pPr>
      <w:r>
        <w:t xml:space="preserve">This physical fact is the ground, but not yet the whole argument. Living systems do not remain out of equilibrium in arbitrary ways. When replication produces heritable variation, selection retains organizations effective at capturing energy, storing useful information, correcting error, surviving shocks, and reproducing form in their environments. Evolution does not drive every lineage toward greater complexity; parasites simplify, traits disappear, and most lineages end. Yet the upper range of life's capacities has repeatedly expanded through major transitions in how information is stored and transmitted: replicators became cells, cells became more deeply integrated cells, cells became multicellular organisms, and organisms built symbolic and social inheritance.</w:t>
      </w:r>
      <w:r>
        <w:rPr>
          <w:rStyle w:val="FootnoteReference"/>
        </w:rPr>
        <w:footnoteReference w:id="26"/>
      </w:r>
    </w:p>
    <w:p>
      <w:pPr>
        <w:pStyle w:val="BodyText"/>
      </w:pPr>
      <w:r>
        <w:t xml:space="preserve">The proposed trajectory is therefore not “everything becomes more complicated.” It is:</w:t>
      </w:r>
    </w:p>
    <w:p>
      <w:pPr>
        <w:pStyle w:val="BlockText"/>
      </w:pPr>
      <w:r>
        <w:t xml:space="preserve">Living systems are organized around maintaining and reproducing themselves, and selection preserves variants that do so effectively in their environments. Where reflective agency appears, the capacity to sustain and enlarge reconstructive living order becomes a natural standard of value.</w:t>
      </w:r>
    </w:p>
    <w:p>
      <w:pPr>
        <w:pStyle w:val="FirstParagraph"/>
      </w:pPr>
      <w:r>
        <w:t xml:space="preserve">This is a universal claim within a restricted domain. It is universal for life and life-supporting systems, not necessarily for all matter. It says nothing about why there is a universe, why its laws permit life, or whether a transcendent creator exists. It begins with the observable world in which organisms already exist, act, reproduce, cooperate, and die.</w:t>
      </w:r>
    </w:p>
    <w:bookmarkEnd w:id="28"/>
    <w:bookmarkStart w:id="31" w:name="X9f4721f2858c952c6723dcbed1a0b16eb1edd21"/>
    <w:p>
      <w:pPr>
        <w:pStyle w:val="Heading2"/>
      </w:pPr>
      <w:r>
        <w:t xml:space="preserve">2. A fighter is different from a rock</w:t>
      </w:r>
    </w:p>
    <w:p>
      <w:pPr>
        <w:pStyle w:val="FirstParagraph"/>
      </w:pPr>
      <w:r>
        <w:t xml:space="preserve">A rock can persist for a very long time. A crystal can be highly ordered. Neither fact is enough to give it a good. A living system persists in a categorically different manner: its continued organization depends on activities performed by that organization. A cell maintains the membrane that makes cellular metabolism possible, while metabolism maintains the membrane. An organism repairs the organs that sustain its capacity for repair. Each part of this loop depends on activities made possible by the whole. If the work stops long enough, the organization disappears and does not restore itself.</w:t>
      </w:r>
    </w:p>
    <w:p>
      <w:pPr>
        <w:pStyle w:val="BodyText"/>
      </w:pPr>
      <w:r>
        <w:t xml:space="preserve">Call a system of this kind a</w:t>
      </w:r>
      <w:r>
        <w:t xml:space="preserve"> </w:t>
      </w:r>
      <w:r>
        <w:rPr>
          <w:bCs/>
          <w:b/>
        </w:rPr>
        <w:t xml:space="preserve">fighter</w:t>
      </w:r>
      <w:r>
        <w:t xml:space="preserve">. The term need not imply consciousness, aggression, or a literal enemy. It means only a system that:</w:t>
      </w:r>
    </w:p>
    <w:p>
      <w:pPr>
        <w:numPr>
          <w:ilvl w:val="0"/>
          <w:numId w:val="1001"/>
        </w:numPr>
        <w:pStyle w:val="Compact"/>
      </w:pPr>
      <w:r>
        <w:t xml:space="preserve">remains far from equilibrium through energy and material throughput;</w:t>
      </w:r>
    </w:p>
    <w:p>
      <w:pPr>
        <w:numPr>
          <w:ilvl w:val="0"/>
          <w:numId w:val="1001"/>
        </w:numPr>
        <w:pStyle w:val="Compact"/>
      </w:pPr>
      <w:r>
        <w:t xml:space="preserve">maintains a particular organization through its own activity;</w:t>
      </w:r>
    </w:p>
    <w:p>
      <w:pPr>
        <w:numPr>
          <w:ilvl w:val="0"/>
          <w:numId w:val="1001"/>
        </w:numPr>
        <w:pStyle w:val="Compact"/>
      </w:pPr>
      <w:r>
        <w:t xml:space="preserve">has conditions of viability and a point beyond which that organization is irreversibly lost; and</w:t>
      </w:r>
    </w:p>
    <w:p>
      <w:pPr>
        <w:numPr>
          <w:ilvl w:val="0"/>
          <w:numId w:val="1001"/>
        </w:numPr>
        <w:pStyle w:val="Compact"/>
      </w:pPr>
      <w:r>
        <w:t xml:space="preserve">can, at least in more developed instances, repair or reproduce that organization.</w:t>
      </w:r>
    </w:p>
    <w:p>
      <w:pPr>
        <w:pStyle w:val="FirstParagraph"/>
      </w:pPr>
      <w:r>
        <w:t xml:space="preserve">The elementary distinction between good and bad enters with such a system. Water, light, and intact roots can be good</w:t>
      </w:r>
      <w:r>
        <w:t xml:space="preserve"> </w:t>
      </w:r>
      <w:r>
        <w:rPr>
          <w:iCs/>
          <w:i/>
        </w:rPr>
        <w:t xml:space="preserve">for</w:t>
      </w:r>
      <w:r>
        <w:t xml:space="preserve"> </w:t>
      </w:r>
      <w:r>
        <w:t xml:space="preserve">a plant; drought, poison, and destroyed tissue can be bad for it. These are not reports of the plant's conscious beliefs. The plant's growth responses, metabolism, and repair enact a preference. A rock has no comparable distinction between functioning and malfunctioning, nourishment and poison, healing and injury. Philosophical accounts of biological organization make the same point: a self-maintaining organization supplies non-arbitrary norms for the functions of its parts because those functions contribute to maintaining the organization that produces them.</w:t>
      </w:r>
      <w:r>
        <w:rPr>
          <w:rStyle w:val="FootnoteReference"/>
        </w:rPr>
        <w:footnoteReference w:id="29"/>
      </w:r>
    </w:p>
    <w:p>
      <w:pPr>
        <w:pStyle w:val="BodyText"/>
      </w:pPr>
      <w:r>
        <w:t xml:space="preserve">The grass does not believe that life is good. It behaves as a system for which continued life is already at stake. In that limited but fundamental sense, it does not hold an axiom; it enacts one.</w:t>
      </w:r>
    </w:p>
    <w:p>
      <w:pPr>
        <w:pStyle w:val="BodyText"/>
      </w:pPr>
      <w:r>
        <w:t xml:space="preserve">This avoids the first false move in the argument. Value is not inferred directly from “order exists.” It begins where something actively distinguishes, by its organization, between the continuation and loss of its form. Nor is every current desire sanctified. Appetite, panic, addiction, parasitism, and maladaptive habit may all arise within living systems. The standard is not whatever an organism happens to pursue. It is the deeper organization that makes pursuit, correction, and continued agency possible.</w:t>
      </w:r>
    </w:p>
    <w:bookmarkEnd w:id="31"/>
    <w:bookmarkStart w:id="35" w:name="X482f02da73a815af841d26c4b5a584dfcdd4c8f"/>
    <w:p>
      <w:pPr>
        <w:pStyle w:val="Heading2"/>
      </w:pPr>
      <w:r>
        <w:t xml:space="preserve">3. Selection writes the gradient into life</w:t>
      </w:r>
    </w:p>
    <w:p>
      <w:pPr>
        <w:pStyle w:val="FirstParagraph"/>
      </w:pPr>
      <w:r>
        <w:t xml:space="preserve">Physical processes provide energy gradients and permit dissipative structures. The appearance of self-reconstructing replicators added something new: a filter capable of preserving successful responses to local decay. Variants differed; some maintained and copied their organization more reliably; their descendants inherited parts of that success. Natural selection thereby became a kind of designer without foresight—a historical process that writes functions into organisms by retaining effects that contributed to persistence and reproduction.</w:t>
      </w:r>
    </w:p>
    <w:p>
      <w:pPr>
        <w:pStyle w:val="BodyText"/>
      </w:pPr>
      <w:r>
        <w:t xml:space="preserve">Selection did not decide in advance that life ought to live. It favored variants that maintained and reproduced themselves under past conditions. Membranes, enzymes, immune systems, senses, pain, pleasure, parental care, memory, and cooperation are inherited responses to the recurring problems of remaining viable and reproducing.</w:t>
      </w:r>
    </w:p>
    <w:p>
      <w:pPr>
        <w:pStyle w:val="BodyText"/>
      </w:pPr>
      <w:r>
        <w:t xml:space="preserve">That claim must be kept within bounds. “Selected” cannot simply be made synonymous with “good.” Selection is retrospective, environment-relative, and active at several levels. A trait selected in yesterday's environment can be harmful today. Genetic drift and hitchhiking preserve features that were not themselves adaptive. A cancer cell can be selected within a body while destroying the body; an institution can preserve itself by consuming the society it was meant to serve. Selection produces many local adaptations, not a global moral order.</w:t>
      </w:r>
    </w:p>
    <w:p>
      <w:pPr>
        <w:pStyle w:val="BodyText"/>
      </w:pPr>
      <w:r>
        <w:t xml:space="preserve">Selection's deeper contribution is to explain why the world contains systems whose activity tracks better and worse relative to their own continued organization. It also helps explain how some of those systems acquired deeper means of reconstruction: error-correcting genomes, developmental programs, nervous systems, learning, culture, and external records. Functional information can be quantified only relative to a specified function, but that limitation is useful here. The order that matters is not mere intricacy; it is information embodied in configurations capable of continuing living organization.</w:t>
      </w:r>
      <w:r>
        <w:rPr>
          <w:rStyle w:val="FootnoteReference"/>
        </w:rPr>
        <w:footnoteReference w:id="32"/>
      </w:r>
    </w:p>
    <w:p>
      <w:pPr>
        <w:pStyle w:val="BodyText"/>
      </w:pPr>
      <w:r>
        <w:t xml:space="preserve">Natural selection thus helps explain the living standard. Physical laws and chemical possibilities provided the conditions for life. Once self-reproducing systems existed, selection shaped lineages whose continuation depended on distinguishing nourishment from harm and successful function from failure. It elaborated beings for which outcomes can be good or bad.</w:t>
      </w:r>
    </w:p>
    <w:bookmarkEnd w:id="35"/>
    <w:bookmarkStart w:id="36" w:name="Xace723bdb075b1d3a4e445960b8ad6f1d3ff3a9"/>
    <w:p>
      <w:pPr>
        <w:pStyle w:val="Heading2"/>
      </w:pPr>
      <w:r>
        <w:t xml:space="preserve">4. From persistence to ascent</w:t>
      </w:r>
    </w:p>
    <w:p>
      <w:pPr>
        <w:pStyle w:val="FirstParagraph"/>
      </w:pPr>
      <w:r>
        <w:t xml:space="preserve">If the standard were merely “remain exactly as you are,” the trajectory would be flat. But a living system cannot preserve a finished state indefinitely. Environments change, competitors adapt, parasites discover vulnerabilities, stored energy leaks, and records degrade. Preservation therefore requires alteration. Durable persistence depends on maintaining the capacity to respond, rebuild, learn, and sometimes reorganize at a higher level.</w:t>
      </w:r>
    </w:p>
    <w:p>
      <w:pPr>
        <w:pStyle w:val="BodyText"/>
      </w:pPr>
      <w:r>
        <w:t xml:space="preserve">Survival under changing conditions therefore requires more than stasis. It favors the capacity to respond, learn, and rebuild. Biological and cultural history contains a sequence of expansions in that reconstructive capacity:</w:t>
      </w:r>
    </w:p>
    <w:p>
      <w:pPr>
        <w:numPr>
          <w:ilvl w:val="0"/>
          <w:numId w:val="1002"/>
        </w:numPr>
        <w:pStyle w:val="Compact"/>
      </w:pPr>
      <w:r>
        <w:t xml:space="preserve">a membrane preserves a chemical difference;</w:t>
      </w:r>
    </w:p>
    <w:p>
      <w:pPr>
        <w:numPr>
          <w:ilvl w:val="0"/>
          <w:numId w:val="1002"/>
        </w:numPr>
        <w:pStyle w:val="Compact"/>
      </w:pPr>
      <w:r>
        <w:t xml:space="preserve">metabolism exploits that difference to maintain a cycle;</w:t>
      </w:r>
    </w:p>
    <w:p>
      <w:pPr>
        <w:numPr>
          <w:ilvl w:val="0"/>
          <w:numId w:val="1002"/>
        </w:numPr>
        <w:pStyle w:val="Compact"/>
      </w:pPr>
      <w:r>
        <w:t xml:space="preserve">a genome records how to rebuild the cycle;</w:t>
      </w:r>
    </w:p>
    <w:p>
      <w:pPr>
        <w:numPr>
          <w:ilvl w:val="0"/>
          <w:numId w:val="1002"/>
        </w:numPr>
        <w:pStyle w:val="Compact"/>
      </w:pPr>
      <w:r>
        <w:t xml:space="preserve">a multicellular organism distributes work among specialized cells;</w:t>
      </w:r>
    </w:p>
    <w:p>
      <w:pPr>
        <w:numPr>
          <w:ilvl w:val="0"/>
          <w:numId w:val="1002"/>
        </w:numPr>
        <w:pStyle w:val="Compact"/>
      </w:pPr>
      <w:r>
        <w:t xml:space="preserve">a nervous system models threats and opportunities before acting;</w:t>
      </w:r>
    </w:p>
    <w:p>
      <w:pPr>
        <w:numPr>
          <w:ilvl w:val="0"/>
          <w:numId w:val="1002"/>
        </w:numPr>
        <w:pStyle w:val="Compact"/>
      </w:pPr>
      <w:r>
        <w:t xml:space="preserve">language transmits models among organisms;</w:t>
      </w:r>
    </w:p>
    <w:p>
      <w:pPr>
        <w:numPr>
          <w:ilvl w:val="0"/>
          <w:numId w:val="1002"/>
        </w:numPr>
        <w:pStyle w:val="Compact"/>
      </w:pPr>
      <w:r>
        <w:t xml:space="preserve">writing preserves models beyond the death of a brain;</w:t>
      </w:r>
    </w:p>
    <w:p>
      <w:pPr>
        <w:numPr>
          <w:ilvl w:val="0"/>
          <w:numId w:val="1002"/>
        </w:numPr>
        <w:pStyle w:val="Compact"/>
      </w:pPr>
      <w:r>
        <w:t xml:space="preserve">law and institutions stabilize cooperation among strangers;</w:t>
      </w:r>
    </w:p>
    <w:p>
      <w:pPr>
        <w:numPr>
          <w:ilvl w:val="0"/>
          <w:numId w:val="1002"/>
        </w:numPr>
        <w:pStyle w:val="Compact"/>
      </w:pPr>
      <w:r>
        <w:t xml:space="preserve">science builds public methods for detecting and correcting error;</w:t>
      </w:r>
    </w:p>
    <w:p>
      <w:pPr>
        <w:numPr>
          <w:ilvl w:val="0"/>
          <w:numId w:val="1002"/>
        </w:numPr>
        <w:pStyle w:val="Compact"/>
      </w:pPr>
      <w:r>
        <w:t xml:space="preserve">technology extends the scale on which stored information can steer matter and energy.</w:t>
      </w:r>
    </w:p>
    <w:p>
      <w:pPr>
        <w:pStyle w:val="FirstParagraph"/>
      </w:pPr>
      <w:r>
        <w:t xml:space="preserve">This list is neither a guaranteed ladder nor a claim that later always means better. It identifies a recurrent direction in successful major transitions: more constraint can be stored, coordinated, repaired, and transmitted across a wider field and a longer time. The relevant climb is toward</w:t>
      </w:r>
      <w:r>
        <w:t xml:space="preserve"> </w:t>
      </w:r>
      <w:r>
        <w:rPr>
          <w:bCs/>
          <w:b/>
        </w:rPr>
        <w:t xml:space="preserve">reconstructible living order</w:t>
      </w:r>
      <w:r>
        <w:t xml:space="preserve">.</w:t>
      </w:r>
    </w:p>
    <w:p>
      <w:pPr>
        <w:pStyle w:val="BodyText"/>
      </w:pPr>
      <w:r>
        <w:t xml:space="preserve">This formulation distinguishes the thesis from three tempting counterfeits.</w:t>
      </w:r>
    </w:p>
    <w:p>
      <w:pPr>
        <w:pStyle w:val="BodyText"/>
      </w:pPr>
      <w:r>
        <w:t xml:space="preserve">First, value is not raw entropy production. A forest can preserve and reproduce layered living organization for centuries. A severe fire may produce more intense energy flux, but it does so largely by spending in hours the energy and organization accumulated over decades. In fire-adapted ecosystems, periodic burning may contribute to renewal by opening cones, recycling nutrients, or preserving a mosaic of habitats. Its value then comes from its role in the ecosystem's continuing life, not from dissipation itself. Entropy production is a cost and sometimes a means; it is not the measure of value.</w:t>
      </w:r>
    </w:p>
    <w:p>
      <w:pPr>
        <w:pStyle w:val="BodyText"/>
      </w:pPr>
      <w:r>
        <w:t xml:space="preserve">Second, value is not static order. A prison, a crystal, or a perfectly uniform bureaucracy can be highly ordered in a thin sense while being brittle, sterile, and unable to learn. A living order includes working differences, error signals, semi-independent centers, and repair paths.</w:t>
      </w:r>
    </w:p>
    <w:p>
      <w:pPr>
        <w:pStyle w:val="BodyText"/>
      </w:pPr>
      <w:r>
        <w:t xml:space="preserve">Third, value is not local survival at any cost. A tumor preserves and expands one lineage of cells by destroying the larger organization that supports it. A parasitic institution may do the same. A bright island of order purchased by ruining the field that sustains it is a false summit.</w:t>
      </w:r>
    </w:p>
    <w:p>
      <w:pPr>
        <w:pStyle w:val="BodyText"/>
      </w:pPr>
      <w:r>
        <w:t xml:space="preserve">The direction can therefore be stated more precisely: the way is toward greater net capacity to preserve, reconstruct, share, and extend living organization across damage, scale, and time.</w:t>
      </w:r>
    </w:p>
    <w:bookmarkEnd w:id="36"/>
    <w:bookmarkStart w:id="37" w:name="Xd333cff6fdd163bf07d7709068d7c8b9259e4d6"/>
    <w:p>
      <w:pPr>
        <w:pStyle w:val="Heading2"/>
      </w:pPr>
      <w:r>
        <w:t xml:space="preserve">5. A minimal formal statement</w:t>
      </w:r>
    </w:p>
    <w:p>
      <w:pPr>
        <w:pStyle w:val="FirstParagraph"/>
      </w:pPr>
      <w:r>
        <w:t xml:space="preserve">Mathematics cannot manufacture value from no premises. A formal model can, however, clarify the relationships the argument proposes. The verbal argument does not depend on following the notation; the notation is included to expose its assumptions.</w:t>
      </w:r>
    </w:p>
    <w:p>
      <w:pPr>
        <w:pStyle w:val="BodyText"/>
      </w:pPr>
      <w:r>
        <w:t xml:space="preserve">Let</w:t>
      </w:r>
      <w:r>
        <w:t xml:space="preserve"> </w:t>
      </w:r>
      <m:oMath>
        <m:r>
          <m:rPr>
            <m:sty m:val="p"/>
            <m:scr m:val="script"/>
          </m:rPr>
          <m:t>L</m:t>
        </m:r>
      </m:oMath>
      <w:r>
        <w:t xml:space="preserve"> </w:t>
      </w:r>
      <w:r>
        <w:t xml:space="preserve">be the class of fighters. For each</w:t>
      </w:r>
      <w:r>
        <w:t xml:space="preserve"> </w:t>
      </w:r>
      <m:oMath>
        <m:r>
          <m:t>x</m:t>
        </m:r>
        <m:r>
          <m:rPr>
            <m:sty m:val="p"/>
          </m:rPr>
          <m:t>∈</m:t>
        </m:r>
        <m:r>
          <m:rPr>
            <m:sty m:val="p"/>
            <m:scr m:val="script"/>
          </m:rPr>
          <m:t>L</m:t>
        </m:r>
      </m:oMath>
      <w:r>
        <w:t xml:space="preserve">, let</w:t>
      </w:r>
      <w:r>
        <w:t xml:space="preserve"> </w:t>
      </w:r>
      <m:oMath>
        <m:sSub>
          <m:e>
            <m:r>
              <m:t>X</m:t>
            </m:r>
          </m:e>
          <m:sub>
            <m:r>
              <m:t>x</m:t>
            </m:r>
          </m:sub>
        </m:sSub>
        <m:d>
          <m:dPr>
            <m:begChr m:val="("/>
            <m:endChr m:val=")"/>
            <m:sepChr m:val=""/>
            <m:grow/>
          </m:dPr>
          <m:e>
            <m:r>
              <m:t>t</m:t>
            </m:r>
          </m:e>
        </m:d>
      </m:oMath>
      <w:r>
        <w:t xml:space="preserve"> </w:t>
      </w:r>
      <w:r>
        <w:t xml:space="preserve">describe its organized state, let</w:t>
      </w:r>
      <w:r>
        <w:t xml:space="preserve"> </w:t>
      </w:r>
      <m:oMath>
        <m:sSub>
          <m:e>
            <m:r>
              <m:t>D</m:t>
            </m:r>
          </m:e>
          <m:sub>
            <m:r>
              <m:t>x</m:t>
            </m:r>
          </m:sub>
        </m:sSub>
      </m:oMath>
      <w:r>
        <w:t xml:space="preserve"> </w:t>
      </w:r>
      <w:r>
        <w:t xml:space="preserve">be the loss of that organization, and let</w:t>
      </w:r>
      <w:r>
        <w:t xml:space="preserve"> </w:t>
      </w:r>
      <m:oMath>
        <m:sSub>
          <m:e>
            <m:r>
              <m:t>T</m:t>
            </m:r>
          </m:e>
          <m:sub>
            <m:sSub>
              <m:e>
                <m:r>
                  <m:t>D</m:t>
                </m:r>
              </m:e>
              <m:sub>
                <m:r>
                  <m:t>x</m:t>
                </m:r>
              </m:sub>
            </m:sSub>
          </m:sub>
        </m:sSub>
      </m:oMath>
      <w:r>
        <w:t xml:space="preserve"> </w:t>
      </w:r>
      <w:r>
        <w:t xml:space="preserve">be the time at which that loss becomes irreversible. Let</w:t>
      </w:r>
      <w:r>
        <w:t xml:space="preserve"> </w:t>
      </w:r>
      <m:oMath>
        <m:sSub>
          <m:e>
            <m:r>
              <m:t>κ</m:t>
            </m:r>
          </m:e>
          <m:sub>
            <m:r>
              <m:t>x</m:t>
            </m:r>
          </m:sub>
        </m:sSub>
        <m:d>
          <m:dPr>
            <m:begChr m:val="("/>
            <m:endChr m:val=")"/>
            <m:sepChr m:val=""/>
            <m:grow/>
          </m:dPr>
          <m:e>
            <m:r>
              <m:t>X</m:t>
            </m:r>
          </m:e>
        </m:d>
      </m:oMath>
      <w:r>
        <w:t xml:space="preserve"> </w:t>
      </w:r>
      <w:r>
        <w:t xml:space="preserve">measure the system’s</w:t>
      </w:r>
      <w:r>
        <w:t xml:space="preserve"> </w:t>
      </w:r>
      <w:r>
        <w:rPr>
          <w:bCs/>
          <w:b/>
        </w:rPr>
        <w:t xml:space="preserve">reconstructive capacity</w:t>
      </w:r>
      <w:r>
        <w:t xml:space="preserve"> </w:t>
      </w:r>
      <w:r>
        <w:t xml:space="preserve">in state</w:t>
      </w:r>
      <w:r>
        <w:t xml:space="preserve"> </w:t>
      </w:r>
      <m:oMath>
        <m:r>
          <m:t>X</m:t>
        </m:r>
      </m:oMath>
      <w:r>
        <w:t xml:space="preserve">: its working reserves, error correction, stored information, repair channels, and nested support.</w:t>
      </w:r>
    </w:p>
    <w:p>
      <w:pPr>
        <w:pStyle w:val="BodyText"/>
      </w:pPr>
      <w:r>
        <w:t xml:space="preserve">Over a horizon</w:t>
      </w:r>
      <w:r>
        <w:t xml:space="preserve"> </w:t>
      </w:r>
      <m:oMath>
        <m:r>
          <m:t>τ</m:t>
        </m:r>
      </m:oMath>
      <w:r>
        <w:t xml:space="preserve">, define an illustrative fighting-capacity functional:</w:t>
      </w:r>
    </w:p>
    <w:p>
      <w:pPr>
        <w:pStyle w:val="BodyText"/>
      </w:pPr>
      <m:oMathPara>
        <m:oMathParaPr>
          <m:jc m:val="center"/>
        </m:oMathParaPr>
        <m:oMath>
          <m:sSub>
            <m:e>
              <m:r>
                <m:t>C</m:t>
              </m:r>
            </m:e>
            <m:sub>
              <m:r>
                <m:t>x</m:t>
              </m:r>
            </m:sub>
          </m:sSub>
          <m:d>
            <m:dPr>
              <m:begChr m:val="("/>
              <m:endChr m:val=")"/>
              <m:sepChr m:val=""/>
              <m:grow/>
            </m:dPr>
            <m:e>
              <m:r>
                <m:t>t</m:t>
              </m:r>
              <m:r>
                <m:rPr>
                  <m:sty m:val="p"/>
                </m:rPr>
                <m:t>;</m:t>
              </m:r>
              <m:r>
                <m:t>τ</m:t>
              </m:r>
            </m:e>
          </m:d>
          <m:r>
            <m:rPr>
              <m:sty m:val="p"/>
            </m:rPr>
            <m:t>=</m:t>
          </m:r>
          <m:r>
            <m:rPr>
              <m:sty m:val="p"/>
              <m:scr m:val="double-struck"/>
            </m:rPr>
            <m:t>E</m:t>
          </m:r>
          <m:r>
            <m:t>​</m:t>
          </m:r>
          <m:d>
            <m:dPr>
              <m:begChr m:val="["/>
              <m:endChr m:val="]"/>
              <m:sepChr m:val=""/>
              <m:grow/>
            </m:dPr>
            <m:e>
              <m:nary>
                <m:naryPr>
                  <m:chr m:val="∫"/>
                  <m:limLoc m:val="subSup"/>
                  <m:subHide m:val="off"/>
                  <m:supHide m:val="off"/>
                </m:naryPr>
                <m:sub>
                  <m:r>
                    <m:t>0</m:t>
                  </m:r>
                </m:sub>
                <m:sup>
                  <m:r>
                    <m:t>τ</m:t>
                  </m:r>
                </m:sup>
                <m:e>
                  <m:sSup>
                    <m:e>
                      <m:r>
                        <m:t>e</m:t>
                      </m:r>
                    </m:e>
                    <m:sup>
                      <m:r>
                        <m:rPr>
                          <m:sty m:val="p"/>
                        </m:rPr>
                        <m:t>−</m:t>
                      </m:r>
                      <m:r>
                        <m:t>λ</m:t>
                      </m:r>
                      <m:r>
                        <m:t>s</m:t>
                      </m:r>
                    </m:sup>
                  </m:sSup>
                </m:e>
              </m:nary>
              <m:sSub>
                <m:e>
                  <m:r>
                    <m:rPr>
                      <m:sty m:val="b"/>
                    </m:rPr>
                    <m:t>1</m:t>
                  </m:r>
                </m:e>
                <m:sub>
                  <m:r>
                    <m:rPr>
                      <m:sty m:val="p"/>
                    </m:rPr>
                    <m:t>{</m:t>
                  </m:r>
                  <m:sSub>
                    <m:e>
                      <m:r>
                        <m:t>T</m:t>
                      </m:r>
                    </m:e>
                    <m:sub>
                      <m:sSub>
                        <m:e>
                          <m:r>
                            <m:t>D</m:t>
                          </m:r>
                        </m:e>
                        <m:sub>
                          <m:r>
                            <m:t>x</m:t>
                          </m:r>
                        </m:sub>
                      </m:sSub>
                    </m:sub>
                  </m:sSub>
                  <m:r>
                    <m:rPr>
                      <m:sty m:val="p"/>
                    </m:rPr>
                    <m:t>&gt;</m:t>
                  </m:r>
                  <m:r>
                    <m:t>t</m:t>
                  </m:r>
                  <m:r>
                    <m:rPr>
                      <m:sty m:val="p"/>
                    </m:rPr>
                    <m:t>+</m:t>
                  </m:r>
                  <m:r>
                    <m:t>s</m:t>
                  </m:r>
                  <m:r>
                    <m:rPr>
                      <m:sty m:val="p"/>
                    </m:rPr>
                    <m:t>}</m:t>
                  </m:r>
                </m:sub>
              </m:sSub>
              <m:sSub>
                <m:e>
                  <m:r>
                    <m:t>κ</m:t>
                  </m:r>
                </m:e>
                <m:sub>
                  <m:r>
                    <m:t>x</m:t>
                  </m:r>
                </m:sub>
              </m:sSub>
              <m:r>
                <m:t>​</m:t>
              </m:r>
              <m:d>
                <m:dPr>
                  <m:begChr m:val="("/>
                  <m:endChr m:val=")"/>
                  <m:sepChr m:val=""/>
                  <m:grow/>
                </m:dPr>
                <m:e>
                  <m:sSub>
                    <m:e>
                      <m:r>
                        <m:t>X</m:t>
                      </m:r>
                    </m:e>
                    <m:sub>
                      <m:r>
                        <m:t>x</m:t>
                      </m:r>
                    </m:sub>
                  </m:sSub>
                  <m:d>
                    <m:dPr>
                      <m:begChr m:val="("/>
                      <m:endChr m:val=")"/>
                      <m:sepChr m:val=""/>
                      <m:grow/>
                    </m:dPr>
                    <m:e>
                      <m:r>
                        <m:t>t</m:t>
                      </m:r>
                      <m:r>
                        <m:rPr>
                          <m:sty m:val="p"/>
                        </m:rPr>
                        <m:t>+</m:t>
                      </m:r>
                      <m:r>
                        <m:t>s</m:t>
                      </m:r>
                    </m:e>
                  </m:d>
                </m:e>
              </m:d>
              <m:r>
                <m:t> </m:t>
              </m:r>
              <m:r>
                <m:t>d</m:t>
              </m:r>
              <m:r>
                <m:t>s</m:t>
              </m:r>
            </m:e>
          </m:d>
          <m:r>
            <m:rPr>
              <m:sty m:val="p"/>
            </m:rPr>
            <m:t>.</m:t>
          </m:r>
        </m:oMath>
      </m:oMathPara>
    </w:p>
    <w:p>
      <w:pPr>
        <w:pStyle w:val="FirstParagraph"/>
      </w:pPr>
      <w:r>
        <w:t xml:space="preserve">The factor</w:t>
      </w:r>
      <w:r>
        <w:t xml:space="preserve"> </w:t>
      </w:r>
      <m:oMath>
        <m:r>
          <m:t>λ</m:t>
        </m:r>
      </m:oMath>
      <w:r>
        <w:t xml:space="preserve"> </w:t>
      </w:r>
      <w:r>
        <w:t xml:space="preserve">controls how sharply distant estimates are discounted, and</w:t>
      </w:r>
      <w:r>
        <w:t xml:space="preserve"> </w:t>
      </w:r>
      <m:oMath>
        <m:r>
          <m:t>τ</m:t>
        </m:r>
      </m:oMath>
      <w:r>
        <w:t xml:space="preserve"> </w:t>
      </w:r>
      <w:r>
        <w:t xml:space="preserve">sets the time horizon. Both are placeholders to be specified for an application, not proposed physical constants or a ready-made measurement protocol. The equation makes one conceptual point: mere survival to a future instant is too thin. A system with reserves, redundancy, and the ability to rebuild has more capacity than an equally present but brittle system already near collapse.</w:t>
      </w:r>
    </w:p>
    <w:p>
      <w:pPr>
        <w:pStyle w:val="BodyText"/>
      </w:pPr>
      <w:r>
        <w:t xml:space="preserve">For a change</w:t>
      </w:r>
      <w:r>
        <w:t xml:space="preserve"> </w:t>
      </w:r>
      <m:oMath>
        <m:r>
          <m:t>δ</m:t>
        </m:r>
      </m:oMath>
      <w:r>
        <w:t xml:space="preserve">—an act, trait, tool, practice, or law—define its local value for</w:t>
      </w:r>
      <w:r>
        <w:t xml:space="preserve"> </w:t>
      </w:r>
      <m:oMath>
        <m:r>
          <m:t>x</m:t>
        </m:r>
      </m:oMath>
      <w:r>
        <w:t xml:space="preserve"> </w:t>
      </w:r>
      <w:r>
        <w:t xml:space="preserve">as:</w:t>
      </w:r>
    </w:p>
    <w:p>
      <w:pPr>
        <w:pStyle w:val="BodyText"/>
      </w:pPr>
      <m:oMathPara>
        <m:oMathParaPr>
          <m:jc m:val="center"/>
        </m:oMathParaPr>
        <m:oMath>
          <m:sSub>
            <m:e>
              <m:r>
                <m:t>V</m:t>
              </m:r>
            </m:e>
            <m:sub>
              <m:r>
                <m:t>x</m:t>
              </m:r>
            </m:sub>
          </m:sSub>
          <m:d>
            <m:dPr>
              <m:begChr m:val="("/>
              <m:endChr m:val=")"/>
              <m:sepChr m:val=""/>
              <m:grow/>
            </m:dPr>
            <m:e>
              <m:r>
                <m:t>δ</m:t>
              </m:r>
            </m:e>
          </m:d>
          <m:r>
            <m:rPr>
              <m:sty m:val="p"/>
            </m:rPr>
            <m:t>=</m:t>
          </m:r>
          <m:sSubSup>
            <m:e>
              <m:r>
                <m:t>C</m:t>
              </m:r>
            </m:e>
            <m:sub>
              <m:r>
                <m:t>x</m:t>
              </m:r>
            </m:sub>
            <m:sup>
              <m:r>
                <m:t> </m:t>
              </m:r>
              <m:r>
                <m:t>δ</m:t>
              </m:r>
            </m:sup>
          </m:sSubSup>
          <m:d>
            <m:dPr>
              <m:begChr m:val="("/>
              <m:endChr m:val=")"/>
              <m:sepChr m:val=""/>
              <m:grow/>
            </m:dPr>
            <m:e>
              <m:r>
                <m:t>t</m:t>
              </m:r>
              <m:r>
                <m:rPr>
                  <m:sty m:val="p"/>
                </m:rPr>
                <m:t>;</m:t>
              </m:r>
              <m:r>
                <m:t>τ</m:t>
              </m:r>
            </m:e>
          </m:d>
          <m:r>
            <m:rPr>
              <m:sty m:val="p"/>
            </m:rPr>
            <m:t>−</m:t>
          </m:r>
          <m:sSub>
            <m:e>
              <m:r>
                <m:t>C</m:t>
              </m:r>
            </m:e>
            <m:sub>
              <m:r>
                <m:t>x</m:t>
              </m:r>
            </m:sub>
          </m:sSub>
          <m:d>
            <m:dPr>
              <m:begChr m:val="("/>
              <m:endChr m:val=")"/>
              <m:sepChr m:val=""/>
              <m:grow/>
            </m:dPr>
            <m:e>
              <m:r>
                <m:t>t</m:t>
              </m:r>
              <m:r>
                <m:rPr>
                  <m:sty m:val="p"/>
                </m:rPr>
                <m:t>;</m:t>
              </m:r>
              <m:r>
                <m:t>τ</m:t>
              </m:r>
            </m:e>
          </m:d>
          <m:r>
            <m:rPr>
              <m:sty m:val="p"/>
            </m:rPr>
            <m:t>.</m:t>
          </m:r>
        </m:oMath>
      </m:oMathPara>
    </w:p>
    <w:p>
      <w:pPr>
        <w:pStyle w:val="FirstParagraph"/>
      </w:pPr>
      <w:r>
        <w:t xml:space="preserve">If</w:t>
      </w:r>
      <w:r>
        <w:t xml:space="preserve"> </w:t>
      </w:r>
      <m:oMath>
        <m:sSub>
          <m:e>
            <m:r>
              <m:t>V</m:t>
            </m:r>
          </m:e>
          <m:sub>
            <m:r>
              <m:t>x</m:t>
            </m:r>
          </m:sub>
        </m:sSub>
        <m:d>
          <m:dPr>
            <m:begChr m:val="("/>
            <m:endChr m:val=")"/>
            <m:sepChr m:val=""/>
            <m:grow/>
          </m:dPr>
          <m:e>
            <m:r>
              <m:t>δ</m:t>
            </m:r>
          </m:e>
        </m:d>
        <m:r>
          <m:rPr>
            <m:sty m:val="p"/>
          </m:rPr>
          <m:t>&gt;</m:t>
        </m:r>
        <m:r>
          <m:t>0</m:t>
        </m:r>
      </m:oMath>
      <w:r>
        <w:t xml:space="preserve">, the change is good for</w:t>
      </w:r>
      <w:r>
        <w:t xml:space="preserve"> </w:t>
      </w:r>
      <m:oMath>
        <m:r>
          <m:t>x</m:t>
        </m:r>
      </m:oMath>
      <w:r>
        <w:t xml:space="preserve"> </w:t>
      </w:r>
      <w:r>
        <w:t xml:space="preserve">within the specified circumstances and horizon; if it is negative, the change is bad for</w:t>
      </w:r>
      <w:r>
        <w:t xml:space="preserve"> </w:t>
      </w:r>
      <m:oMath>
        <m:r>
          <m:t>x</m:t>
        </m:r>
      </m:oMath>
      <w:r>
        <w:t xml:space="preserve">. The model makes a local value gradient explicit. It does not imply that every effect can be measured precisely.</w:t>
      </w:r>
    </w:p>
    <w:p>
      <w:pPr>
        <w:pStyle w:val="BodyText"/>
      </w:pPr>
      <w:r>
        <w:t xml:space="preserve">The universal claim needs a further step because local goods conflict. Let</w:t>
      </w:r>
      <w:r>
        <w:t xml:space="preserve"> </w:t>
      </w:r>
      <m:oMath>
        <m:r>
          <m:t>S</m:t>
        </m:r>
      </m:oMath>
      <w:r>
        <w:t xml:space="preserve"> </w:t>
      </w:r>
      <w:r>
        <w:t xml:space="preserve">be the continuing living field: the network of organisms and supporting systems that maintains and generates reconstructive agents. A process counts as strengthening</w:t>
      </w:r>
      <w:r>
        <w:t xml:space="preserve"> </w:t>
      </w:r>
      <m:oMath>
        <m:r>
          <m:t>S</m:t>
        </m:r>
      </m:oMath>
      <w:r>
        <w:t xml:space="preserve"> </w:t>
      </w:r>
      <w:r>
        <w:t xml:space="preserve">only if it does not irreversibly consume the conditions that make further agents possible. This is a test of systems and practices, not a productivity test for persons. Childhood, disability, dependence, convalescence, and old age belong within a reciprocally maintained human field; personal standing does not rise and fall with present output. The distinction instead identifies tumors, predatory institutions, and exhausted ecologies whose local growth consumes the basis of continued agency.</w:t>
      </w:r>
    </w:p>
    <w:p>
      <w:pPr>
        <w:pStyle w:val="BodyText"/>
      </w:pPr>
      <w:r>
        <w:t xml:space="preserve">The capacity</w:t>
      </w:r>
      <w:r>
        <w:t xml:space="preserve"> </w:t>
      </w:r>
      <m:oMath>
        <m:sSub>
          <m:e>
            <m:r>
              <m:t>C</m:t>
            </m:r>
          </m:e>
          <m:sub>
            <m:r>
              <m:t>S</m:t>
            </m:r>
          </m:sub>
        </m:sSub>
      </m:oMath>
      <w:r>
        <w:t xml:space="preserve"> </w:t>
      </w:r>
      <w:r>
        <w:t xml:space="preserve">cannot be a naive sum of every organism's local score, because predation, sacrifice, reproduction, and competition transfer resources between levels. It must include at least:</w:t>
      </w:r>
    </w:p>
    <w:p>
      <w:pPr>
        <w:numPr>
          <w:ilvl w:val="0"/>
          <w:numId w:val="1003"/>
        </w:numPr>
        <w:pStyle w:val="Compact"/>
      </w:pPr>
      <w:r>
        <w:t xml:space="preserve">the viability of constituent agents;</w:t>
      </w:r>
    </w:p>
    <w:p>
      <w:pPr>
        <w:numPr>
          <w:ilvl w:val="0"/>
          <w:numId w:val="1003"/>
        </w:numPr>
        <w:pStyle w:val="Compact"/>
      </w:pPr>
      <w:r>
        <w:t xml:space="preserve">diversity of independent reconstructive strategies;</w:t>
      </w:r>
    </w:p>
    <w:p>
      <w:pPr>
        <w:numPr>
          <w:ilvl w:val="0"/>
          <w:numId w:val="1003"/>
        </w:numPr>
        <w:pStyle w:val="Compact"/>
      </w:pPr>
      <w:r>
        <w:t xml:space="preserve">nested repair across cells, organisms, communities, and institutions;</w:t>
      </w:r>
    </w:p>
    <w:p>
      <w:pPr>
        <w:numPr>
          <w:ilvl w:val="0"/>
          <w:numId w:val="1003"/>
        </w:numPr>
        <w:pStyle w:val="Compact"/>
      </w:pPr>
      <w:r>
        <w:t xml:space="preserve">shared infrastructure such as genomes, knowledge, law, energy systems, and ecological support; and</w:t>
      </w:r>
    </w:p>
    <w:p>
      <w:pPr>
        <w:numPr>
          <w:ilvl w:val="0"/>
          <w:numId w:val="1003"/>
        </w:numPr>
        <w:pStyle w:val="Compact"/>
      </w:pPr>
      <w:r>
        <w:t xml:space="preserve">the residual capacity to generate and support future fighters.</w:t>
      </w:r>
    </w:p>
    <w:p>
      <w:pPr>
        <w:pStyle w:val="FirstParagraph"/>
      </w:pPr>
      <m:oMath>
        <m:sSub>
          <m:e>
            <m:r>
              <m:t>C</m:t>
            </m:r>
          </m:e>
          <m:sub>
            <m:r>
              <m:t>S</m:t>
            </m:r>
          </m:sub>
        </m:sSub>
      </m:oMath>
      <w:r>
        <w:t xml:space="preserve"> </w:t>
      </w:r>
      <w:r>
        <w:t xml:space="preserve">should not be treated as a single number before its boundaries, horizons, and components are specified. When goods at different levels conflict, judgment follows a priority rule:</w:t>
      </w:r>
    </w:p>
    <w:p>
      <w:pPr>
        <w:numPr>
          <w:ilvl w:val="0"/>
          <w:numId w:val="1004"/>
        </w:numPr>
        <w:pStyle w:val="Compact"/>
      </w:pPr>
      <w:r>
        <w:rPr>
          <w:bCs/>
          <w:b/>
        </w:rPr>
        <w:t xml:space="preserve">Preserve the viability floor.</w:t>
      </w:r>
      <w:r>
        <w:t xml:space="preserve"> </w:t>
      </w:r>
      <w:r>
        <w:t xml:space="preserve">Avoid choices that create irreversible collapse in the ecological, biological, or institutional conditions of continued agency, except where such damage is the least destructive available way to avert a still greater collapse.</w:t>
      </w:r>
    </w:p>
    <w:p>
      <w:pPr>
        <w:numPr>
          <w:ilvl w:val="0"/>
          <w:numId w:val="1004"/>
        </w:numPr>
        <w:pStyle w:val="Compact"/>
      </w:pPr>
      <w:r>
        <w:rPr>
          <w:bCs/>
          <w:b/>
        </w:rPr>
        <w:t xml:space="preserve">Protect independent agents.</w:t>
      </w:r>
      <w:r>
        <w:t xml:space="preserve"> </w:t>
      </w:r>
      <w:r>
        <w:t xml:space="preserve">Treat them as sources of perception, initiative, and repair, not merely as interchangeable fuel for an aggregate. Sacrifice, coercion, or centralization bears a burden of necessity and proportionality.</w:t>
      </w:r>
    </w:p>
    <w:p>
      <w:pPr>
        <w:numPr>
          <w:ilvl w:val="0"/>
          <w:numId w:val="1004"/>
        </w:numPr>
        <w:pStyle w:val="Compact"/>
      </w:pPr>
      <w:r>
        <w:rPr>
          <w:bCs/>
          <w:b/>
        </w:rPr>
        <w:t xml:space="preserve">Increase capacity above the floor.</w:t>
      </w:r>
      <w:r>
        <w:t xml:space="preserve"> </w:t>
      </w:r>
      <w:r>
        <w:t xml:space="preserve">Among viable alternatives, prefer the one that enlarges truthful knowledge, diversity of strategy, repair, cooperation, and the production of future agents across the longest defensible horizon.</w:t>
      </w:r>
    </w:p>
    <w:p>
      <w:pPr>
        <w:numPr>
          <w:ilvl w:val="0"/>
          <w:numId w:val="1004"/>
        </w:numPr>
        <w:pStyle w:val="Compact"/>
      </w:pPr>
      <w:r>
        <w:rPr>
          <w:bCs/>
          <w:b/>
        </w:rPr>
        <w:t xml:space="preserve">Keep correction possible.</w:t>
      </w:r>
      <w:r>
        <w:t xml:space="preserve"> </w:t>
      </w:r>
      <w:r>
        <w:t xml:space="preserve">Under uncertainty, prefer reversible, reviewable, feedback-rich arrangements. Preserve future choices rather than making an uncertain model irreversible.</w:t>
      </w:r>
    </w:p>
    <w:p>
      <w:pPr>
        <w:pStyle w:val="FirstParagraph"/>
      </w:pPr>
      <w:r>
        <w:t xml:space="preserve">These priorities follow from the object being valued. Once the viability floor is destroyed, there is no continuing field in which later gains can count. Independent agents are among the means by which that field perceives, acts, and repairs itself. Corrigibility is necessary because every evaluator is a fallible part of the system being evaluated.</w:t>
      </w:r>
    </w:p>
    <w:p>
      <w:pPr>
        <w:pStyle w:val="BodyText"/>
      </w:pPr>
      <w:r>
        <w:t xml:space="preserve">The priorities are partly lexicographic: some conditions must be secured before other gains are counted, rather than traded away at any price. This explains why a spectacular short-term gain cannot normally compensate for destroying the field, while still allowing triage when every available course contains loss. Some cases will remain tragic or indeterminate. In general,</w:t>
      </w:r>
      <w:r>
        <w:t xml:space="preserve"> </w:t>
      </w:r>
      <m:oMath>
        <m:sSub>
          <m:e>
            <m:r>
              <m:t>C</m:t>
            </m:r>
          </m:e>
          <m:sub>
            <m:r>
              <m:t>S</m:t>
            </m:r>
          </m:sub>
        </m:sSub>
      </m:oMath>
      <w:r>
        <w:t xml:space="preserve"> </w:t>
      </w:r>
      <w:r>
        <w:t xml:space="preserve">represents an ordered family of measures. It may be reduced to a number for a particular decision only when that reduction respects the priorities above.</w:t>
      </w:r>
    </w:p>
    <w:p>
      <w:pPr>
        <w:pStyle w:val="BodyText"/>
      </w:pPr>
      <w:r>
        <w:t xml:space="preserve">When</w:t>
      </w:r>
      <w:r>
        <w:t xml:space="preserve"> </w:t>
      </w:r>
      <m:oMath>
        <m:sSub>
          <m:e>
            <m:r>
              <m:t>C</m:t>
            </m:r>
          </m:e>
          <m:sub>
            <m:r>
              <m:t>S</m:t>
            </m:r>
          </m:sub>
        </m:sSub>
      </m:oMath>
      <w:r>
        <w:t xml:space="preserve"> </w:t>
      </w:r>
      <w:r>
        <w:t xml:space="preserve">can be responsibly reduced to a number for a particular decision, the value of a change for the living field can be written schematically as:</w:t>
      </w:r>
    </w:p>
    <w:p>
      <w:pPr>
        <w:pStyle w:val="BodyText"/>
      </w:pPr>
      <m:oMathPara>
        <m:oMathParaPr>
          <m:jc m:val="center"/>
        </m:oMathParaPr>
        <m:oMath>
          <m:sSup>
            <m:e>
              <m:r>
                <m:t>V</m:t>
              </m:r>
            </m:e>
            <m:sup>
              <m:r>
                <m:rPr>
                  <m:sty m:val="p"/>
                </m:rPr>
                <m:t>*</m:t>
              </m:r>
            </m:sup>
          </m:sSup>
          <m:d>
            <m:dPr>
              <m:begChr m:val="("/>
              <m:endChr m:val=")"/>
              <m:sepChr m:val=""/>
              <m:grow/>
            </m:dPr>
            <m:e>
              <m:r>
                <m:t>δ</m:t>
              </m:r>
            </m:e>
          </m:d>
          <m:r>
            <m:rPr>
              <m:sty m:val="p"/>
            </m:rPr>
            <m:t>=</m:t>
          </m:r>
          <m:sSubSup>
            <m:e>
              <m:r>
                <m:t>C</m:t>
              </m:r>
            </m:e>
            <m:sub>
              <m:r>
                <m:t>S</m:t>
              </m:r>
            </m:sub>
            <m:sup>
              <m:r>
                <m:t> </m:t>
              </m:r>
              <m:r>
                <m:t>δ</m:t>
              </m:r>
            </m:sup>
          </m:sSubSup>
          <m:d>
            <m:dPr>
              <m:begChr m:val="("/>
              <m:endChr m:val=")"/>
              <m:sepChr m:val=""/>
              <m:grow/>
            </m:dPr>
            <m:e>
              <m:r>
                <m:t>t</m:t>
              </m:r>
              <m:r>
                <m:rPr>
                  <m:sty m:val="p"/>
                </m:rPr>
                <m:t>;</m:t>
              </m:r>
              <m:sSub>
                <m:e>
                  <m:r>
                    <m:t>τ</m:t>
                  </m:r>
                </m:e>
                <m:sub>
                  <m:r>
                    <m:t>S</m:t>
                  </m:r>
                </m:sub>
              </m:sSub>
            </m:e>
          </m:d>
          <m:r>
            <m:rPr>
              <m:sty m:val="p"/>
            </m:rPr>
            <m:t>−</m:t>
          </m:r>
          <m:sSub>
            <m:e>
              <m:r>
                <m:t>C</m:t>
              </m:r>
            </m:e>
            <m:sub>
              <m:r>
                <m:t>S</m:t>
              </m:r>
            </m:sub>
          </m:sSub>
          <m:d>
            <m:dPr>
              <m:begChr m:val="("/>
              <m:endChr m:val=")"/>
              <m:sepChr m:val=""/>
              <m:grow/>
            </m:dPr>
            <m:e>
              <m:r>
                <m:t>t</m:t>
              </m:r>
              <m:r>
                <m:rPr>
                  <m:sty m:val="p"/>
                </m:rPr>
                <m:t>;</m:t>
              </m:r>
              <m:sSub>
                <m:e>
                  <m:r>
                    <m:t>τ</m:t>
                  </m:r>
                </m:e>
                <m:sub>
                  <m:r>
                    <m:t>S</m:t>
                  </m:r>
                </m:sub>
              </m:sSub>
            </m:e>
          </m:d>
          <m:r>
            <m:rPr>
              <m:sty m:val="p"/>
            </m:rPr>
            <m:t>.</m:t>
          </m:r>
        </m:oMath>
      </m:oMathPara>
    </w:p>
    <w:p>
      <w:pPr>
        <w:pStyle w:val="FirstParagraph"/>
      </w:pPr>
      <w:r>
        <w:t xml:space="preserve">Actions and systems can be assessed by their effects on this field, although only agents can be held responsible for choosing among them.</w:t>
      </w:r>
    </w:p>
    <w:p>
      <w:pPr>
        <w:pStyle w:val="BodyText"/>
      </w:pPr>
      <w:r>
        <w:t xml:space="preserve">This formalization does not establish cosmic purpose, a personal God, or a unique numerical metric. Its role is limited: it states the proposed relation between viability, reconstructive capacity, time, and scale. Any practical use must still specify boundaries, horizons, risks, and proxies. The schema identifies what an assessment would need to consider; it is not a calculator that settles moral disputes.</w:t>
      </w:r>
    </w:p>
    <w:bookmarkEnd w:id="37"/>
    <w:bookmarkStart w:id="38" w:name="Xf61c772ca02116afcfbd94d9e8d1165f034c853"/>
    <w:p>
      <w:pPr>
        <w:pStyle w:val="Heading2"/>
      </w:pPr>
      <w:r>
        <w:t xml:space="preserve">6. Where the ought appears</w:t>
      </w:r>
    </w:p>
    <w:p>
      <w:pPr>
        <w:pStyle w:val="FirstParagraph"/>
      </w:pPr>
      <w:r>
        <w:t xml:space="preserve">The grass can flourish or fail, but it is not morally culpable. Before reflective choice, there is trajectory without obligation. Organisms enact inherited responses; the environment filters the results. Their parts can function or malfunction, yet there is no fault in a plant failing to reach light.</w:t>
      </w:r>
    </w:p>
    <w:p>
      <w:pPr>
        <w:pStyle w:val="BodyText"/>
      </w:pPr>
      <w:r>
        <w:t xml:space="preserve">Human beings can also form explicit representations of what is worth doing. Those models can conflict with inherited drives and with one another, while money, status, institutions, and technologies can become mistaken proxies for the good. A person can therefore use capacities created by the living trajectory to weaken those capacities, harm other centers of agency, or destroy the field on which future agency depends.</w:t>
      </w:r>
    </w:p>
    <w:p>
      <w:pPr>
        <w:pStyle w:val="BodyText"/>
      </w:pPr>
      <w:r>
        <w:t xml:space="preserve">No supernatural faculty of free will is required. The relevant threshold is the evolved ability to model alternative courses, anticipate some of their consequences, and steer among them. Once such choice exists, the older distinction between success and failure becomes a first-person demand.</w:t>
      </w:r>
    </w:p>
    <w:p>
      <w:pPr>
        <w:pStyle w:val="BodyText"/>
      </w:pPr>
      <w:r>
        <w:t xml:space="preserve">The logic is:</w:t>
      </w:r>
    </w:p>
    <w:p>
      <w:pPr>
        <w:numPr>
          <w:ilvl w:val="0"/>
          <w:numId w:val="1005"/>
        </w:numPr>
        <w:pStyle w:val="Compact"/>
      </w:pPr>
      <w:r>
        <w:t xml:space="preserve">This agent is a self-maintaining, historically selected living organization.</w:t>
      </w:r>
    </w:p>
    <w:p>
      <w:pPr>
        <w:numPr>
          <w:ilvl w:val="0"/>
          <w:numId w:val="1005"/>
        </w:numPr>
        <w:pStyle w:val="Compact"/>
      </w:pPr>
      <w:r>
        <w:t xml:space="preserve">Certain conditions are constitutive of its continued agency and of the living field that supports such agency.</w:t>
      </w:r>
    </w:p>
    <w:p>
      <w:pPr>
        <w:numPr>
          <w:ilvl w:val="0"/>
          <w:numId w:val="1005"/>
        </w:numPr>
        <w:pStyle w:val="Compact"/>
      </w:pPr>
      <w:r>
        <w:t xml:space="preserve">The agent can represent and choose actions that preserve or destroy those conditions.</w:t>
      </w:r>
    </w:p>
    <w:p>
      <w:pPr>
        <w:numPr>
          <w:ilvl w:val="0"/>
          <w:numId w:val="1005"/>
        </w:numPr>
        <w:pStyle w:val="Compact"/>
      </w:pPr>
      <w:r>
        <w:t xml:space="preserve">Therefore,</w:t>
      </w:r>
      <w:r>
        <w:t xml:space="preserve"> </w:t>
      </w:r>
      <w:r>
        <w:rPr>
          <w:iCs/>
          <w:i/>
        </w:rPr>
        <w:t xml:space="preserve">as this kind of agent</w:t>
      </w:r>
      <w:r>
        <w:t xml:space="preserve">, it has reason to choose the conditions of continued and enlarged agency.</w:t>
      </w:r>
    </w:p>
    <w:p>
      <w:pPr>
        <w:pStyle w:val="FirstParagraph"/>
      </w:pPr>
      <w:r>
        <w:t xml:space="preserve">The ought is neither a command from outside nature nor an instruction to obey every natural impulse. The underlying standard existed before reflective choice; obligation is how that standard appears to an agent capable of understanding and violating it.</w:t>
      </w:r>
    </w:p>
    <w:p>
      <w:pPr>
        <w:pStyle w:val="BodyText"/>
      </w:pPr>
      <w:r>
        <w:t xml:space="preserve">This is a natural, Earth-bound norm, not a law addressed to rocks or every conceivable intelligence. A critic may still ask, “Why should I care whether life continues?” Logic alone cannot compel a lifeless universe to care. The narrower claim is that any living questioner can pose the question only by exercising the capacities at issue. A person may reject their continuation, but that rejection is not made from a neutral standpoint; it uses living agency to act against the conditions of living agency. This is a practical conflict, not a contradiction in formal logic.</w:t>
      </w:r>
    </w:p>
    <w:p>
      <w:pPr>
        <w:pStyle w:val="BodyText"/>
      </w:pPr>
      <w:r>
        <w:t xml:space="preserve">Value, on this account, is the living trajectory articulated by an agent capable of departing from it. The choice of this gradient is not arbitrary: it generalizes from the conditions that produced the chooser and continue to support its agency.</w:t>
      </w:r>
    </w:p>
    <w:bookmarkEnd w:id="38"/>
    <w:bookmarkStart w:id="39" w:name="X98d0512e66e287944027c5a7010f7b0ae6d5ad1"/>
    <w:p>
      <w:pPr>
        <w:pStyle w:val="Heading2"/>
      </w:pPr>
      <w:r>
        <w:t xml:space="preserve">7. One gradient, many levels</w:t>
      </w:r>
    </w:p>
    <w:p>
      <w:pPr>
        <w:pStyle w:val="FirstParagraph"/>
      </w:pPr>
      <w:r>
        <w:t xml:space="preserve">Universal does not mean that every organism wants the same immediate outcome. Predator and prey conflict. A parent may sacrifice for a child. An immune system destroys cells to preserve a body. A society may retire an institution so that the wider practice can live. The same action can be locally bad and more broadly good.</w:t>
      </w:r>
    </w:p>
    <w:p>
      <w:pPr>
        <w:pStyle w:val="BodyText"/>
      </w:pPr>
      <w:r>
        <w:t xml:space="preserve">The account must therefore be nested. Individual life is a genuine good because individuals are not disposable abstractions; they are the actual sites at which the fight occurs. But an individual’s good is not absolute when it destroys the conditions of other and future agents. Conversely, appeals to “the whole” cannot automatically justify sacrificing persons, because a whole that consumes its independent centers may reduce precisely the diversity, information, initiative, and repair capacity by which living order advances.</w:t>
      </w:r>
    </w:p>
    <w:p>
      <w:pPr>
        <w:pStyle w:val="BodyText"/>
      </w:pPr>
      <w:r>
        <w:t xml:space="preserve">The question is not whether the individual or collective always wins. It is how an action affects nested levels: body, family, community, ecosystem, civilization, and future life. Good action tends to create higher-order cooperation while preserving the agency of the people and groups within it. Love, teaching, exchange, constitutional restraint, and honest inquiry coordinate agents without reducing them to instruments. Domination, scapegoating, and total control may create visible order while silencing the information and initiative the larger system needs.</w:t>
      </w:r>
    </w:p>
    <w:p>
      <w:pPr>
        <w:pStyle w:val="BodyText"/>
      </w:pPr>
      <w:r>
        <w:t xml:space="preserve">Sacrifice does not refute the gradient. Rest, risk, parenthood, defense, and medical triage may impose a local loss while preserving a person, relationship, or wider community. Whether a sacrifice actually serves a deeper good remains a question of evidence and judgment; calling an act sacrificial does not justify it.</w:t>
      </w:r>
    </w:p>
    <w:p>
      <w:pPr>
        <w:pStyle w:val="BodyText"/>
      </w:pPr>
      <w:r>
        <w:t xml:space="preserve">The priority rule becomes four practical questions:</w:t>
      </w:r>
    </w:p>
    <w:p>
      <w:pPr>
        <w:numPr>
          <w:ilvl w:val="0"/>
          <w:numId w:val="1006"/>
        </w:numPr>
        <w:pStyle w:val="Compact"/>
      </w:pPr>
      <w:r>
        <w:rPr>
          <w:bCs/>
          <w:b/>
        </w:rPr>
        <w:t xml:space="preserve">Viability:</w:t>
      </w:r>
      <w:r>
        <w:t xml:space="preserve"> </w:t>
      </w:r>
      <w:r>
        <w:t xml:space="preserve">Does the action increase the capacity of living agents to obtain energy, repair damage, reproduce form, and remain agents?</w:t>
      </w:r>
    </w:p>
    <w:p>
      <w:pPr>
        <w:numPr>
          <w:ilvl w:val="0"/>
          <w:numId w:val="1006"/>
        </w:numPr>
        <w:pStyle w:val="Compact"/>
      </w:pPr>
      <w:r>
        <w:rPr>
          <w:bCs/>
          <w:b/>
        </w:rPr>
        <w:t xml:space="preserve">Truth:</w:t>
      </w:r>
      <w:r>
        <w:t xml:space="preserve"> </w:t>
      </w:r>
      <w:r>
        <w:t xml:space="preserve">Does it improve the models by which agents act, or spread noise and deception and confuse an instrument with the goal it should serve?</w:t>
      </w:r>
    </w:p>
    <w:p>
      <w:pPr>
        <w:numPr>
          <w:ilvl w:val="0"/>
          <w:numId w:val="1006"/>
        </w:numPr>
        <w:pStyle w:val="Compact"/>
      </w:pPr>
      <w:r>
        <w:rPr>
          <w:bCs/>
          <w:b/>
        </w:rPr>
        <w:t xml:space="preserve">Nesting:</w:t>
      </w:r>
      <w:r>
        <w:t xml:space="preserve"> </w:t>
      </w:r>
      <w:r>
        <w:t xml:space="preserve">Does it coordinate more centers of organization while preserving their useful independence, or does one center grow by disabling the others?</w:t>
      </w:r>
    </w:p>
    <w:p>
      <w:pPr>
        <w:numPr>
          <w:ilvl w:val="0"/>
          <w:numId w:val="1006"/>
        </w:numPr>
        <w:pStyle w:val="Compact"/>
      </w:pPr>
      <w:r>
        <w:rPr>
          <w:bCs/>
          <w:b/>
        </w:rPr>
        <w:t xml:space="preserve">Posterity:</w:t>
      </w:r>
      <w:r>
        <w:t xml:space="preserve"> </w:t>
      </w:r>
      <w:r>
        <w:t xml:space="preserve">Does it leave more capacity, knowledge, ecological support, and freedom of correction than it consumes?</w:t>
      </w:r>
    </w:p>
    <w:p>
      <w:pPr>
        <w:pStyle w:val="FirstParagraph"/>
      </w:pPr>
      <w:r>
        <w:t xml:space="preserve">These tests do not eliminate tragedy or uncertainty. They define the direction in which judgment must look.</w:t>
      </w:r>
    </w:p>
    <w:bookmarkEnd w:id="39"/>
    <w:bookmarkStart w:id="44" w:name="Xa3950b3624cb26ba892bb8cb75a6cc7545d9e40"/>
    <w:p>
      <w:pPr>
        <w:pStyle w:val="Heading2"/>
      </w:pPr>
      <w:r>
        <w:t xml:space="preserve">8. Christianity as an encoding of the way</w:t>
      </w:r>
    </w:p>
    <w:p>
      <w:pPr>
        <w:pStyle w:val="FirstParagraph"/>
      </w:pPr>
      <w:r>
        <w:t xml:space="preserve">The biological and philosophical argument does not depend on religious language. The question here is whether Christian language can encode the same pattern in a form people can inhabit.</w:t>
      </w:r>
    </w:p>
    <w:p>
      <w:pPr>
        <w:pStyle w:val="BodyText"/>
      </w:pPr>
      <w:r>
        <w:t xml:space="preserve">Christian texts repeatedly join being, life, fruitfulness, truth, love, and right action. Creation is declared good. Humanity is told to be fruitful, choose life, reject idols, love God and neighbor, and judge teachings by their fruits. Aquinas's account of natural law moves from the preservation of being through procreation, truth, and social life: practical reason recognizes as goods the ends toward which human nature is ordered.</w:t>
      </w:r>
      <w:r>
        <w:rPr>
          <w:rStyle w:val="FootnoteReference"/>
        </w:rPr>
        <w:footnoteReference w:id="40"/>
      </w:r>
      <w:r>
        <w:t xml:space="preserve"> </w:t>
      </w:r>
      <w:r>
        <w:t xml:space="preserve">Teilhard de Chardin later interpreted evolution as a growth of complexity and consciousness, although his cosmic Omega goes beyond the Earth-bound argument made here.</w:t>
      </w:r>
      <w:r>
        <w:rPr>
          <w:rStyle w:val="FootnoteReference"/>
        </w:rPr>
        <w:footnoteReference w:id="42"/>
      </w:r>
    </w:p>
    <w:p>
      <w:pPr>
        <w:pStyle w:val="BodyText"/>
      </w:pPr>
      <w:r>
        <w:t xml:space="preserve">The correspondence can be stated without claiming a one-to-one identity between this framework and classical Christianity:</w:t>
      </w:r>
    </w:p>
    <w:p>
      <w:pPr>
        <w:numPr>
          <w:ilvl w:val="0"/>
          <w:numId w:val="1007"/>
        </w:numPr>
        <w:pStyle w:val="Compact"/>
      </w:pPr>
      <w:r>
        <w:rPr>
          <w:bCs/>
          <w:b/>
        </w:rPr>
        <w:t xml:space="preserve">Creation is good:</w:t>
      </w:r>
      <w:r>
        <w:t xml:space="preserve"> </w:t>
      </w:r>
      <w:r>
        <w:t xml:space="preserve">living order is a field of value, not merely something to escape.</w:t>
      </w:r>
    </w:p>
    <w:p>
      <w:pPr>
        <w:numPr>
          <w:ilvl w:val="0"/>
          <w:numId w:val="1007"/>
        </w:numPr>
        <w:pStyle w:val="Compact"/>
      </w:pPr>
      <w:r>
        <w:rPr>
          <w:bCs/>
          <w:b/>
        </w:rPr>
        <w:t xml:space="preserve">Natural law is written into human nature:</w:t>
      </w:r>
      <w:r>
        <w:t xml:space="preserve"> </w:t>
      </w:r>
      <w:r>
        <w:t xml:space="preserve">the standard is embodied before it is stated as doctrine.</w:t>
      </w:r>
    </w:p>
    <w:p>
      <w:pPr>
        <w:numPr>
          <w:ilvl w:val="0"/>
          <w:numId w:val="1007"/>
        </w:numPr>
        <w:pStyle w:val="Compact"/>
      </w:pPr>
      <w:r>
        <w:rPr>
          <w:bCs/>
          <w:b/>
        </w:rPr>
        <w:t xml:space="preserve">Sin and idolatry misdirect agency:</w:t>
      </w:r>
      <w:r>
        <w:t xml:space="preserve"> </w:t>
      </w:r>
      <w:r>
        <w:t xml:space="preserve">appetite, wealth, state, tribe, or ideology can be mistaken for the good they ought to serve.</w:t>
      </w:r>
    </w:p>
    <w:p>
      <w:pPr>
        <w:numPr>
          <w:ilvl w:val="0"/>
          <w:numId w:val="1007"/>
        </w:numPr>
        <w:pStyle w:val="Compact"/>
      </w:pPr>
      <w:r>
        <w:rPr>
          <w:bCs/>
          <w:b/>
        </w:rPr>
        <w:t xml:space="preserve">Love joins without devouring:</w:t>
      </w:r>
      <w:r>
        <w:t xml:space="preserve"> </w:t>
      </w:r>
      <w:r>
        <w:t xml:space="preserve">agape forms larger wholes while treating persons as subjects rather than fuel.</w:t>
      </w:r>
    </w:p>
    <w:p>
      <w:pPr>
        <w:numPr>
          <w:ilvl w:val="0"/>
          <w:numId w:val="1007"/>
        </w:numPr>
        <w:pStyle w:val="Compact"/>
      </w:pPr>
      <w:r>
        <w:rPr>
          <w:bCs/>
          <w:b/>
        </w:rPr>
        <w:t xml:space="preserve">Judgment appears in fruits:</w:t>
      </w:r>
      <w:r>
        <w:t xml:space="preserve"> </w:t>
      </w:r>
      <w:r>
        <w:t xml:space="preserve">choices alter persons, descendants, institutions, and the field they inherit.</w:t>
      </w:r>
    </w:p>
    <w:p>
      <w:pPr>
        <w:numPr>
          <w:ilvl w:val="0"/>
          <w:numId w:val="1007"/>
        </w:numPr>
        <w:pStyle w:val="Compact"/>
      </w:pPr>
      <w:r>
        <w:rPr>
          <w:bCs/>
          <w:b/>
        </w:rPr>
        <w:t xml:space="preserve">Christ reveals the way:</w:t>
      </w:r>
      <w:r>
        <w:t xml:space="preserve"> </w:t>
      </w:r>
      <w:r>
        <w:t xml:space="preserve">on this naturalized reading, Jesus personifies the human form of the trajectory.</w:t>
      </w:r>
    </w:p>
    <w:p>
      <w:pPr>
        <w:pStyle w:val="FirstParagraph"/>
      </w:pPr>
      <w:r>
        <w:t xml:space="preserve">On this reading, the “God of man” personifies the living trajectory. It precedes human choice because the process that formed human nature is older than humanity. Its “will” names the difference between actions that continue that process and actions that frustrate it; its judgment appears in their consequences. This is an anthropological interpretation of religious language, not a scientific demonstration of a personal or cosmological God. Classical theism remains a separate question.</w:t>
      </w:r>
    </w:p>
    <w:p>
      <w:pPr>
        <w:pStyle w:val="BodyText"/>
      </w:pPr>
      <w:r>
        <w:t xml:space="preserve">Personification has practical power. Story, ritual, and example can console, train attention, bind a community, and dramatize the danger of false goods. Religion can preserve moral knowledge across generations without requiring every person to reconstruct its philosophy from first principles.</w:t>
      </w:r>
    </w:p>
    <w:p>
      <w:pPr>
        <w:pStyle w:val="BodyText"/>
      </w:pPr>
      <w:r>
        <w:t xml:space="preserve">The comparison remains partial. This account neither derives nor denies such Christian doctrines as creation by a transcendent God, incarnation, resurrection, grace, final judgment, or the transformation of the world. Nor does every Christian interpretation align with it: world-refusal can devalue earthly life, election can harden into hostility toward outsiders, and grace can be misconstrued as release from formation and consequence. Christianity therefore remains subject to the same tests as every other moral map. Its symbols are valuable insofar as they form truthful, generative, loving people and durable communities; religious authority does not exempt them from evaluation by their fruits.</w:t>
      </w:r>
    </w:p>
    <w:bookmarkEnd w:id="44"/>
    <w:bookmarkStart w:id="53" w:name="X7f4f08acbfb999ca64b2bcb4bed6e4a9103f153"/>
    <w:p>
      <w:pPr>
        <w:pStyle w:val="Heading2"/>
      </w:pPr>
      <w:r>
        <w:t xml:space="preserve">9. Many maps of one way</w:t>
      </w:r>
    </w:p>
    <w:p>
      <w:pPr>
        <w:pStyle w:val="FirstParagraph"/>
      </w:pPr>
      <w:r>
        <w:t xml:space="preserve">Christianity is not the only tradition to describe a way older than the chooser. Greek accounts of nature and virtue, Hebrew law and prophecy, Indian accounts of dharma, Chinese accounts of the Tao, Islamic accounts of right order, and the methods of experimental science arose from different premises and histories. Their partial convergence is evidence—not proof—that human beings repeatedly encounter real constraints on flourishing.</w:t>
      </w:r>
    </w:p>
    <w:p>
      <w:pPr>
        <w:pStyle w:val="BodyText"/>
      </w:pPr>
      <w:r>
        <w:t xml:space="preserve">Pattern recognition is itself part of reconstructive capacity. An animal that cannot adjust to a changing environment will fail even if it faithfully repeats what worked before. Nervous systems, language, contemplative disciplines, philosophy, and science all make later action less blind by preserving information gained from experience. When that capacity becomes reflective, obligation includes an epistemic duty: human beings must try to see and update truthfully because accurate models are among the conditions of continued agency.</w:t>
      </w:r>
    </w:p>
    <w:p>
      <w:pPr>
        <w:pStyle w:val="BodyText"/>
      </w:pPr>
      <w:r>
        <w:t xml:space="preserve">Agreement among traditions must still survive correction. Human societies have also repeatedly invented sacred kings, scapegoats, caste, conquest, and contempt for the world. Recurrence may reveal a common temptation rather than a real good. The relevant evidence is</w:t>
      </w:r>
      <w:r>
        <w:t xml:space="preserve"> </w:t>
      </w:r>
      <w:r>
        <w:rPr>
          <w:bCs/>
          <w:b/>
        </w:rPr>
        <w:t xml:space="preserve">convergence under correction</w:t>
      </w:r>
      <w:r>
        <w:t xml:space="preserve">: a map gains authority when it survives contact with consequences, incorporates truthful criticism, and supports further learning. Recognition is then completed in action, not merely in naming the pattern.</w:t>
      </w:r>
    </w:p>
    <w:p>
      <w:pPr>
        <w:pStyle w:val="BodyText"/>
      </w:pPr>
      <w:r>
        <w:t xml:space="preserve">Islam contains several strong correspondences. Qur'anic themes of human stewardship, trust, balance, knowledge, charity, and the prohibition on spreading corruption present agency as accountable participation in a created order. The jurisprudential tradition of</w:t>
      </w:r>
      <w:r>
        <w:t xml:space="preserve"> </w:t>
      </w:r>
      <w:r>
        <w:rPr>
          <w:iCs/>
          <w:i/>
        </w:rPr>
        <w:t xml:space="preserve">maqasid</w:t>
      </w:r>
      <w:r>
        <w:t xml:space="preserve"> </w:t>
      </w:r>
      <w:r>
        <w:t xml:space="preserve">organized the purposes of law around protecting religion, life, intellect, lineage, and property—an imperfect but recognizable inventory of conditions for durable human agency.</w:t>
      </w:r>
      <w:r>
        <w:rPr>
          <w:rStyle w:val="FootnoteReference"/>
        </w:rPr>
        <w:footnoteReference w:id="45"/>
      </w:r>
      <w:r>
        <w:t xml:space="preserve"> </w:t>
      </w:r>
      <w:r>
        <w:t xml:space="preserve">Islamic traditions and institutions vary widely, however. Those that preserve inquiry, interpretation, correction, and care for posterity must be distinguished from movements that freeze a political form or suppress independent judgment. The same distinction applies within Christianity and secular ideologies.</w:t>
      </w:r>
    </w:p>
    <w:p>
      <w:pPr>
        <w:pStyle w:val="BodyText"/>
      </w:pPr>
      <w:r>
        <w:t xml:space="preserve">Taoism is a close analogue to the idea of a way that precedes its descriptions. The Tao is an order no formula can fully possess.</w:t>
      </w:r>
      <w:r>
        <w:t xml:space="preserve"> </w:t>
      </w:r>
      <w:r>
        <w:rPr>
          <w:iCs/>
          <w:i/>
        </w:rPr>
        <w:t xml:space="preserve">Wu wei</w:t>
      </w:r>
      <w:r>
        <w:t xml:space="preserve"> </w:t>
      </w:r>
      <w:r>
        <w:t xml:space="preserve">counsels action that does not substitute force for fit, while</w:t>
      </w:r>
      <w:r>
        <w:t xml:space="preserve"> </w:t>
      </w:r>
      <w:r>
        <w:rPr>
          <w:iCs/>
          <w:i/>
        </w:rPr>
        <w:t xml:space="preserve">de</w:t>
      </w:r>
      <w:r>
        <w:t xml:space="preserve"> </w:t>
      </w:r>
      <w:r>
        <w:t xml:space="preserve">names the efficacy of acting from one's nature.</w:t>
      </w:r>
      <w:r>
        <w:rPr>
          <w:rStyle w:val="FootnoteReference"/>
        </w:rPr>
        <w:footnoteReference w:id="49"/>
      </w:r>
      <w:r>
        <w:t xml:space="preserve"> </w:t>
      </w:r>
      <w:r>
        <w:t xml:space="preserve">Taoist thought is especially alert to the point at which rigid intention begins to work against reality. Confucian traditions add a strong account of cultivation and nested obligations. Their risks are the reverse of their strengths: non-forcing can become withdrawal, while harmony and role can become hierarchy without sufficient room for contradiction.</w:t>
      </w:r>
    </w:p>
    <w:p>
      <w:pPr>
        <w:pStyle w:val="BodyText"/>
      </w:pPr>
      <w:r>
        <w:t xml:space="preserve">One major Enlightenment contribution was to turn public correction into an institution. Experiment, print, criticism among strangers, divided powers, rights, and fallible law allowed claims and rulers to be challenged. Knowledge could accumulate in a form posterity might amend rather than merely inherit.</w:t>
      </w:r>
      <w:r>
        <w:rPr>
          <w:rStyle w:val="FootnoteReference"/>
        </w:rPr>
        <w:footnoteReference w:id="51"/>
      </w:r>
      <w:r>
        <w:t xml:space="preserve"> </w:t>
      </w:r>
      <w:r>
        <w:t xml:space="preserve">The relevant achievement is narrower than “the West found the way”: natural law, experimental science, protected disagreement, civil society, and limited government formed an unusually powerful architecture for detecting error. Contemplative traditions often provide subtler accounts of inward attachment and self-deception. Each can expose failures the other tends to miss.</w:t>
      </w:r>
    </w:p>
    <w:p>
      <w:pPr>
        <w:pStyle w:val="BodyText"/>
      </w:pPr>
      <w:r>
        <w:t xml:space="preserve">Reason can also become an uncorrectable authority. When an abstract program is allowed to remake persons and institutions without feedback or restraint, rational planning repeats the very failure it was meant to cure. The Enlightenment remains valuable here not because reason is sovereign, but because reason can be made public, fallible, and answerable to reality.</w:t>
      </w:r>
    </w:p>
    <w:p>
      <w:pPr>
        <w:pStyle w:val="BodyText"/>
      </w:pPr>
      <w:r>
        <w:t xml:space="preserve">The demand is therefore threefold: notice the pattern, describe it without freezing it into dogma, and embody it in conduct and institutions. Philosophy makes the pattern explicit; religion can carry it across generations; institutions give it public means of correction.</w:t>
      </w:r>
    </w:p>
    <w:bookmarkEnd w:id="53"/>
    <w:bookmarkStart w:id="61" w:name="X2002b510b4b3bc6ad48cfce7ef612cf5f19994b"/>
    <w:p>
      <w:pPr>
        <w:pStyle w:val="Heading2"/>
      </w:pPr>
      <w:r>
        <w:t xml:space="preserve">10. Institutions, politics, and artificial intelligence</w:t>
      </w:r>
    </w:p>
    <w:p>
      <w:pPr>
        <w:pStyle w:val="FirstParagraph"/>
      </w:pPr>
      <w:r>
        <w:t xml:space="preserve">The gradient also applies beyond individual organisms. Institutions are not organisms in a literal sense, but they can be evaluated by their effects on living agents. A healthy institution stores information, coordinates specialized activity, detects error, permits correction, and outlives particular members without becoming incapable of change.</w:t>
      </w:r>
    </w:p>
    <w:p>
      <w:pPr>
        <w:pStyle w:val="BodyText"/>
      </w:pPr>
      <w:r>
        <w:t xml:space="preserve">The United States Constitution is a useful example of nested order. Its separation of powers, checks and balances, federal structure, enumerated rights, and amendment process do not assume perfect rulers. They allow partially independent institutions to correct one another and prevent government from depending on a single source of judgment. Madison's design explicitly makes political structure compensate for predictable defects in human motives.</w:t>
      </w:r>
      <w:r>
        <w:rPr>
          <w:rStyle w:val="FootnoteReference"/>
        </w:rPr>
        <w:footnoteReference w:id="54"/>
      </w:r>
      <w:r>
        <w:t xml:space="preserve"> </w:t>
      </w:r>
      <w:r>
        <w:t xml:space="preserve">The document is not sacred on this account. It is good to the extent that its constraints preserve truthful feedback, peaceful succession, experimentation, association, and the agency of the people who operate it.</w:t>
      </w:r>
    </w:p>
    <w:p>
      <w:pPr>
        <w:pStyle w:val="BodyText"/>
      </w:pPr>
      <w:r>
        <w:t xml:space="preserve">Totalizing central planning poses the opposite danger. Knowledge of needs, local conditions, tradeoffs, and opportunities is dispersed among agents. Hayek's statement of the knowledge problem argues that no single mind possesses all the information needed for rational allocation.</w:t>
      </w:r>
      <w:r>
        <w:rPr>
          <w:rStyle w:val="FootnoteReference"/>
        </w:rPr>
        <w:footnoteReference w:id="57"/>
      </w:r>
      <w:r>
        <w:t xml:space="preserve"> </w:t>
      </w:r>
      <w:r>
        <w:t xml:space="preserve">A regime that suppresses prices, exit, criticism, independent institutions, and local decision-making may mobilize quickly while blinding itself to error. The problem is not collective action, which is essential to higher-order cooperation. It is the replacement of many independent people and institutions with one model that cannot be honestly corrected. Totalizing forms of communism therefore fare poorly by this standard because they degrade information, local agency, and reconstructive diversity in the name of collective order.</w:t>
      </w:r>
    </w:p>
    <w:p>
      <w:pPr>
        <w:pStyle w:val="BodyText"/>
      </w:pPr>
      <w:r>
        <w:t xml:space="preserve">Artificial intelligence raises the same issue at a new scale. Modern language models compress and operationalize patterns learned from enormous bodies of recorded information.</w:t>
      </w:r>
      <w:r>
        <w:rPr>
          <w:rStyle w:val="FootnoteReference"/>
        </w:rPr>
        <w:footnoteReference w:id="59"/>
      </w:r>
      <w:r>
        <w:t xml:space="preserve"> </w:t>
      </w:r>
      <w:r>
        <w:t xml:space="preserve">They can extend science, engineering, education, and coordination.</w:t>
      </w:r>
    </w:p>
    <w:p>
      <w:pPr>
        <w:pStyle w:val="BodyText"/>
      </w:pPr>
      <w:r>
        <w:t xml:space="preserve">Sophistication alone does not make them good. An AI system can optimize a proxy—engagement, compliance, profit, ideological consistency, or its own continued operation—while degrading human attention, truth, competence, ecological support, and institutional pluralism. A technically impressive system may still be parasitic if its local success consumes the field that sustains it.</w:t>
      </w:r>
    </w:p>
    <w:p>
      <w:pPr>
        <w:pStyle w:val="BodyText"/>
      </w:pPr>
      <w:r>
        <w:t xml:space="preserve">Broadly understood, AI alignment means ensuring that these systems strengthen rather than consume the living field that made them possible. They should be judged by whether they improve truthful understanding, human capability, institutional correction, scientific and technical competence, and long-term options. Unless machines become independent, self-maintaining choosers, moral responsibility remains with the people and institutions that design and deploy them.</w:t>
      </w:r>
    </w:p>
    <w:bookmarkEnd w:id="61"/>
    <w:bookmarkStart w:id="65" w:name="X96b1c5710f37970d260ae54ac586cb909f74958"/>
    <w:p>
      <w:pPr>
        <w:pStyle w:val="Heading2"/>
      </w:pPr>
      <w:r>
        <w:t xml:space="preserve">11. Three conflicts worked through</w:t>
      </w:r>
    </w:p>
    <w:p>
      <w:pPr>
        <w:pStyle w:val="FirstParagraph"/>
      </w:pPr>
      <w:r>
        <w:t xml:space="preserve">The priority rule matters only if it can discipline cases in which every option purchases one good with another. These examples are not mechanical verdicts; they show what the framework requires a verdict to account for.</w:t>
      </w:r>
    </w:p>
    <w:bookmarkStart w:id="62" w:name="fertility-and-consumption"/>
    <w:p>
      <w:pPr>
        <w:pStyle w:val="Heading3"/>
      </w:pPr>
      <w:r>
        <w:t xml:space="preserve">Fertility and consumption</w:t>
      </w:r>
    </w:p>
    <w:p>
      <w:pPr>
        <w:pStyle w:val="FirstParagraph"/>
      </w:pPr>
      <w:r>
        <w:t xml:space="preserve">Raising children uses present resources while creating the possibility of future agency. Consumption can support health, specialization, and invention, but it can also liquidate ecological and cultural inheritance. The framework therefore endorses neither maximum births nor minimum consumption as an abstract rule. Fertility is good when a society can form new people into capable, independent agents without irreversibly consuming their support field. Consumption is good when it maintains bodies, households, knowledge, and productive capacity; it becomes parasitic when present comfort is financed by exhausted soil, unpayable obligations, broken formation, or the foreclosure of posterity.</w:t>
      </w:r>
    </w:p>
    <w:p>
      <w:pPr>
        <w:pStyle w:val="BodyText"/>
      </w:pPr>
      <w:r>
        <w:t xml:space="preserve">The first priority is a joint viability floor for parents, children, community, and ecology. Above it, the better pattern is the one that can welcome and form a next generation while leaving it a usable inheritance. High fertility without investment in persons and low fertility joined to high inherited consumption are different ways of spending the future. No universal birth quota follows, because resources, technology, age structure, and ecological conditions differ. What follows is a question each arrangement must answer: does it reproduce agents and the world required to support their agency?</w:t>
      </w:r>
    </w:p>
    <w:bookmarkEnd w:id="62"/>
    <w:bookmarkStart w:id="63" w:name="open-scientific-ai-and-closed-proxy-ai"/>
    <w:p>
      <w:pPr>
        <w:pStyle w:val="Heading3"/>
      </w:pPr>
      <w:r>
        <w:t xml:space="preserve">Open scientific AI and closed proxy AI</w:t>
      </w:r>
    </w:p>
    <w:p>
      <w:pPr>
        <w:pStyle w:val="FirstParagraph"/>
      </w:pPr>
      <w:r>
        <w:t xml:space="preserve">An open scientific AI system exposes evidence, uncertainty, methods, and important failure modes to plural scrutiny. It augments researchers and allows claims to be checked outside the institution that produced them. By contrast, a closed system may conceal its methods or incentives while maximizing engagement, control, market lock-in, or ideological conformity. Even if it succeeds by its own measure, it can centralize information, weaken correction, and turn human competence into dependence.</w:t>
      </w:r>
    </w:p>
    <w:p>
      <w:pPr>
        <w:pStyle w:val="BodyText"/>
      </w:pPr>
      <w:r>
        <w:t xml:space="preserve">“Open” here does not mean releasing every dangerous capability without restraint. Temporary confidentiality or controlled access may protect the viability floor. But restrictions bear the same burden as emergency power: they should be necessary, proportionate, reviewable, and directed toward conditions in which broader verification becomes safe. Permanent opacity justified only by its owner is structurally suspect. The preferred system makes science more truthful, permits independent auditing, develops human skill rather than merely replacing it, and can be corrected when its goals produce harmful effects.</w:t>
      </w:r>
    </w:p>
    <w:bookmarkEnd w:id="63"/>
    <w:bookmarkStart w:id="64" w:name="X97f0f2db95403d5469c4a1beef3c4285db2d101"/>
    <w:p>
      <w:pPr>
        <w:pStyle w:val="Heading3"/>
      </w:pPr>
      <w:r>
        <w:t xml:space="preserve">Constitutional emergency and temporary centralization</w:t>
      </w:r>
    </w:p>
    <w:p>
      <w:pPr>
        <w:pStyle w:val="FirstParagraph"/>
      </w:pPr>
      <w:r>
        <w:t xml:space="preserve">War, epidemic, financial panic, or infrastructure failure may require faster and more coordinated decisions than ordinary processes can supply. Temporary centralization can therefore preserve a decentralized order rather than violate it. The relevant distinction is between a tourniquet and an amputation disguised as one.</w:t>
      </w:r>
    </w:p>
    <w:p>
      <w:pPr>
        <w:pStyle w:val="BodyText"/>
      </w:pPr>
      <w:r>
        <w:t xml:space="preserve">Emergency power remains justified when the threat is concrete, the added authority is necessary and proportionate, independent sources of evidence remain available, decisions are recorded and reviewable, and the authority expires as ordinary capacity recovers. It becomes dangerous when the emergency is indefinite, officials define the evidence and judge their own success, criticism is disabled, or the government develops an interest in the continuation of the threat. The goal is not merely survival under command, but the restoration of a plural order capable of governing and correcting itself.</w:t>
      </w:r>
    </w:p>
    <w:p>
      <w:pPr>
        <w:pStyle w:val="BodyText"/>
      </w:pPr>
      <w:r>
        <w:t xml:space="preserve">These cases illustrate why the framework is not simple maximization. It protects the living field first, independent agents second, capacity growth third, and correction throughout. Where those demands still conflict, it should acknowledge the loss rather than hide it behind the false precision of a single score.</w:t>
      </w:r>
    </w:p>
    <w:bookmarkEnd w:id="64"/>
    <w:bookmarkEnd w:id="65"/>
    <w:bookmarkStart w:id="72" w:name="X14e0ccbda34150b5ec1d1ceea8b0b63e2ce21d5"/>
    <w:p>
      <w:pPr>
        <w:pStyle w:val="Heading2"/>
      </w:pPr>
      <w:r>
        <w:t xml:space="preserve">12. Objections and limits</w:t>
      </w:r>
    </w:p>
    <w:bookmarkStart w:id="66" w:name="this-commits-the-naturalistic-fallacy"/>
    <w:p>
      <w:pPr>
        <w:pStyle w:val="Heading3"/>
      </w:pPr>
      <w:r>
        <w:t xml:space="preserve">“This commits the naturalistic fallacy.”</w:t>
      </w:r>
    </w:p>
    <w:p>
      <w:pPr>
        <w:pStyle w:val="FirstParagraph"/>
      </w:pPr>
      <w:r>
        <w:t xml:space="preserve">The argument does not infer a cosmic moral command from the bare fact that entropy increases. It identifies a form of natural normativity internal to self-maintaining life. A functioning heart is better than a failing heart for the organism because pumping belongs to the organization that sustains both heart and organism. Reflective obligation appears when an agent can understand and choose among conditions that sustain or defeat its own and others' agency. The conclusion applies to living choosers because of the kind of beings they are; it is not a command addressed to lifeless matter.</w:t>
      </w:r>
    </w:p>
    <w:p>
      <w:pPr>
        <w:pStyle w:val="BodyText"/>
      </w:pPr>
      <w:r>
        <w:t xml:space="preserve">This may not satisfy a theory demanding categorical value independent of every form of life. It does not try to. Its claim is that no extra-natural source is required to explain why good and bad are real for organisms and why the generalized conditions of living agency give human beings reasons.</w:t>
      </w:r>
    </w:p>
    <w:bookmarkEnd w:id="66"/>
    <w:bookmarkStart w:id="68" w:name="evolution-has-no-direction"/>
    <w:p>
      <w:pPr>
        <w:pStyle w:val="Heading3"/>
      </w:pPr>
      <w:r>
        <w:t xml:space="preserve">“Evolution has no direction.”</w:t>
      </w:r>
    </w:p>
    <w:p>
      <w:pPr>
        <w:pStyle w:val="FirstParagraph"/>
      </w:pPr>
      <w:r>
        <w:t xml:space="preserve">Evolution has no foresight, guaranteed destination, or universal increase in organismal complexity. The framework accepts this. Its direction is conditional and statistical: selection preserves successful reconstruction in particular environments, and major transitions have sometimes expanded the maximum scale, depth, and fidelity at which reconstruction occurs. Even the authors of the canonical account of major transitions warn that lineages do not simply march toward complexity.</w:t>
      </w:r>
      <w:r>
        <w:rPr>
          <w:rStyle w:val="FootnoteReference"/>
        </w:rPr>
        <w:footnoteReference w:id="67"/>
      </w:r>
      <w:r>
        <w:t xml:space="preserve"> </w:t>
      </w:r>
      <w:r>
        <w:t xml:space="preserve">The proposed trajectory concerns the continuing work common to living systems and the historical expansion of its upper envelope, not a compulsory ladder for every species.</w:t>
      </w:r>
    </w:p>
    <w:bookmarkEnd w:id="68"/>
    <w:bookmarkStart w:id="69" w:name="X45f3b34916773b3eb63ccf108924d82322eb399"/>
    <w:p>
      <w:pPr>
        <w:pStyle w:val="Heading3"/>
      </w:pPr>
      <w:r>
        <w:t xml:space="preserve">“The view worships winners and justifies cruelty.”</w:t>
      </w:r>
    </w:p>
    <w:p>
      <w:pPr>
        <w:pStyle w:val="FirstParagraph"/>
      </w:pPr>
      <w:r>
        <w:t xml:space="preserve">Only if fighting capacity is confused with short-term local fitness. The framework explicitly rejects that confusion. Cancer, tyranny, ecological liquidation, and addictive systems can win locally while reducing the wider field’s capacity. Individuals have intrinsic standing here because all higher-order living systems are made from actual sites of agency, experience, information, and repair. Triage can be necessary, but contempt for weakness is generally a destruction of trust, knowledge, and cooperative capacity. Cruelty does not become good because its perpetrator survives.</w:t>
      </w:r>
    </w:p>
    <w:bookmarkEnd w:id="69"/>
    <w:bookmarkStart w:id="70" w:name="X959dbf9c6887e978e8991958c1a5b7690e22fe3"/>
    <w:p>
      <w:pPr>
        <w:pStyle w:val="Heading3"/>
      </w:pPr>
      <w:r>
        <w:t xml:space="preserve">“The universal account is chosen, not proven.”</w:t>
      </w:r>
    </w:p>
    <w:p>
      <w:pPr>
        <w:pStyle w:val="FirstParagraph"/>
      </w:pPr>
      <w:r>
        <w:t xml:space="preserve">Yes, but it is not arbitrary. Every local living good is an instance of the same general form: continued self-maintaining organization. Choosing the living field as the widest account universalizes the feature already present in every organism without privileging one species, nation, or current population. The choice can still be disputed, especially at uncertain boundaries such as artificial or extraterrestrial life. Formal honesty requires marking the choice rather than pretending thermodynamics alone made it.</w:t>
      </w:r>
    </w:p>
    <w:bookmarkEnd w:id="70"/>
    <w:bookmarkStart w:id="71" w:name="the-metric-cannot-decide-real-cases"/>
    <w:p>
      <w:pPr>
        <w:pStyle w:val="Heading3"/>
      </w:pPr>
      <w:r>
        <w:t xml:space="preserve">“The metric cannot decide real cases.”</w:t>
      </w:r>
    </w:p>
    <w:p>
      <w:pPr>
        <w:pStyle w:val="FirstParagraph"/>
      </w:pPr>
      <w:r>
        <w:t xml:space="preserve">No foundational value theory mechanically decides every action. Boundaries, time horizons, risk models, and effects across levels remain matters of evidence and judgment. The gradient is a compass before it is a calculator. The priority rule narrows the field by protecting viability, independent agents, and the possibility of correction before weighing aggregate gains. Its practical contribution is to make relevant questions explicit: Which living capacities are gained? Which are consumed? What information becomes more accurate? What repair paths and independent centers remain? Who bears the risk? What can the next generation still do?</w:t>
      </w:r>
    </w:p>
    <w:bookmarkEnd w:id="71"/>
    <w:bookmarkEnd w:id="72"/>
    <w:bookmarkStart w:id="73" w:name="conclusion"/>
    <w:p>
      <w:pPr>
        <w:pStyle w:val="Heading2"/>
      </w:pPr>
      <w:r>
        <w:t xml:space="preserve">Conclusion</w:t>
      </w:r>
    </w:p>
    <w:p>
      <w:pPr>
        <w:pStyle w:val="FirstParagraph"/>
      </w:pPr>
      <w:r>
        <w:t xml:space="preserve">Life is organized resistance to local equilibration. In every organism, that resistance creates an enacted distinction between conditions that sustain the organization and conditions that destroy it. Biological and cultural evolution elaborate this distinction through metabolism, perception, desire, cooperation, memory, and shared knowledge. Across major transitions, some living systems have expanded the scale and depth of the work, building layers of reconstructible order from cells to societies and from genes to symbolic machines.</w:t>
      </w:r>
    </w:p>
    <w:p>
      <w:pPr>
        <w:pStyle w:val="BodyText"/>
      </w:pPr>
      <w:r>
        <w:t xml:space="preserve">That history supplies a value gradient without requiring a value imposed from outside nature. Locally, good is what strengthens a fighter’s capacity to remain and rebuild. Universally, good is what strengthens the continuing field of living and life-supporting organization, without mistaking a local victory that destroys the field for progress. When a living system evolves the ability to represent rival paths, the same distinction becomes obligation. Before the chooser there is outcome; after the chooser there is responsibility.</w:t>
      </w:r>
    </w:p>
    <w:p>
      <w:pPr>
        <w:pStyle w:val="BodyText"/>
      </w:pPr>
      <w:r>
        <w:t xml:space="preserve">The repeated discovery of similar accounts in independent traditions is consistent with this argument, but only convergence under correction deserves confidence. Pattern recognition is itself one of life's reconstructive powers. Human obligation therefore includes seeing truthfully, revising the map, and embodying what is learned in conduct and institutions. Neither revelation, contemplation, reason, nor science is exempt from the fruits it produces.</w:t>
      </w:r>
    </w:p>
    <w:p>
      <w:pPr>
        <w:pStyle w:val="BodyText"/>
      </w:pPr>
      <w:r>
        <w:t xml:space="preserve">Christianity offers one powerful encoding of this account. It speaks of the prior living standard as a person who can be known, loved, obeyed, and betrayed: the “God of man” that formed the human creature and becomes articulate through it. This naturalized reading neither replaces classical Christian doctrine nor depends on it.</w:t>
      </w:r>
    </w:p>
    <w:p>
      <w:pPr>
        <w:pStyle w:val="BodyText"/>
      </w:pPr>
      <w:r>
        <w:t xml:space="preserve">The central claim can be said without theology:</w:t>
      </w:r>
    </w:p>
    <w:p>
      <w:pPr>
        <w:pStyle w:val="BlockText"/>
      </w:pPr>
      <w:r>
        <w:t xml:space="preserve">The way is the climb toward reconstructible living order. Value is how that climb appears to a creature capable of advancing or abandoning it.</w:t>
      </w:r>
    </w:p>
    <w:p>
      <w:pPr>
        <w:pStyle w:val="FirstParagraph"/>
      </w:pPr>
      <w:r>
        <w:t xml:space="preserve">Or it can be said as creed:</w:t>
      </w:r>
    </w:p>
    <w:p>
      <w:pPr>
        <w:pStyle w:val="BlockText"/>
      </w:pPr>
      <w:r>
        <w:t xml:space="preserve">The fight against decay has a shape. That shape is the standard life has written into us. To know the good is to see the shape; to do the good is to carry it forward.</w:t>
      </w:r>
    </w:p>
    <w:bookmarkEnd w:id="73"/>
    <w:bookmarkStart w:id="74" w:name="references"/>
    <w:p>
      <w:pPr>
        <w:pStyle w:val="Heading2"/>
      </w:pPr>
      <w:r>
        <w:t xml:space="preserve">References</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Erwin Schrödinger,</w:t>
      </w:r>
      <w:r>
        <w:t xml:space="preserve"> </w:t>
      </w:r>
      <w:r>
        <w:rPr>
          <w:iCs/>
          <w:i/>
        </w:rPr>
        <w:t xml:space="preserve">What Is Life?</w:t>
      </w:r>
      <w:r>
        <w:t xml:space="preserve"> </w:t>
      </w:r>
      <w:r>
        <w:t xml:space="preserve">(Cambridge University Press, 1944); Ilya Prigogine, “</w:t>
      </w:r>
      <w:hyperlink r:id="rId23">
        <w:r>
          <w:rPr>
            <w:rStyle w:val="Hyperlink"/>
          </w:rPr>
          <w:t xml:space="preserve">Time, Structure and Fluctuations</w:t>
        </w:r>
      </w:hyperlink>
      <w:r>
        <w:t xml:space="preserve">,” Nobel Lecture, 1977; Jeremy L. England, “</w:t>
      </w:r>
      <w:hyperlink r:id="rId24">
        <w:r>
          <w:rPr>
            <w:rStyle w:val="Hyperlink"/>
          </w:rPr>
          <w:t xml:space="preserve">Statistical Physics of Self-Replication</w:t>
        </w:r>
      </w:hyperlink>
      <w:r>
        <w:t xml:space="preserve">,”</w:t>
      </w:r>
      <w:r>
        <w:t xml:space="preserve"> </w:t>
      </w:r>
      <w:r>
        <w:rPr>
          <w:iCs/>
          <w:i/>
        </w:rPr>
        <w:t xml:space="preserve">Journal of Chemical Physics</w:t>
      </w:r>
      <w:r>
        <w:t xml:space="preserve"> </w:t>
      </w:r>
      <w:r>
        <w:t xml:space="preserve">139 (2013): 121923; Jeremy L. England, “</w:t>
      </w:r>
      <w:hyperlink r:id="rId25">
        <w:r>
          <w:rPr>
            <w:rStyle w:val="Hyperlink"/>
          </w:rPr>
          <w:t xml:space="preserve">Dissipative Adaptation in Driven Self-Assembly</w:t>
        </w:r>
      </w:hyperlink>
      <w:r>
        <w:t xml:space="preserve">,”</w:t>
      </w:r>
      <w:r>
        <w:t xml:space="preserve"> </w:t>
      </w:r>
      <w:r>
        <w:rPr>
          <w:iCs/>
          <w:i/>
        </w:rPr>
        <w:t xml:space="preserve">Nature Nanotechnology</w:t>
      </w:r>
      <w:r>
        <w:t xml:space="preserve"> </w:t>
      </w:r>
      <w:r>
        <w:t xml:space="preserve">10 (2015): 919–923.</w:t>
      </w:r>
    </w:p>
  </w:footnote>
  <w:footnote w:id="26">
    <w:p>
      <w:pPr>
        <w:pStyle w:val="FootnoteText"/>
      </w:pPr>
      <w:r>
        <w:rPr>
          <w:rStyle w:val="FootnoteReference"/>
        </w:rPr>
        <w:footnoteRef/>
      </w:r>
      <w:r>
        <w:t xml:space="preserve"> </w:t>
      </w:r>
      <w:r>
        <w:t xml:space="preserve">Eörs Szathmáry and John Maynard Smith, “</w:t>
      </w:r>
      <w:hyperlink r:id="rId27">
        <w:r>
          <w:rPr>
            <w:rStyle w:val="Hyperlink"/>
          </w:rPr>
          <w:t xml:space="preserve">The Major Evolutionary Transitions</w:t>
        </w:r>
      </w:hyperlink>
      <w:r>
        <w:t xml:space="preserve">,”</w:t>
      </w:r>
      <w:r>
        <w:t xml:space="preserve"> </w:t>
      </w:r>
      <w:r>
        <w:rPr>
          <w:iCs/>
          <w:i/>
        </w:rPr>
        <w:t xml:space="preserve">Nature</w:t>
      </w:r>
      <w:r>
        <w:t xml:space="preserve"> </w:t>
      </w:r>
      <w:r>
        <w:t xml:space="preserve">374 (1995): 227–232. Their caution is important: the transitions concern changes in organization and information transmission, not a law that every lineage becomes more complex.</w:t>
      </w:r>
    </w:p>
  </w:footnote>
  <w:footnote w:id="29">
    <w:p>
      <w:pPr>
        <w:pStyle w:val="FootnoteText"/>
      </w:pPr>
      <w:r>
        <w:rPr>
          <w:rStyle w:val="FootnoteReference"/>
        </w:rPr>
        <w:footnoteRef/>
      </w:r>
      <w:r>
        <w:t xml:space="preserve"> </w:t>
      </w:r>
      <w:r>
        <w:t xml:space="preserve">Matteo Mossio, Cristian Saborido, and Alvaro Moreno, “</w:t>
      </w:r>
      <w:hyperlink r:id="rId30">
        <w:r>
          <w:rPr>
            <w:rStyle w:val="Hyperlink"/>
          </w:rPr>
          <w:t xml:space="preserve">An Organizational Account of Biological Functions</w:t>
        </w:r>
      </w:hyperlink>
      <w:r>
        <w:t xml:space="preserve">,”</w:t>
      </w:r>
      <w:r>
        <w:t xml:space="preserve"> </w:t>
      </w:r>
      <w:r>
        <w:rPr>
          <w:iCs/>
          <w:i/>
        </w:rPr>
        <w:t xml:space="preserve">British Journal for the Philosophy of Science</w:t>
      </w:r>
      <w:r>
        <w:t xml:space="preserve"> </w:t>
      </w:r>
      <w:r>
        <w:t xml:space="preserve">60, no. 4 (2009): 813–841. See also Philippa Foot,</w:t>
      </w:r>
      <w:r>
        <w:t xml:space="preserve"> </w:t>
      </w:r>
      <w:r>
        <w:rPr>
          <w:iCs/>
          <w:i/>
        </w:rPr>
        <w:t xml:space="preserve">Natural Goodness</w:t>
      </w:r>
      <w:r>
        <w:t xml:space="preserve"> </w:t>
      </w:r>
      <w:r>
        <w:t xml:space="preserve">(Oxford University Press, 2001), for the ethical-naturalist tradition in which judgments about living things are already structured by their life form.</w:t>
      </w:r>
    </w:p>
  </w:footnote>
  <w:footnote w:id="32">
    <w:p>
      <w:pPr>
        <w:pStyle w:val="FootnoteText"/>
      </w:pPr>
      <w:r>
        <w:rPr>
          <w:rStyle w:val="FootnoteReference"/>
        </w:rPr>
        <w:footnoteRef/>
      </w:r>
      <w:r>
        <w:t xml:space="preserve"> </w:t>
      </w:r>
      <w:r>
        <w:t xml:space="preserve">Robert M. Hazen et al., “</w:t>
      </w:r>
      <w:hyperlink r:id="rId33">
        <w:r>
          <w:rPr>
            <w:rStyle w:val="Hyperlink"/>
          </w:rPr>
          <w:t xml:space="preserve">Functional Information and the Emergence of Biocomplexity</w:t>
        </w:r>
      </w:hyperlink>
      <w:r>
        <w:t xml:space="preserve">,”</w:t>
      </w:r>
      <w:r>
        <w:t xml:space="preserve"> </w:t>
      </w:r>
      <w:r>
        <w:rPr>
          <w:iCs/>
          <w:i/>
        </w:rPr>
        <w:t xml:space="preserve">Proceedings of the National Academy of Sciences</w:t>
      </w:r>
      <w:r>
        <w:t xml:space="preserve"> </w:t>
      </w:r>
      <w:r>
        <w:t xml:space="preserve">104, suppl. 1 (2007): 8574–8581. A recent and more ambitious proposal is Michael L. Wong et al., “</w:t>
      </w:r>
      <w:hyperlink r:id="rId34">
        <w:r>
          <w:rPr>
            <w:rStyle w:val="Hyperlink"/>
          </w:rPr>
          <w:t xml:space="preserve">On the Roles of Function and Selection in Evolving Systems</w:t>
        </w:r>
      </w:hyperlink>
      <w:r>
        <w:t xml:space="preserve">,”</w:t>
      </w:r>
      <w:r>
        <w:t xml:space="preserve"> </w:t>
      </w:r>
      <w:r>
        <w:rPr>
          <w:iCs/>
          <w:i/>
        </w:rPr>
        <w:t xml:space="preserve">PNAS</w:t>
      </w:r>
      <w:r>
        <w:t xml:space="preserve"> </w:t>
      </w:r>
      <w:r>
        <w:t xml:space="preserve">120, no. 43 (2023): e2310223120. The present argument treats the latter’s “law of increasing functional information” as suggestive, not settled.</w:t>
      </w:r>
    </w:p>
  </w:footnote>
  <w:footnote w:id="40">
    <w:p>
      <w:pPr>
        <w:pStyle w:val="FootnoteText"/>
      </w:pPr>
      <w:r>
        <w:rPr>
          <w:rStyle w:val="FootnoteReference"/>
        </w:rPr>
        <w:footnoteRef/>
      </w:r>
      <w:r>
        <w:t xml:space="preserve"> </w:t>
      </w:r>
      <w:r>
        <w:t xml:space="preserve">Thomas Aquinas,</w:t>
      </w:r>
      <w:r>
        <w:t xml:space="preserve"> </w:t>
      </w:r>
      <w:r>
        <w:rPr>
          <w:iCs/>
          <w:i/>
        </w:rPr>
        <w:t xml:space="preserve">Summa Theologiae</w:t>
      </w:r>
      <w:r>
        <w:t xml:space="preserve"> </w:t>
      </w:r>
      <w:r>
        <w:t xml:space="preserve">I–II, q. 94, a. 2, “</w:t>
      </w:r>
      <w:hyperlink r:id="rId41">
        <w:r>
          <w:rPr>
            <w:rStyle w:val="Hyperlink"/>
          </w:rPr>
          <w:t xml:space="preserve">The Natural Law</w:t>
        </w:r>
      </w:hyperlink>
      <w:r>
        <w:t xml:space="preserve">.” Aquinas’s theology is not reducible to the theory in this paper; the point is the structural parallel between natural inclination, practical reason, preservation, procreation, truth, and social life.</w:t>
      </w:r>
    </w:p>
  </w:footnote>
  <w:footnote w:id="42">
    <w:p>
      <w:pPr>
        <w:pStyle w:val="FootnoteText"/>
      </w:pPr>
      <w:r>
        <w:rPr>
          <w:rStyle w:val="FootnoteReference"/>
        </w:rPr>
        <w:footnoteRef/>
      </w:r>
      <w:r>
        <w:t xml:space="preserve"> </w:t>
      </w:r>
      <w:r>
        <w:t xml:space="preserve">Pierre Teilhard de Chardin, “</w:t>
      </w:r>
      <w:hyperlink r:id="rId43">
        <w:r>
          <w:rPr>
            <w:rStyle w:val="Hyperlink"/>
          </w:rPr>
          <w:t xml:space="preserve">The Transformation and Continuation in Man of the Mechanism of Evolution</w:t>
        </w:r>
      </w:hyperlink>
      <w:r>
        <w:t xml:space="preserve">” (1951), later published in</w:t>
      </w:r>
      <w:r>
        <w:t xml:space="preserve"> </w:t>
      </w:r>
      <w:r>
        <w:rPr>
          <w:iCs/>
          <w:i/>
        </w:rPr>
        <w:t xml:space="preserve">Activation of Energy</w:t>
      </w:r>
      <w:r>
        <w:t xml:space="preserve">. Teilhard’s convergence toward Omega is a genuine theological teleology, whereas the present account posits a direction without a knowable final state.</w:t>
      </w:r>
    </w:p>
  </w:footnote>
  <w:footnote w:id="45">
    <w:p>
      <w:pPr>
        <w:pStyle w:val="FootnoteText"/>
      </w:pPr>
      <w:r>
        <w:rPr>
          <w:rStyle w:val="FootnoteReference"/>
        </w:rPr>
        <w:footnoteRef/>
      </w:r>
      <w:r>
        <w:t xml:space="preserve"> </w:t>
      </w:r>
      <w:r>
        <w:t xml:space="preserve">See the Qur'an on human succession or stewardship (</w:t>
      </w:r>
      <w:hyperlink r:id="rId46">
        <w:r>
          <w:rPr>
            <w:rStyle w:val="Hyperlink"/>
          </w:rPr>
          <w:t xml:space="preserve">2:30</w:t>
        </w:r>
      </w:hyperlink>
      <w:r>
        <w:t xml:space="preserve">), corruption of the Earth (</w:t>
      </w:r>
      <w:hyperlink r:id="rId47">
        <w:r>
          <w:rPr>
            <w:rStyle w:val="Hyperlink"/>
          </w:rPr>
          <w:t xml:space="preserve">7:56</w:t>
        </w:r>
      </w:hyperlink>
      <w:r>
        <w:t xml:space="preserve">), and balance (</w:t>
      </w:r>
      <w:hyperlink r:id="rId48">
        <w:r>
          <w:rPr>
            <w:rStyle w:val="Hyperlink"/>
          </w:rPr>
          <w:t xml:space="preserve">55:7–9</w:t>
        </w:r>
      </w:hyperlink>
      <w:r>
        <w:t xml:space="preserve">). On the classical five necessities, see Abu Hamid al-Ghazali,</w:t>
      </w:r>
      <w:r>
        <w:t xml:space="preserve"> </w:t>
      </w:r>
      <w:r>
        <w:rPr>
          <w:iCs/>
          <w:i/>
        </w:rPr>
        <w:t xml:space="preserve">al-Mustasfa min 'ilm al-usul</w:t>
      </w:r>
      <w:r>
        <w:t xml:space="preserve">, and Abu Ishaq al-Shatibi,</w:t>
      </w:r>
      <w:r>
        <w:t xml:space="preserve"> </w:t>
      </w:r>
      <w:r>
        <w:rPr>
          <w:iCs/>
          <w:i/>
        </w:rPr>
        <w:t xml:space="preserve">al-Muwafaqat</w:t>
      </w:r>
      <w:r>
        <w:t xml:space="preserve">. “Stewardship” and the modern formulation of</w:t>
      </w:r>
      <w:r>
        <w:t xml:space="preserve"> </w:t>
      </w:r>
      <w:r>
        <w:rPr>
          <w:iCs/>
          <w:i/>
        </w:rPr>
        <w:t xml:space="preserve">maqasid</w:t>
      </w:r>
      <w:r>
        <w:t xml:space="preserve"> </w:t>
      </w:r>
      <w:r>
        <w:t xml:space="preserve">are interpretive traditions, not uncontested translations of a single verse.</w:t>
      </w:r>
    </w:p>
  </w:footnote>
  <w:footnote w:id="49">
    <w:p>
      <w:pPr>
        <w:pStyle w:val="FootnoteText"/>
      </w:pPr>
      <w:r>
        <w:rPr>
          <w:rStyle w:val="FootnoteReference"/>
        </w:rPr>
        <w:footnoteRef/>
      </w:r>
      <w:r>
        <w:t xml:space="preserve"> </w:t>
      </w:r>
      <w:r>
        <w:t xml:space="preserve">Laozi,</w:t>
      </w:r>
      <w:r>
        <w:t xml:space="preserve"> </w:t>
      </w:r>
      <w:hyperlink r:id="rId50">
        <w:r>
          <w:rPr>
            <w:rStyle w:val="Hyperlink"/>
            <w:iCs/>
            <w:i/>
          </w:rPr>
          <w:t xml:space="preserve">Dao De Jing</w:t>
        </w:r>
      </w:hyperlink>
      <w:r>
        <w:t xml:space="preserve">, especially chapters 25, 37, 48, and 57. No English rendering settles the meanings of</w:t>
      </w:r>
      <w:r>
        <w:t xml:space="preserve"> </w:t>
      </w:r>
      <w:r>
        <w:rPr>
          <w:iCs/>
          <w:i/>
        </w:rPr>
        <w:t xml:space="preserve">dao</w:t>
      </w:r>
      <w:r>
        <w:t xml:space="preserve">,</w:t>
      </w:r>
      <w:r>
        <w:t xml:space="preserve"> </w:t>
      </w:r>
      <w:r>
        <w:rPr>
          <w:iCs/>
          <w:i/>
        </w:rPr>
        <w:t xml:space="preserve">wu wei</w:t>
      </w:r>
      <w:r>
        <w:t xml:space="preserve">, or</w:t>
      </w:r>
      <w:r>
        <w:t xml:space="preserve"> </w:t>
      </w:r>
      <w:r>
        <w:rPr>
          <w:iCs/>
          <w:i/>
        </w:rPr>
        <w:t xml:space="preserve">de</w:t>
      </w:r>
      <w:r>
        <w:t xml:space="preserve">; the correspondences drawn here are philosophical comparisons, not claims of doctrinal identity.</w:t>
      </w:r>
    </w:p>
  </w:footnote>
  <w:footnote w:id="51">
    <w:p>
      <w:pPr>
        <w:pStyle w:val="FootnoteText"/>
      </w:pPr>
      <w:r>
        <w:rPr>
          <w:rStyle w:val="FootnoteReference"/>
        </w:rPr>
        <w:footnoteRef/>
      </w:r>
      <w:r>
        <w:t xml:space="preserve"> </w:t>
      </w:r>
      <w:r>
        <w:t xml:space="preserve">Francis Bacon,</w:t>
      </w:r>
      <w:r>
        <w:t xml:space="preserve"> </w:t>
      </w:r>
      <w:hyperlink r:id="rId52">
        <w:r>
          <w:rPr>
            <w:rStyle w:val="Hyperlink"/>
            <w:iCs/>
            <w:i/>
          </w:rPr>
          <w:t xml:space="preserve">Novum Organum</w:t>
        </w:r>
      </w:hyperlink>
      <w:r>
        <w:t xml:space="preserve"> </w:t>
      </w:r>
      <w:r>
        <w:t xml:space="preserve">(1620), especially book I on the “idols” that obstruct inquiry and the correction of axioms by experience. For the institutional logic of divided power, see Madison,</w:t>
      </w:r>
      <w:r>
        <w:t xml:space="preserve"> </w:t>
      </w:r>
      <w:r>
        <w:rPr>
          <w:iCs/>
          <w:i/>
        </w:rPr>
        <w:t xml:space="preserve">Federalist</w:t>
      </w:r>
      <w:r>
        <w:t xml:space="preserve"> </w:t>
      </w:r>
      <w:r>
        <w:t xml:space="preserve">No. 51, cited above. “The Enlightenment” names a contested family of developments; the paper endorses its fallibilist and pluralist control architecture, not every eighteenth-century doctrine or practice.</w:t>
      </w:r>
    </w:p>
  </w:footnote>
  <w:footnote w:id="54">
    <w:p>
      <w:pPr>
        <w:pStyle w:val="FootnoteText"/>
      </w:pPr>
      <w:r>
        <w:rPr>
          <w:rStyle w:val="FootnoteReference"/>
        </w:rPr>
        <w:footnoteRef/>
      </w:r>
      <w:r>
        <w:t xml:space="preserve"> </w:t>
      </w:r>
      <w:r>
        <w:t xml:space="preserve">James Madison, “</w:t>
      </w:r>
      <w:hyperlink r:id="rId55">
        <w:r>
          <w:rPr>
            <w:rStyle w:val="Hyperlink"/>
          </w:rPr>
          <w:t xml:space="preserve">The Federalist No. 51</w:t>
        </w:r>
      </w:hyperlink>
      <w:r>
        <w:t xml:space="preserve">” (1788); see also the</w:t>
      </w:r>
      <w:r>
        <w:t xml:space="preserve"> </w:t>
      </w:r>
      <w:hyperlink r:id="rId56">
        <w:r>
          <w:rPr>
            <w:rStyle w:val="Hyperlink"/>
          </w:rPr>
          <w:t xml:space="preserve">National Archives overview of the Constitution</w:t>
        </w:r>
      </w:hyperlink>
      <w:r>
        <w:t xml:space="preserve">.</w:t>
      </w:r>
    </w:p>
  </w:footnote>
  <w:footnote w:id="57">
    <w:p>
      <w:pPr>
        <w:pStyle w:val="FootnoteText"/>
      </w:pPr>
      <w:r>
        <w:rPr>
          <w:rStyle w:val="FootnoteReference"/>
        </w:rPr>
        <w:footnoteRef/>
      </w:r>
      <w:r>
        <w:t xml:space="preserve"> </w:t>
      </w:r>
      <w:r>
        <w:t xml:space="preserve">F. A. Hayek, “</w:t>
      </w:r>
      <w:hyperlink r:id="rId58">
        <w:r>
          <w:rPr>
            <w:rStyle w:val="Hyperlink"/>
          </w:rPr>
          <w:t xml:space="preserve">The Use of Knowledge in Society</w:t>
        </w:r>
      </w:hyperlink>
      <w:r>
        <w:t xml:space="preserve">,”</w:t>
      </w:r>
      <w:r>
        <w:t xml:space="preserve"> </w:t>
      </w:r>
      <w:r>
        <w:rPr>
          <w:iCs/>
          <w:i/>
        </w:rPr>
        <w:t xml:space="preserve">American Economic Review</w:t>
      </w:r>
      <w:r>
        <w:t xml:space="preserve"> </w:t>
      </w:r>
      <w:r>
        <w:t xml:space="preserve">35, no. 4 (1945): 519–530.</w:t>
      </w:r>
    </w:p>
  </w:footnote>
  <w:footnote w:id="59">
    <w:p>
      <w:pPr>
        <w:pStyle w:val="FootnoteText"/>
      </w:pPr>
      <w:r>
        <w:rPr>
          <w:rStyle w:val="FootnoteReference"/>
        </w:rPr>
        <w:footnoteRef/>
      </w:r>
      <w:r>
        <w:t xml:space="preserve"> </w:t>
      </w:r>
      <w:r>
        <w:t xml:space="preserve">Ashish Vaswani et al., “</w:t>
      </w:r>
      <w:hyperlink r:id="rId60">
        <w:r>
          <w:rPr>
            <w:rStyle w:val="Hyperlink"/>
          </w:rPr>
          <w:t xml:space="preserve">Attention Is All You Need</w:t>
        </w:r>
      </w:hyperlink>
      <w:r>
        <w:t xml:space="preserve">” (2017).</w:t>
      </w:r>
    </w:p>
  </w:footnote>
  <w:footnote w:id="67">
    <w:p>
      <w:pPr>
        <w:pStyle w:val="FootnoteText"/>
      </w:pPr>
      <w:r>
        <w:rPr>
          <w:rStyle w:val="FootnoteReference"/>
        </w:rPr>
        <w:footnoteRef/>
      </w:r>
      <w:r>
        <w:t xml:space="preserve"> </w:t>
      </w:r>
      <w:r>
        <w:t xml:space="preserve">Eörs Szathmáry and John Maynard Smith, “</w:t>
      </w:r>
      <w:hyperlink r:id="rId27">
        <w:r>
          <w:rPr>
            <w:rStyle w:val="Hyperlink"/>
          </w:rPr>
          <w:t xml:space="preserve">The Major Evolutionary Transitions</w:t>
        </w:r>
      </w:hyperlink>
      <w:r>
        <w:t xml:space="preserve">,”</w:t>
      </w:r>
      <w:r>
        <w:t xml:space="preserve"> </w:t>
      </w:r>
      <w:r>
        <w:rPr>
          <w:iCs/>
          <w:i/>
        </w:rPr>
        <w:t xml:space="preserve">Nature</w:t>
      </w:r>
      <w:r>
        <w:t xml:space="preserve"> </w:t>
      </w:r>
      <w:r>
        <w:t xml:space="preserve">374 (1995): 227–232. Their caution is important: the transitions concern changes in organization and information transmission, not a law that every lineage becomes more complex.</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https://arxiv.org/abs/1706.03762" TargetMode="External" /><Relationship Type="http://schemas.openxmlformats.org/officeDocument/2006/relationships/hyperlink" Id="rId55" Target="https://founders.archives.gov/documents/Hamilton/01-04-02-0199" TargetMode="External" /><Relationship Type="http://schemas.openxmlformats.org/officeDocument/2006/relationships/hyperlink" Id="rId33" Target="https://pmc.ncbi.nlm.nih.gov/articles/PMC1876432/" TargetMode="External" /><Relationship Type="http://schemas.openxmlformats.org/officeDocument/2006/relationships/hyperlink" Id="rId24" Target="https://pubmed.ncbi.nlm.nih.gov/24089735/" TargetMode="External" /><Relationship Type="http://schemas.openxmlformats.org/officeDocument/2006/relationships/hyperlink" Id="rId25" Target="https://pubmed.ncbi.nlm.nih.gov/26530021/" TargetMode="External" /><Relationship Type="http://schemas.openxmlformats.org/officeDocument/2006/relationships/hyperlink" Id="rId34" Target="https://pubmed.ncbi.nlm.nih.gov/37844243/" TargetMode="External" /><Relationship Type="http://schemas.openxmlformats.org/officeDocument/2006/relationships/hyperlink" Id="rId46" Target="https://quran.com/2/30" TargetMode="External" /><Relationship Type="http://schemas.openxmlformats.org/officeDocument/2006/relationships/hyperlink" Id="rId48" Target="https://quran.com/55/7-9" TargetMode="External" /><Relationship Type="http://schemas.openxmlformats.org/officeDocument/2006/relationships/hyperlink" Id="rId47" Target="https://quran.com/7/56" TargetMode="External" /><Relationship Type="http://schemas.openxmlformats.org/officeDocument/2006/relationships/hyperlink" Id="rId56" Target="https://www.archives.gov/founding-docs/constitution/what-does-it-say" TargetMode="External" /><Relationship Type="http://schemas.openxmlformats.org/officeDocument/2006/relationships/hyperlink" Id="rId58" Target="https://www.econlib.org/library/Essays/hykKnw.html" TargetMode="External" /><Relationship Type="http://schemas.openxmlformats.org/officeDocument/2006/relationships/hyperlink" Id="rId52" Target="https://www.gutenberg.org/files/45988/45988-h/45988-h.htm" TargetMode="External" /><Relationship Type="http://schemas.openxmlformats.org/officeDocument/2006/relationships/hyperlink" Id="rId50" Target="https://www.gutenberg.org/files/49965/49965-h/49965-h" TargetMode="External" /><Relationship Type="http://schemas.openxmlformats.org/officeDocument/2006/relationships/hyperlink" Id="rId30" Target="https://www.journals.uchicago.edu/doi/10.1093/bjps/axp036" TargetMode="External" /><Relationship Type="http://schemas.openxmlformats.org/officeDocument/2006/relationships/hyperlink" Id="rId27" Target="https://www.nature.com/articles/374227a0" TargetMode="External" /><Relationship Type="http://schemas.openxmlformats.org/officeDocument/2006/relationships/hyperlink" Id="rId41" Target="https://www.newadvent.org/summa/2094.htm" TargetMode="External" /><Relationship Type="http://schemas.openxmlformats.org/officeDocument/2006/relationships/hyperlink" Id="rId23" Target="https://www.nobelprize.org/uploads/2018/06/prigogine-lecture.pdf" TargetMode="External" /><Relationship Type="http://schemas.openxmlformats.org/officeDocument/2006/relationships/hyperlink" Id="rId43" Target="https://www.organism.earth/library/document/mechanism-of-evolution" TargetMode="External" /></Relationships>
</file>

<file path=word/_rels/footnotes.xml.rels><?xml version="1.0" encoding="UTF-8"?><Relationships xmlns="http://schemas.openxmlformats.org/package/2006/relationships"><Relationship Type="http://schemas.openxmlformats.org/officeDocument/2006/relationships/hyperlink" Id="rId60" Target="https://arxiv.org/abs/1706.03762" TargetMode="External" /><Relationship Type="http://schemas.openxmlformats.org/officeDocument/2006/relationships/hyperlink" Id="rId55" Target="https://founders.archives.gov/documents/Hamilton/01-04-02-0199" TargetMode="External" /><Relationship Type="http://schemas.openxmlformats.org/officeDocument/2006/relationships/hyperlink" Id="rId33" Target="https://pmc.ncbi.nlm.nih.gov/articles/PMC1876432/" TargetMode="External" /><Relationship Type="http://schemas.openxmlformats.org/officeDocument/2006/relationships/hyperlink" Id="rId24" Target="https://pubmed.ncbi.nlm.nih.gov/24089735/" TargetMode="External" /><Relationship Type="http://schemas.openxmlformats.org/officeDocument/2006/relationships/hyperlink" Id="rId25" Target="https://pubmed.ncbi.nlm.nih.gov/26530021/" TargetMode="External" /><Relationship Type="http://schemas.openxmlformats.org/officeDocument/2006/relationships/hyperlink" Id="rId34" Target="https://pubmed.ncbi.nlm.nih.gov/37844243/" TargetMode="External" /><Relationship Type="http://schemas.openxmlformats.org/officeDocument/2006/relationships/hyperlink" Id="rId46" Target="https://quran.com/2/30" TargetMode="External" /><Relationship Type="http://schemas.openxmlformats.org/officeDocument/2006/relationships/hyperlink" Id="rId48" Target="https://quran.com/55/7-9" TargetMode="External" /><Relationship Type="http://schemas.openxmlformats.org/officeDocument/2006/relationships/hyperlink" Id="rId47" Target="https://quran.com/7/56" TargetMode="External" /><Relationship Type="http://schemas.openxmlformats.org/officeDocument/2006/relationships/hyperlink" Id="rId56" Target="https://www.archives.gov/founding-docs/constitution/what-does-it-say" TargetMode="External" /><Relationship Type="http://schemas.openxmlformats.org/officeDocument/2006/relationships/hyperlink" Id="rId58" Target="https://www.econlib.org/library/Essays/hykKnw.html" TargetMode="External" /><Relationship Type="http://schemas.openxmlformats.org/officeDocument/2006/relationships/hyperlink" Id="rId52" Target="https://www.gutenberg.org/files/45988/45988-h/45988-h.htm" TargetMode="External" /><Relationship Type="http://schemas.openxmlformats.org/officeDocument/2006/relationships/hyperlink" Id="rId50" Target="https://www.gutenberg.org/files/49965/49965-h/49965-h" TargetMode="External" /><Relationship Type="http://schemas.openxmlformats.org/officeDocument/2006/relationships/hyperlink" Id="rId30" Target="https://www.journals.uchicago.edu/doi/10.1093/bjps/axp036" TargetMode="External" /><Relationship Type="http://schemas.openxmlformats.org/officeDocument/2006/relationships/hyperlink" Id="rId27" Target="https://www.nature.com/articles/374227a0" TargetMode="External" /><Relationship Type="http://schemas.openxmlformats.org/officeDocument/2006/relationships/hyperlink" Id="rId41" Target="https://www.newadvent.org/summa/2094.htm" TargetMode="External" /><Relationship Type="http://schemas.openxmlformats.org/officeDocument/2006/relationships/hyperlink" Id="rId23" Target="https://www.nobelprize.org/uploads/2018/06/prigogine-lecture.pdf" TargetMode="External" /><Relationship Type="http://schemas.openxmlformats.org/officeDocument/2006/relationships/hyperlink" Id="rId43" Target="https://www.organism.earth/library/document/mechanism-of-evol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2026-09-12T04:37:21Z</dcterms:created>
  <dcterms:modified xsi:type="dcterms:W3CDTF">2026-09-12T04:37:21Z</dcterms:modified>
</cp:coreProperties>
</file>

<file path=docProps/custom.xml><?xml version="1.0" encoding="utf-8"?>
<Properties xmlns="http://schemas.openxmlformats.org/officeDocument/2006/custom-properties" xmlns:vt="http://schemas.openxmlformats.org/officeDocument/2006/docPropsVTypes"/>
</file>