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the-way-of-living-order"/>
    <w:p>
      <w:pPr>
        <w:pStyle w:val="Heading1"/>
      </w:pPr>
      <w:r>
        <w:t xml:space="preserve">The Way of Living Order</w:t>
      </w:r>
    </w:p>
    <w:bookmarkStart w:id="21" w:name="direction-performance-and-the-god-of-man"/>
    <w:p>
      <w:pPr>
        <w:pStyle w:val="Heading2"/>
      </w:pPr>
      <w:r>
        <w:t xml:space="preserve">Direction, Performance, and the God of Man</w:t>
      </w:r>
    </w:p>
    <w:p>
      <w:pPr>
        <w:pStyle w:val="FirstParagraph"/>
      </w:pPr>
      <w:r>
        <w:rPr>
          <w:iCs/>
          <w:i/>
        </w:rPr>
        <w:t xml:space="preserve">Version 8 — 12 September 2026</w:t>
      </w:r>
    </w:p>
    <w:bookmarkStart w:id="20" w:name="abstract"/>
    <w:p>
      <w:pPr>
        <w:pStyle w:val="Heading3"/>
      </w:pPr>
      <w:r>
        <w:t xml:space="preserve">Abstract</w:t>
      </w:r>
    </w:p>
    <w:p>
      <w:pPr>
        <w:pStyle w:val="FirstParagraph"/>
      </w:pPr>
      <w:r>
        <w:t xml:space="preserve">Life has a direction because it has something definite to fight against. Usable differences dissipate, organized structures degrade, and living bodies fail unless work continually maintains them. An organism is the anomaly within this setting: matter organized to preserve and reconstruct its own organization. Its activity therefore establishes a practical direction away from the loss of living form and toward a greater capacity to preserve, repair, reproduce, and extend it.</w:t>
      </w:r>
    </w:p>
    <w:p>
      <w:pPr>
        <w:pStyle w:val="BodyText"/>
      </w:pPr>
      <w:r>
        <w:t xml:space="preserve">Natural selection shapes the rules of this fight. It preserves living forms that perform effectively against damage, scarcity, environmental change, and reproductive failure. Performance in this direction is progress, and value is the name given to that performance as better or worse. The relevant performance is not mere survival, complexity, or energy use, but reconstructive living order: the durable capacity of life to remain viable, learn, coordinate, rebuild, and produce future agents without consuming the field that supports them.</w:t>
      </w:r>
    </w:p>
    <w:p>
      <w:pPr>
        <w:pStyle w:val="BodyText"/>
      </w:pPr>
      <w:r>
        <w:t xml:space="preserve">Human beings add reflective choice. We can represent the direction, inherit or revise maps of it, and choose goals that either serve or oppose it. The primary human obligation is therefore to enact the direction. Explicit understanding helps, especially for those who teach, govern, interpret traditions, or design institutions, but a person need not possess a complete theory in order to live well. Stories, customs, and religious personifications can guide action more effectively than abstraction. Such proxies remain valuable while they serve the direction and remain open to correction.</w:t>
      </w:r>
    </w:p>
    <w:p>
      <w:pPr>
        <w:pStyle w:val="BodyText"/>
      </w:pPr>
      <w:r>
        <w:t xml:space="preserve">Human progress continues the same movement through language, writing, religion, law, science, constitutional government, and technology. These constructions provide a rough test of the metric: human rights protect agents, constitutions preserve distributed correction, successful societies accumulate transferable knowledge, and technologies enlarge or diminish human capacity. In the author’s preliminary application, Christianity appears to be the most accurate and accessible religious personification of the direction developed so far, while the wider Western canon appears to have built the strongest public machinery for remaining near it. These are interpretive judgments about historical fruits, not deductions possessing the same certainty as the biological premises. The same gradient can evaluate any object that affects life, from a word to a constitution to a large language model.</w:t>
      </w:r>
    </w:p>
    <w:bookmarkEnd w:id="20"/>
    <w:bookmarkEnd w:id="21"/>
    <w:bookmarkStart w:id="27" w:name="direction-begins-with-resistance"/>
    <w:p>
      <w:pPr>
        <w:pStyle w:val="Heading2"/>
      </w:pPr>
      <w:r>
        <w:t xml:space="preserve">1. Direction begins with resistance</w:t>
      </w:r>
    </w:p>
    <w:p>
      <w:pPr>
        <w:pStyle w:val="FirstParagraph"/>
      </w:pPr>
      <w:r>
        <w:t xml:space="preserve">The argument begins before morality. Organized things do not preserve themselves for free. Temperature differences even out, chemical potentials are spent, structures erode, and records become noisy. Living bodies accumulate damage and eventually lose the organization that makes them living unless continual work maintains it. The second law of thermodynamics is not an enemy with an intention, but it describes the law of the land: usable differences dissipate, and unsupported organization does not indefinitely remain available for work.</w:t>
      </w:r>
      <w:r>
        <w:rPr>
          <w:rStyle w:val="FootnoteReference"/>
        </w:rPr>
        <w:footnoteReference w:id="22"/>
      </w:r>
    </w:p>
    <w:p>
      <w:pPr>
        <w:pStyle w:val="BodyText"/>
      </w:pPr>
      <w:r>
        <w:t xml:space="preserve">Life is the extraordinary local response. An organism takes in matter and free energy, maintains a boundary, repairs damage, preserves information, and reconstructs its form. It does not repeal thermodynamics. It preserves local organization by releasing heat and waste and increasing entropy elsewhere. Yet this ordinary scientific qualification should not obscure the remarkable fact. A living thing is organized to keep its organization going.</w:t>
      </w:r>
    </w:p>
    <w:p>
      <w:pPr>
        <w:pStyle w:val="BodyText"/>
      </w:pPr>
      <w:r>
        <w:t xml:space="preserve">Call such a being a</w:t>
      </w:r>
      <w:r>
        <w:t xml:space="preserve"> </w:t>
      </w:r>
      <w:r>
        <w:rPr>
          <w:bCs/>
          <w:b/>
        </w:rPr>
        <w:t xml:space="preserve">fighter</w:t>
      </w:r>
      <w:r>
        <w:t xml:space="preserve">. The word does not imply consciousness, aggression, or another creature serving as its enemy. It means that the continued existence of the organized being depends upon work performed by that organization. A cell maintains the membrane that makes its metabolism possible, while its metabolism supplies the work that maintains the membrane. An animal heals tissue, regulates its internal conditions, seeks nourishment, and reproduces. A plant turns toward light, grows roots toward water, repairs damage, and produces new plants. If the work fails beyond recovery, the fighter ceases to exist as that living organization.</w:t>
      </w:r>
    </w:p>
    <w:p>
      <w:pPr>
        <w:pStyle w:val="BodyText"/>
      </w:pPr>
      <w:r>
        <w:t xml:space="preserve">The fight therefore has an inherent direction because success and failure are not interchangeable. It moves:</w:t>
      </w:r>
    </w:p>
    <w:p>
      <w:pPr>
        <w:pStyle w:val="BlockText"/>
      </w:pPr>
      <w:r>
        <w:t xml:space="preserve">away from the irreversible loss of living organization and toward a greater capacity to preserve, repair, reproduce, and extend it.</w:t>
      </w:r>
    </w:p>
    <w:p>
      <w:pPr>
        <w:pStyle w:val="FirstParagraph"/>
      </w:pPr>
      <w:r>
        <w:t xml:space="preserve">A rock can persist longer than a person, and a crystal can display more geometric regularity than a forest. Neither works to remain itself. Value does not begin wherever order happens to exist. It begins when an organized being distinguishes in its own activity between what sustains its living form and what destroys it. Water can be good for grass and poison bad for it even though the grass has no theory of goodness. The distinction is not merely projected onto the plant by a human observer; it is enacted by the plant’s organization.</w:t>
      </w:r>
      <w:r>
        <w:rPr>
          <w:rStyle w:val="FootnoteReference"/>
        </w:rPr>
        <w:footnoteReference w:id="25"/>
      </w:r>
    </w:p>
    <w:p>
      <w:pPr>
        <w:pStyle w:val="BodyText"/>
      </w:pPr>
      <w:r>
        <w:t xml:space="preserve">This is the first and simplest value gradient. The natural resistance to organization supplies the negative direction. The fighter’s work supplies the response. Before there are words, laws, or moral theories, there is already better and worse for a living being.</w:t>
      </w:r>
    </w:p>
    <w:bookmarkEnd w:id="27"/>
    <w:bookmarkStart w:id="31" w:name="selection-shapes-the-rules-of-the-fight"/>
    <w:p>
      <w:pPr>
        <w:pStyle w:val="Heading2"/>
      </w:pPr>
      <w:r>
        <w:t xml:space="preserve">2. Selection shapes the rules of the fight</w:t>
      </w:r>
    </w:p>
    <w:p>
      <w:pPr>
        <w:pStyle w:val="FirstParagraph"/>
      </w:pPr>
      <w:r>
        <w:t xml:space="preserve">The physical world supplies the resistance, but it does not specify the best living response. Natural selection performs that historical work.</w:t>
      </w:r>
    </w:p>
    <w:p>
      <w:pPr>
        <w:pStyle w:val="BodyText"/>
      </w:pPr>
      <w:r>
        <w:t xml:space="preserve">Living forms vary. Some acquire energy more reliably, repair damage more effectively, detect threats earlier, cooperate more productively, or reproduce their form more successfully under the conditions they face. Their organization is consequently more likely to persist in descendants. Across generations, selection preserves workable answers to the standing problem of remaining alive.</w:t>
      </w:r>
    </w:p>
    <w:p>
      <w:pPr>
        <w:pStyle w:val="BodyText"/>
      </w:pPr>
      <w:r>
        <w:t xml:space="preserve">Natural selection can in this sense be called the</w:t>
      </w:r>
      <w:r>
        <w:t xml:space="preserve"> </w:t>
      </w:r>
      <w:r>
        <w:rPr>
          <w:bCs/>
          <w:b/>
        </w:rPr>
        <w:t xml:space="preserve">clockmaker of the living standard</w:t>
      </w:r>
      <w:r>
        <w:t xml:space="preserve">. It discovers no moral propositions and plans no future. It nevertheless writes practical distinctions into bodies: nourishment and poison, pain and relief, danger and safety, attachment and abandonment, signal and noise. It builds organisms whose perceptions and motives tend, imperfectly, to continue the fight that formed them.</w:t>
      </w:r>
    </w:p>
    <w:p>
      <w:pPr>
        <w:pStyle w:val="BodyText"/>
      </w:pPr>
      <w:r>
        <w:t xml:space="preserve">This is a claim about an observable process within life. It neither establishes nor denies a maker of matter, physical law, or the universe. A creator prior to the universe belongs to a different and presently less approachable question. The argument here concerns the effective standard encountered from inside human life: the older process that formed human capacities and against which human choices succeed or fail. Whether that standard ultimately shares an author with the laws under which it arose remains open.</w:t>
      </w:r>
    </w:p>
    <w:p>
      <w:pPr>
        <w:pStyle w:val="BodyText"/>
      </w:pPr>
      <w:r>
        <w:t xml:space="preserve">Selection must not be confused with automatic goodness. It is local, retrospective, and dependent on environment. A trait useful yesterday may be destructive tomorrow. Parasites simplify. Cancer cells can be selected within a body while killing the body. Drift and historical accident preserve features that contribute little. Most lineages eventually end.</w:t>
      </w:r>
      <w:r>
        <w:t xml:space="preserve"> </w:t>
      </w:r>
      <w:r>
        <w:t xml:space="preserve">“</w:t>
      </w:r>
      <w:r>
        <w:t xml:space="preserve">Selected</w:t>
      </w:r>
      <w:r>
        <w:t xml:space="preserve">”</w:t>
      </w:r>
      <w:r>
        <w:t xml:space="preserve"> </w:t>
      </w:r>
      <w:r>
        <w:t xml:space="preserve">therefore cannot mean</w:t>
      </w:r>
      <w:r>
        <w:t xml:space="preserve"> </w:t>
      </w:r>
      <w:r>
        <w:t xml:space="preserve">“</w:t>
      </w:r>
      <w:r>
        <w:t xml:space="preserve">morally right,</w:t>
      </w:r>
      <w:r>
        <w:t xml:space="preserve">”</w:t>
      </w:r>
      <w:r>
        <w:t xml:space="preserve"> </w:t>
      </w:r>
      <w:r>
        <w:t xml:space="preserve">and</w:t>
      </w:r>
      <w:r>
        <w:t xml:space="preserve"> </w:t>
      </w:r>
      <w:r>
        <w:t xml:space="preserve">“</w:t>
      </w:r>
      <w:r>
        <w:t xml:space="preserve">surviving now</w:t>
      </w:r>
      <w:r>
        <w:t xml:space="preserve">”</w:t>
      </w:r>
      <w:r>
        <w:t xml:space="preserve"> </w:t>
      </w:r>
      <w:r>
        <w:t xml:space="preserve">cannot mean</w:t>
      </w:r>
      <w:r>
        <w:t xml:space="preserve"> </w:t>
      </w:r>
      <w:r>
        <w:t xml:space="preserve">“</w:t>
      </w:r>
      <w:r>
        <w:t xml:space="preserve">highest.</w:t>
      </w:r>
      <w:r>
        <w:t xml:space="preserve">”</w:t>
      </w:r>
    </w:p>
    <w:p>
      <w:pPr>
        <w:pStyle w:val="BodyText"/>
      </w:pPr>
      <w:r>
        <w:t xml:space="preserve">The defensible claim is that selection turns the general direction of life’s fight into embodied strategies of performance. Over time, some of those strategies have enlarged the upper range of what living systems can reconstruct. Genomes preserve instructions across generations. Multicellular organization distributes work. Nervous systems model possible conditions before acting. Language passes models between minds. Writing stores them beyond the death of a brain. Law, science, and technology extend their reach still further. Evolution guarantees no ascent, but the history of life contains major transitions in the scale and fidelity at which living organization can be preserved and rebuilt.</w:t>
      </w:r>
      <w:r>
        <w:rPr>
          <w:rStyle w:val="FootnoteReference"/>
        </w:rPr>
        <w:footnoteReference w:id="28"/>
      </w:r>
    </w:p>
    <w:bookmarkEnd w:id="31"/>
    <w:bookmarkStart w:id="32" w:name="performance-progress-and-value"/>
    <w:p>
      <w:pPr>
        <w:pStyle w:val="Heading2"/>
      </w:pPr>
      <w:r>
        <w:t xml:space="preserve">3. Performance, progress, and value</w:t>
      </w:r>
    </w:p>
    <w:p>
      <w:pPr>
        <w:pStyle w:val="FirstParagraph"/>
      </w:pPr>
      <w:r>
        <w:t xml:space="preserve">Once the direction is established, performance can be evaluated. A change performs well when it durably increases life’s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This definition is intentionally broader than individual survival. A tumor can reproduce rapidly while destroying the organism that sustains it. A tribe can expand while exhausting its land. An institution can preserve itself by consuming the people and purpose it was created to serve. A technology can optimize a visible result while disabling human judgment. These are local victories moving against the wider direction.</w:t>
      </w:r>
    </w:p>
    <w:p>
      <w:pPr>
        <w:pStyle w:val="BodyText"/>
      </w:pPr>
      <w:r>
        <w:t xml:space="preserve">The relevant performance is</w:t>
      </w:r>
      <w:r>
        <w:t xml:space="preserve"> </w:t>
      </w:r>
      <w:r>
        <w:rPr>
          <w:bCs/>
          <w:b/>
        </w:rPr>
        <w:t xml:space="preserve">reconstructive living order</w:t>
      </w:r>
      <w:r>
        <w:t xml:space="preserve">: the durable capacity to preserve living agents, repair damage, reproduce living form, learn from reality, coordinate work, and leave future life capable of further construction. Reconstructive capacity matters more than a frozen state. A damaged community with truthful records, skilled people, mutual trust, and several routes of repair may possess more of it than an outwardly orderly system that has silenced every independent center.</w:t>
      </w:r>
    </w:p>
    <w:p>
      <w:pPr>
        <w:pStyle w:val="BodyText"/>
      </w:pPr>
      <w:r>
        <w:t xml:space="preserve">This formulation excludes several attractive counterfeits. Value is not raw complexity; a tangle can be complex and useless. It is not visible regularity; a prison can be orderly and hostile to flourishing. It is not maximum energy use or entropy production; a wildfire may release energy faster than a forest while spending in hours the living organization accumulated over decades. In a fire-adapted ecology, burning can assist renewal, but its value then derives from its role in the continuing forest rather than from dissipation itself. It is not whatever a creature happens to desire; appetite, addiction, fear, status, and despair can all direct an agent against the conditions of agency.</w:t>
      </w:r>
    </w:p>
    <w:p>
      <w:pPr>
        <w:pStyle w:val="BodyText"/>
      </w:pPr>
      <w:r>
        <w:t xml:space="preserve">At the local level the measure is simple. If a change increases a fighter’s real capacity to remain viable and reconstruct itself, it is good for that fighter; if it decreases the capacity, it is bad for it. At larger scales, local goods conflict. Predators and prey cannot both have every immediate outcome they seek. A parent may sacrifice for a child. An immune system destroys cells to preserve a body. A society may retire an institution so that the activity once served by it can continue.</w:t>
      </w:r>
    </w:p>
    <w:p>
      <w:pPr>
        <w:pStyle w:val="BodyText"/>
      </w:pPr>
      <w:r>
        <w:t xml:space="preserve">The wider standard is therefore the continuing</w:t>
      </w:r>
      <w:r>
        <w:t xml:space="preserve"> </w:t>
      </w:r>
      <w:r>
        <w:rPr>
          <w:bCs/>
          <w:b/>
        </w:rPr>
        <w:t xml:space="preserve">living field</w:t>
      </w:r>
      <w:r>
        <w:t xml:space="preserve">: present and future agents together with the ecological, biological, cultural, and material conditions from which agents arise and on which they depend. A local success counts as progress when it strengthens rather than irreversibly consumes that field. This does not make people valuable only when productive. Children, patients, disabled people, and the elderly belong to a reciprocal human field whose achievements, obligations, inheritances, and care extend across time. Nor does an appeal to</w:t>
      </w:r>
      <w:r>
        <w:t xml:space="preserve"> </w:t>
      </w:r>
      <w:r>
        <w:t xml:space="preserve">“</w:t>
      </w:r>
      <w:r>
        <w:t xml:space="preserve">the whole</w:t>
      </w:r>
      <w:r>
        <w:t xml:space="preserve">”</w:t>
      </w:r>
      <w:r>
        <w:t xml:space="preserve"> </w:t>
      </w:r>
      <w:r>
        <w:t xml:space="preserve">automatically justify sacrificing persons. Independent agents are the sites of perception, experience, initiative, and repair. A whole that routinely treats them as fuel destroys much of the capacity it claims to enlarge.</w:t>
      </w:r>
    </w:p>
    <w:p>
      <w:pPr>
        <w:pStyle w:val="BodyText"/>
      </w:pPr>
      <w:r>
        <w:t xml:space="preserve">Four questions are sufficient for most applications:</w:t>
      </w:r>
    </w:p>
    <w:p>
      <w:pPr>
        <w:numPr>
          <w:ilvl w:val="0"/>
          <w:numId w:val="1001"/>
        </w:numPr>
        <w:pStyle w:val="Compact"/>
      </w:pPr>
      <w:r>
        <w:rPr>
          <w:bCs/>
          <w:b/>
        </w:rPr>
        <w:t xml:space="preserve">Viability:</w:t>
      </w:r>
      <w:r>
        <w:t xml:space="preserve"> </w:t>
      </w:r>
      <w:r>
        <w:t xml:space="preserve">Does this preserve or enlarge the ability of living agents to remain, repair, and reproduce?</w:t>
      </w:r>
    </w:p>
    <w:p>
      <w:pPr>
        <w:numPr>
          <w:ilvl w:val="0"/>
          <w:numId w:val="1001"/>
        </w:numPr>
        <w:pStyle w:val="Compact"/>
      </w:pPr>
      <w:r>
        <w:rPr>
          <w:bCs/>
          <w:b/>
        </w:rPr>
        <w:t xml:space="preserve">Truth:</w:t>
      </w:r>
      <w:r>
        <w:t xml:space="preserve"> </w:t>
      </w:r>
      <w:r>
        <w:t xml:space="preserve">Does it improve the models by which agents act, or protect a comforting error from correction?</w:t>
      </w:r>
    </w:p>
    <w:p>
      <w:pPr>
        <w:numPr>
          <w:ilvl w:val="0"/>
          <w:numId w:val="1001"/>
        </w:numPr>
        <w:pStyle w:val="Compact"/>
      </w:pPr>
      <w:r>
        <w:rPr>
          <w:bCs/>
          <w:b/>
        </w:rPr>
        <w:t xml:space="preserve">Nesting:</w:t>
      </w:r>
      <w:r>
        <w:t xml:space="preserve"> </w:t>
      </w:r>
      <w:r>
        <w:t xml:space="preserve">Does it coordinate agents while preserving their useful independence, or make the parts disposable to the whole?</w:t>
      </w:r>
    </w:p>
    <w:p>
      <w:pPr>
        <w:numPr>
          <w:ilvl w:val="0"/>
          <w:numId w:val="1001"/>
        </w:numPr>
        <w:pStyle w:val="Compact"/>
      </w:pPr>
      <w:r>
        <w:rPr>
          <w:bCs/>
          <w:b/>
        </w:rPr>
        <w:t xml:space="preserve">Posterity:</w:t>
      </w:r>
      <w:r>
        <w:t xml:space="preserve"> </w:t>
      </w:r>
      <w:r>
        <w:t xml:space="preserve">Does it leave future agents more capacity and freedom of correction than it consumes?</w:t>
      </w:r>
    </w:p>
    <w:p>
      <w:pPr>
        <w:pStyle w:val="FirstParagraph"/>
      </w:pPr>
      <w:r>
        <w:t xml:space="preserve">These questions do not produce a laboratory unit of value or mechanically settle tragedy. They establish the direction in which judgment must look. Everything that affects life can be evaluated in relation to that direction even when exact comparison remains uncertain.</w:t>
      </w:r>
    </w:p>
    <w:p>
      <w:pPr>
        <w:pStyle w:val="BodyText"/>
      </w:pPr>
      <w:r>
        <w:t xml:space="preserve">The status of these claims changes as the argument moves outward. That unsupported living organization requires work, and that some conditions preserve a fighter while others destroy it, are claims close to observable physical and biological structure. The four questions are a proposed way of extending that structure into a common evaluative framework. Rankings of religions, civilizations, and institutions are applications of the framework and are more interpretive still. No mature school of thought has yet developed agreed boundaries, weights, historical comparisons, or a body of scholarship around this metric. Such applications should therefore be read in the form:</w:t>
      </w:r>
      <w:r>
        <w:t xml:space="preserve"> </w:t>
      </w:r>
      <w:r>
        <w:rPr>
          <w:bCs/>
          <w:b/>
        </w:rPr>
        <w:t xml:space="preserve">when I apply the metric at this broad level, with the evidence and understanding presently available, this is how the comparison appears</w:t>
      </w:r>
      <w:r>
        <w:t xml:space="preserve">. The limitation does not make comparison meaningless. It makes the conclusion provisional, open to better evidence, and less certain than the direction from which it was derived.</w:t>
      </w:r>
    </w:p>
    <w:bookmarkEnd w:id="32"/>
    <w:bookmarkStart w:id="33" w:name="choice-becomes-obligation"/>
    <w:p>
      <w:pPr>
        <w:pStyle w:val="Heading2"/>
      </w:pPr>
      <w:r>
        <w:t xml:space="preserve">4. Choice becomes obligation</w:t>
      </w:r>
    </w:p>
    <w:p>
      <w:pPr>
        <w:pStyle w:val="FirstParagraph"/>
      </w:pPr>
      <w:r>
        <w:t xml:space="preserve">A plant can flourish or fail, but it is not morally at fault. It enacts inherited responses and, in more developed organisms, learned ones. Human beings add a second channel: we can represent possible actions, inherit accounts of what is good, imagine goals contrary to our immediate instincts, and choose among them.</w:t>
      </w:r>
    </w:p>
    <w:p>
      <w:pPr>
        <w:pStyle w:val="BodyText"/>
      </w:pPr>
      <w:r>
        <w:t xml:space="preserve">Choice makes departure possible in a new sense. A person can use the powers produced by the living trajectory to weaken those powers, harm other centers of agency, or destroy the field on which future agency depends. Once a fighter can direct itself among represented alternatives, life’s prior direction becomes obligation.</w:t>
      </w:r>
    </w:p>
    <w:p>
      <w:pPr>
        <w:pStyle w:val="BodyText"/>
      </w:pPr>
      <w:r>
        <w:t xml:space="preserve">The primary obligation is</w:t>
      </w:r>
      <w:r>
        <w:t xml:space="preserve"> </w:t>
      </w:r>
      <w:r>
        <w:rPr>
          <w:bCs/>
          <w:b/>
        </w:rPr>
        <w:t xml:space="preserve">to enact the direction</w:t>
      </w:r>
      <w:r>
        <w:t xml:space="preserve">: to live in a way that carries reconstructive living order forward. Explicitly understanding the theory is secondary and instrumental. A person can live faithfully through love, work, family, inherited practice, and a trusted story without being able to derive the value gradient. A philosophical account is useful because it can clarify, compare, and correct our maps, not because every good person must become a philosopher.</w:t>
      </w:r>
    </w:p>
    <w:p>
      <w:pPr>
        <w:pStyle w:val="BodyText"/>
      </w:pPr>
      <w:r>
        <w:t xml:space="preserve">Proxies are therefore not inherently false. Human action depends upon them. A story, commandment, ritual, virtue, institution, or personified ideal may orient conduct more effectively than an abstract description. A proxy becomes corrupt when it is treated as the final good after it has ceased to serve the direction, or when its guardians make it immune to correction. Christianity can be a faithful and unusually effective map without being identical to the reality it describes.</w:t>
      </w:r>
    </w:p>
    <w:p>
      <w:pPr>
        <w:pStyle w:val="BodyText"/>
      </w:pPr>
      <w:r>
        <w:t xml:space="preserve">Responsibility follows capacity and role. A student taught a false order is not wholly released from the demand to do good; lived experience, conscience, sympathy, and consequence may still reveal parts of the direction. Yet ignorance can reduce culpability, especially where trust was reasonable and alternatives were unavailable. The teacher who negligently transmits the false map bears greater responsibility. Greater still is the responsibility of scholars, clergy, lawmakers, executives, and system designers whose positions give them unusual power to maintain or corrupt the maps by which many people act.</w:t>
      </w:r>
    </w:p>
    <w:p>
      <w:pPr>
        <w:pStyle w:val="BodyText"/>
      </w:pPr>
      <w:r>
        <w:t xml:space="preserve">Strictly speaking, institutions are evaluated rather than blamed; responsibility belongs to the people who steward them. But an institutional role carries an enlarged epistemic duty. A church, university, court, or scientific body exists partly to preserve and correct knowledge that no ordinary individual has time to reconstruct. Its stewards are obliged not only to behave well within the inherited map but also to examine whether the map continues to point toward living truth.</w:t>
      </w:r>
    </w:p>
    <w:p>
      <w:pPr>
        <w:pStyle w:val="BodyText"/>
      </w:pPr>
      <w:r>
        <w:t xml:space="preserve">This division of responsibility resolves an apparent tension. The path obligates everyone, but it does not demand the same kind of knowledge from everyone. The ordinary agent’s first duty is alignment. The map-maker’s further duty is fidelity. The more a person claims authority over the direction of others, the greater the obligation to understand, test, and correct the account being taught.</w:t>
      </w:r>
    </w:p>
    <w:p>
      <w:pPr>
        <w:pStyle w:val="BodyText"/>
      </w:pPr>
      <w:r>
        <w:t xml:space="preserve">Everything can therefore be evaluated, but only a chooser can be judged. A law, doctrine, forest policy, or machine can strengthen or diminish the living field. Praise, blame, guilt, and forgiveness belong where a person possessed some ability to perceive, choose, and act. Forgiveness does not make failure unreal; it restores a fallen agent to the work.</w:t>
      </w:r>
    </w:p>
    <w:bookmarkEnd w:id="33"/>
    <w:bookmarkStart w:id="34" w:name="Xbc41b60aa1bbb485a6e219df71c24111f996008"/>
    <w:p>
      <w:pPr>
        <w:pStyle w:val="Heading2"/>
      </w:pPr>
      <w:r>
        <w:t xml:space="preserve">5. Human progress is the same fight extended</w:t>
      </w:r>
    </w:p>
    <w:p>
      <w:pPr>
        <w:pStyle w:val="FirstParagraph"/>
      </w:pPr>
      <w:r>
        <w:t xml:space="preserve">Human progress is not a separate moral project added to biology. It is the same movement acquiring symbolic and institutional tools.</w:t>
      </w:r>
    </w:p>
    <w:p>
      <w:pPr>
        <w:pStyle w:val="BodyText"/>
      </w:pPr>
      <w:r>
        <w:t xml:space="preserve">Language allows one mind to preserve a useful distinction in another. Writing frees a model from the life span of memory. Moral traditions retain discoveries about character, family, sacrifice, cooperation, and domination. Law stabilizes expectations among strangers. Science submits models to public tests and stores the corrections. Institutions coordinate specialized work across populations and generations. Technology allows accumulated knowledge to direct more matter and energy. Modern large language models reorganize and apply enormous stores of recorded human patterns.</w:t>
      </w:r>
    </w:p>
    <w:p>
      <w:pPr>
        <w:pStyle w:val="BodyText"/>
      </w:pPr>
      <w:r>
        <w:t xml:space="preserve">Each step can enlarge the fighter’s capacity to perceive, remember, coordinate, repair, and build. Each can also become a proxy that consumes the field it should serve. Language can lie, law can entrench power, religion can sanctify a tribe, science can become technocracy, and AI can centralize knowledge while weakening human competence. The form of progress is continuous, but its achievement is never automatic.</w:t>
      </w:r>
    </w:p>
    <w:p>
      <w:pPr>
        <w:pStyle w:val="BodyText"/>
      </w:pPr>
      <w:r>
        <w:t xml:space="preserve">This is why human history is neither a guaranteed march upward nor an unrelated sequence of inventions. Where an advance deserves the name, it stores more effective performance in life’s direction and makes that performance available to further agents.</w:t>
      </w:r>
    </w:p>
    <w:p>
      <w:pPr>
        <w:pStyle w:val="BodyText"/>
      </w:pPr>
      <w:r>
        <w:t xml:space="preserve">A useful value standard should explain recognizable successes and failures without changing its definition for each case. The applications that follow are deliberately brief. They are not a comprehensive ranking of civilizations; they ask whether the same four tests continue to identify what is constructive when living agents build religions, rights, institutions, states, and machines.</w:t>
      </w:r>
    </w:p>
    <w:bookmarkEnd w:id="34"/>
    <w:bookmarkStart w:id="38" w:name="religion-as-an-inherited-map"/>
    <w:p>
      <w:pPr>
        <w:pStyle w:val="Heading2"/>
      </w:pPr>
      <w:r>
        <w:t xml:space="preserve">6. Religion as an inherited map</w:t>
      </w:r>
    </w:p>
    <w:p>
      <w:pPr>
        <w:pStyle w:val="FirstParagraph"/>
      </w:pPr>
      <w:r>
        <w:t xml:space="preserve">Religions are among humanity’s highest-value cultural constructions because they attempt to perceive, preserve, personify, and communicate the direction of life. They train attention and desire, organize duties, connect the individual to previous and future generations, and make an objective order memorable enough to inhabit. If there is one true direction, religions can be evaluated by how accurately they identify it, how accessibly they communicate it, how reliably they form people who enact it, and how open their institutions remain to correction.</w:t>
      </w:r>
    </w:p>
    <w:p>
      <w:pPr>
        <w:pStyle w:val="BodyText"/>
      </w:pPr>
      <w:r>
        <w:t xml:space="preserve">The partial convergence of independent traditions is consistent with repeated, partly successful attempts to know the same way. Greek, Hebrew, Indian, Chinese, Islamic, Christian, and later scientific traditions repeatedly recover distinctions between alignment and disorder, truth and illusion, disciplined desire and slavery to appetite, stewardship and exploitation, love and domination. Convergence is evidence rather than proof: human groups also repeatedly invent domination, scapegoating, and world-refusal. The stronger sign is convergence under correction—maps that remain answerable to living results.</w:t>
      </w:r>
    </w:p>
    <w:bookmarkStart w:id="37" w:name="christianity-judaism-and-other-maps"/>
    <w:p>
      <w:pPr>
        <w:pStyle w:val="Heading3"/>
      </w:pPr>
      <w:r>
        <w:t xml:space="preserve">Christianity, Judaism, and other maps</w:t>
      </w:r>
    </w:p>
    <w:p>
      <w:pPr>
        <w:pStyle w:val="FirstParagraph"/>
      </w:pPr>
      <w:r>
        <w:t xml:space="preserve">When I apply the proposed criteria to religious traditions, Christianity appears to be the most accurate and broadly effective personification of the direction developed so far. Its grammar closely matches the gradient: creation is good; law precedes appetite; sin is departure from the way; idolatry elevates a proxy above the good it should serve; love joins persons without reducing them to fuel; teachings are judged by their fruits; forgiveness restores the failed agent to the work; and Christ presents the way in a human life rather than only as an abstraction.</w:t>
      </w:r>
    </w:p>
    <w:p>
      <w:pPr>
        <w:pStyle w:val="BodyText"/>
      </w:pPr>
      <w:r>
        <w:t xml:space="preserve">Personification is not merely decorative. An abstract gradient is difficult to love, remember, imitate, or teach. The</w:t>
      </w:r>
      <w:r>
        <w:t xml:space="preserve"> </w:t>
      </w:r>
      <w:r>
        <w:rPr>
          <w:bCs/>
          <w:b/>
        </w:rPr>
        <w:t xml:space="preserve">God of man</w:t>
      </w:r>
      <w:r>
        <w:t xml:space="preserve"> </w:t>
      </w:r>
      <w:r>
        <w:t xml:space="preserve">is the older-than-human direction spoken as a who: formative of human nature, a measure of action, a will that may be followed or betrayed, and a judge disclosed in flourishing and failure. This concerns the effective God encountered within the human moral world. It neither proves nor denies a creator prior to matter and physical law. Classical Christianity may join both scopes in one God; the present argument reaches only the nearer one directly.</w:t>
      </w:r>
    </w:p>
    <w:p>
      <w:pPr>
        <w:pStyle w:val="BodyText"/>
      </w:pPr>
      <w:r>
        <w:t xml:space="preserve">Judaism supplies much of this foundation through creation, covenant, law, life, posterity, memory, responsibility, and resistance to idols. Its people-specific covenant is less directed toward universal adoption as a religious identity; Christianity universalized much of the inheritance and made its central orientation accessible through a person offered to every nation.</w:t>
      </w:r>
    </w:p>
    <w:p>
      <w:pPr>
        <w:pStyle w:val="BodyText"/>
      </w:pPr>
      <w:r>
        <w:t xml:space="preserve">Other religions remain genuine attempts to know the same direction. Islam strongly encodes stewardship, knowledge, life, lineage, balance, trust, and charity. Taoism is unusually perceptive about acting with the grain of a process; Confucian and Buddhist traditions preserve important knowledge of cultivation, duty, attachment, and self-deception.</w:t>
      </w:r>
      <w:r>
        <w:rPr>
          <w:rStyle w:val="FootnoteReference"/>
        </w:rPr>
        <w:footnoteReference w:id="35"/>
      </w:r>
      <w:r>
        <w:t xml:space="preserve"> </w:t>
      </w:r>
      <w:r>
        <w:t xml:space="preserve">The claim of one way permits comparison without requiring a civilizational contest in this paper. On the present rough application, Christianity appears the strongest overall map, but every tradition—including Christianity—remains corrigible and may track particular dimensions better or worse than another.</w:t>
      </w:r>
    </w:p>
    <w:bookmarkEnd w:id="37"/>
    <w:bookmarkEnd w:id="38"/>
    <w:bookmarkStart w:id="63" w:name="the-metric-visible-in-existing-systems"/>
    <w:p>
      <w:pPr>
        <w:pStyle w:val="Heading2"/>
      </w:pPr>
      <w:r>
        <w:t xml:space="preserve">7. The metric visible in existing systems</w:t>
      </w:r>
    </w:p>
    <w:p>
      <w:pPr>
        <w:pStyle w:val="FirstParagraph"/>
      </w:pPr>
      <w:r>
        <w:t xml:space="preserve">Applications beyond individual organisms are interpretive, but they need not be arbitrary. The same questions recur: does the system preserve viability, improve truthful perception, coordinate agents without consuming their independence, and leave greater capacity to posterity? Several familiar achievements score highly for reasons the framework makes mutually intelligible.</w:t>
      </w:r>
    </w:p>
    <w:bookmarkStart w:id="42" w:name="human-rights-and-constitutional-order"/>
    <w:p>
      <w:pPr>
        <w:pStyle w:val="Heading3"/>
      </w:pPr>
      <w:r>
        <w:t xml:space="preserve">Human rights and constitutional order</w:t>
      </w:r>
    </w:p>
    <w:p>
      <w:pPr>
        <w:pStyle w:val="FirstParagraph"/>
      </w:pPr>
      <w:r>
        <w:t xml:space="preserve">Human rights protect each person as an independent center of experience, perception, action, and repair. Rights to life, bodily security, property, family, conscience, speech, association, and due process protect viability and keep sources of correction alive. Their extension across class and generation serves nesting and posterity. Rights can become detached from reciprocal obligation, but their central achievement is to prevent a ruler or collective from treating the person as disposable material.</w:t>
      </w:r>
    </w:p>
    <w:p>
      <w:pPr>
        <w:pStyle w:val="BodyText"/>
      </w:pPr>
      <w:r>
        <w:t xml:space="preserve">The United States Constitution applies a similar insight to political structure. Separation of powers, federalism, rights, elections, courts, and amendment preserve several centers capable of checking one another. Its value lies neither in age nor national victory, but in maintaining peaceful succession, public criticism, local experimentation, and repair without constant revolution.</w:t>
      </w:r>
      <w:r>
        <w:rPr>
          <w:rStyle w:val="FootnoteReference"/>
        </w:rPr>
        <w:footnoteReference w:id="39"/>
      </w:r>
      <w:r>
        <w:t xml:space="preserve"> </w:t>
      </w:r>
      <w:r>
        <w:t xml:space="preserve">Constitutional machinery can restrain predictable faults, though it cannot by itself give the people operating it worthy ends.</w:t>
      </w:r>
    </w:p>
    <w:p>
      <w:pPr>
        <w:pStyle w:val="BodyText"/>
      </w:pPr>
      <w:r>
        <w:t xml:space="preserve">When I apply the metric at civilizational scale, the Western combination of natural law, Christian moral universalism, experimental science, human rights, and limited constitutional government appears to be the strongest public machinery so far developed for remaining near the direction. The claim is provisional and concerns performance, not Western identity. Slavery, empire, censorship, totalizing ideology, consumerism, and ecological exhaustion score badly by exactly the same tests.</w:t>
      </w:r>
    </w:p>
    <w:bookmarkEnd w:id="42"/>
    <w:bookmarkStart w:id="48" w:name="japan"/>
    <w:p>
      <w:pPr>
        <w:pStyle w:val="Heading3"/>
      </w:pPr>
      <w:r>
        <w:t xml:space="preserve">Japan</w:t>
      </w:r>
    </w:p>
    <w:p>
      <w:pPr>
        <w:pStyle w:val="FirstParagraph"/>
      </w:pPr>
      <w:r>
        <w:t xml:space="preserve">Japan shows that great reconstructive organization is not confined to the Christian West. Its existing educational and social capacities supported rapid learning during the Meiji period; it deliberately imported and adapted foreign science, law, industry, and institutions; and after the catastrophe of imperial war it rebuilt around education, health, production, constitutional rights, and public order.</w:t>
      </w:r>
      <w:r>
        <w:rPr>
          <w:rStyle w:val="FootnoteReference"/>
        </w:rPr>
        <w:footnoteReference w:id="43"/>
      </w:r>
      <w:r>
        <w:t xml:space="preserve"> </w:t>
      </w:r>
      <w:r>
        <w:t xml:space="preserve">The details are mixed, as all civilizational histories are. The relevant point is simple: Japan greatly enlarged its capacity to learn, coordinate, rebuild, and transmit. Its success belongs to the direction rather than to a civilizational label, while its militarist failure shows that technical organization can still be captured by a narrower goal.</w:t>
      </w:r>
    </w:p>
    <w:bookmarkEnd w:id="48"/>
    <w:bookmarkStart w:id="59" w:name="a-system-requiring-maintenance"/>
    <w:p>
      <w:pPr>
        <w:pStyle w:val="Heading3"/>
      </w:pPr>
      <w:r>
        <w:t xml:space="preserve">A system requiring maintenance</w:t>
      </w:r>
    </w:p>
    <w:p>
      <w:pPr>
        <w:pStyle w:val="FirstParagraph"/>
      </w:pPr>
      <w:r>
        <w:t xml:space="preserve">The United States also illustrates that inherited order does not preserve itself. Long-term Christian affiliation has declined while social trust and public confidence in moral conditions have also weakened, although recent religious trends may be leveling and the correlations do not establish causation.</w:t>
      </w:r>
      <w:r>
        <w:rPr>
          <w:rStyle w:val="FootnoteReference"/>
        </w:rPr>
        <w:footnoteReference w:id="49"/>
      </w:r>
      <w:r>
        <w:rPr>
          <w:rStyle w:val="FootnoteReference"/>
        </w:rPr>
        <w:footnoteReference w:id="51"/>
      </w:r>
      <w:r>
        <w:t xml:space="preserve"> </w:t>
      </w:r>
      <w:r>
        <w:t xml:space="preserve">Active religious participation remains associated with several forms of family and civic involvement.</w:t>
      </w:r>
      <w:r>
        <w:rPr>
          <w:rStyle w:val="FootnoteReference"/>
        </w:rPr>
        <w:footnoteReference w:id="54"/>
      </w:r>
      <w:r>
        <w:t xml:space="preserve"> </w:t>
      </w:r>
      <w:r>
        <w:t xml:space="preserve">One plausible contributor is specialization: a society can become highly skilled in narrow means while giving less shared attention to ends. Washington’s claim that religion and morality support political prosperity identifies the dependency even if religious doctrine is not the only possible source of moral conduct.</w:t>
      </w:r>
      <w:r>
        <w:rPr>
          <w:rStyle w:val="FootnoteReference"/>
        </w:rPr>
        <w:footnoteReference w:id="57"/>
      </w:r>
    </w:p>
    <w:bookmarkEnd w:id="59"/>
    <w:bookmarkStart w:id="62" w:name="artificial-intelligence"/>
    <w:p>
      <w:pPr>
        <w:pStyle w:val="Heading3"/>
      </w:pPr>
      <w:r>
        <w:t xml:space="preserve">Artificial intelligence</w:t>
      </w:r>
    </w:p>
    <w:p>
      <w:pPr>
        <w:pStyle w:val="FirstParagraph"/>
      </w:pPr>
      <w:r>
        <w:t xml:space="preserve">Large language models continue the trajectory from language to writing to machine-assisted symbolic order. They make patterns from enormous records newly available for reasoning, communication, science, and construction.</w:t>
      </w:r>
      <w:r>
        <w:rPr>
          <w:rStyle w:val="FootnoteReference"/>
        </w:rPr>
        <w:footnoteReference w:id="60"/>
      </w:r>
      <w:r>
        <w:t xml:space="preserve"> </w:t>
      </w:r>
      <w:r>
        <w:t xml:space="preserve">Their sophistication alone does not make them good. An AI system may enlarge knowledge and human capability, or optimize engagement, profit, conformity, and control while weakening attention, skill, privacy, and independent judgment.</w:t>
      </w:r>
    </w:p>
    <w:p>
      <w:pPr>
        <w:pStyle w:val="BodyText"/>
      </w:pPr>
      <w:r>
        <w:t xml:space="preserve">The metric asks what the system does to living performance. Does it make agents more capable or merely more dependent? Does it expose uncertainty and permit correction? Does it distribute constructive power or centralize it in an owner that cannot be challenged? Does it preserve future options? Unless a machine becomes an independent, self-maintaining chooser, responsibility remains with the people and institutions that build and govern it.</w:t>
      </w:r>
    </w:p>
    <w:bookmarkEnd w:id="62"/>
    <w:bookmarkEnd w:id="63"/>
    <w:bookmarkStart w:id="64" w:name="thermodynamics-negentropy-and-beauty"/>
    <w:p>
      <w:pPr>
        <w:pStyle w:val="Heading2"/>
      </w:pPr>
      <w:r>
        <w:t xml:space="preserve">8. Thermodynamics, negentropy, and beauty</w:t>
      </w:r>
    </w:p>
    <w:p>
      <w:pPr>
        <w:pStyle w:val="FirstParagraph"/>
      </w:pPr>
      <w:r>
        <w:t xml:space="preserve">Thermodynamics gives the argument its physical silhouette, not its complete moral content. It explains why organization requires work. Life identifies the kind of organization doing that work. Selection preserves better strategies of performance. Choice makes performance answerable to obligation.</w:t>
      </w:r>
    </w:p>
    <w:p>
      <w:pPr>
        <w:pStyle w:val="BodyText"/>
      </w:pPr>
      <w:r>
        <w:t xml:space="preserve">Negentropy is therefore a useful approximation of the form of the direction but not the value itself. Crystals, prisons, and rigid bureaucracies show why order alone is insufficient. Fire shows why intense energy flow is insufficient. The valuable order is living and reconstructive: able to preserve differences, repair damage, test information, reproduce agents, and build again.</w:t>
      </w:r>
    </w:p>
    <w:p>
      <w:pPr>
        <w:pStyle w:val="BodyText"/>
      </w:pPr>
      <w:r>
        <w:t xml:space="preserve">Human perception offers a suggestive echo. People commonly see beauty in living vitality, coherent form, proportion, pattern, skilled construction, and order that holds differences together. The observer is not a neutral intelligence dropped into the world. It is an order-preserving agent shaped to notice meaningful organization. Our experience of beauty may therefore be one way the gradient becomes perceptible and attractive from within.</w:t>
      </w:r>
    </w:p>
    <w:p>
      <w:pPr>
        <w:pStyle w:val="BodyText"/>
      </w:pPr>
      <w:r>
        <w:t xml:space="preserve">This is supporting evidence, not proof. Human beings can admire ruins, violence, danger, asymmetry, and spectacle. Taste is neither uniform nor infallible. The more modest observation is that agents formed within the living trajectory often experience successful form as worthy of attention and preservation. We are not only fighters against decay; we are creatures capable of recognizing and loving some of the order the fight has made.</w:t>
      </w:r>
    </w:p>
    <w:bookmarkEnd w:id="64"/>
    <w:bookmarkStart w:id="70" w:name="objections-and-limits"/>
    <w:p>
      <w:pPr>
        <w:pStyle w:val="Heading2"/>
      </w:pPr>
      <w:r>
        <w:t xml:space="preserve">9. Objections and limits</w:t>
      </w:r>
    </w:p>
    <w:bookmarkStart w:id="65" w:name="this-derives-an-ought-from-a-fact."/>
    <w:p>
      <w:pPr>
        <w:pStyle w:val="Heading3"/>
      </w:pPr>
      <w:r>
        <w:t xml:space="preserve">“</w:t>
      </w:r>
      <w:r>
        <w:t xml:space="preserve">This derives an ought from a fact.</w:t>
      </w:r>
      <w:r>
        <w:t xml:space="preserve">”</w:t>
      </w:r>
    </w:p>
    <w:p>
      <w:pPr>
        <w:pStyle w:val="FirstParagraph"/>
      </w:pPr>
      <w:r>
        <w:t xml:space="preserve">The argument does not infer morality from entropy alone. It begins with a self-maintaining being for which continued organization is already at stake. Nourishment and poison, function and failure, are not interchangeable for that being. Reflective obligation appears only when such a being can represent alternatives and direct itself. The claim is conditional on the existence of living choosers, but within that domain the standard is not arbitrary.</w:t>
      </w:r>
    </w:p>
    <w:p>
      <w:pPr>
        <w:pStyle w:val="BodyText"/>
      </w:pPr>
      <w:r>
        <w:t xml:space="preserve">No argument can force a lifeless universe to care. A human rejection of life, however, is made by exercising the very capacities being rejected. The person may still choose against them, but not from a neutral position outside living agency.</w:t>
      </w:r>
    </w:p>
    <w:bookmarkEnd w:id="65"/>
    <w:bookmarkStart w:id="66" w:name="evolution-has-no-direction."/>
    <w:p>
      <w:pPr>
        <w:pStyle w:val="Heading3"/>
      </w:pPr>
      <w:r>
        <w:t xml:space="preserve">“</w:t>
      </w:r>
      <w:r>
        <w:t xml:space="preserve">Evolution has no direction.</w:t>
      </w:r>
      <w:r>
        <w:t xml:space="preserve">”</w:t>
      </w:r>
    </w:p>
    <w:p>
      <w:pPr>
        <w:pStyle w:val="FirstParagraph"/>
      </w:pPr>
      <w:r>
        <w:t xml:space="preserve">Evolution has no foresight, guaranteed destination, or compulsory increase in complexity. The paper agrees. Direction first belongs to the fighter’s standing problem: continued organization rather than its irreversible loss. Selection preserves local strategies within that direction, and some major transitions enlarge the upper range of reconstructive capacity. This is not a prophecy that every lineage or century improves.</w:t>
      </w:r>
    </w:p>
    <w:bookmarkEnd w:id="66"/>
    <w:bookmarkStart w:id="67" w:name="performance-merely-worships-winners."/>
    <w:p>
      <w:pPr>
        <w:pStyle w:val="Heading3"/>
      </w:pPr>
      <w:r>
        <w:t xml:space="preserve">“</w:t>
      </w:r>
      <w:r>
        <w:t xml:space="preserve">Performance merely worships winners.</w:t>
      </w:r>
      <w:r>
        <w:t xml:space="preserve">”</w:t>
      </w:r>
    </w:p>
    <w:p>
      <w:pPr>
        <w:pStyle w:val="FirstParagraph"/>
      </w:pPr>
      <w:r>
        <w:t xml:space="preserve">Only if performance is reduced to local survival. Tumors, tyrannies, and addictive systems expose that mistake. Durable performance includes the field that produces present and future agents, the truthfulness of their models, and the independence needed for correction. Power purchased by consuming those conditions is failure at a wider and longer scale.</w:t>
      </w:r>
    </w:p>
    <w:bookmarkEnd w:id="67"/>
    <w:bookmarkStart w:id="68" w:name="Xdffd625e4dc1f255345e212ff196ba52c69b7ad"/>
    <w:p>
      <w:pPr>
        <w:pStyle w:val="Heading3"/>
      </w:pPr>
      <w:r>
        <w:t xml:space="preserve">“</w:t>
      </w:r>
      <w:r>
        <w:t xml:space="preserve">One direction implies one political program.</w:t>
      </w:r>
      <w:r>
        <w:t xml:space="preserve">”</w:t>
      </w:r>
    </w:p>
    <w:p>
      <w:pPr>
        <w:pStyle w:val="FirstParagraph"/>
      </w:pPr>
      <w:r>
        <w:t xml:space="preserve">Direction is not a complete route. Several actions can be proximal under uncertainty, and circumstances alter what is possible. The gradient makes comparison meaningful without eliminating prudence, evidence, tragedy, or revision. It says that no ruler, religion, appetite, or ideology can make a destructive path good merely by declaring it so.</w:t>
      </w:r>
    </w:p>
    <w:bookmarkEnd w:id="68"/>
    <w:bookmarkStart w:id="69" w:name="X7f38e777722304a83b28018e60a86865ea5a3d4"/>
    <w:p>
      <w:pPr>
        <w:pStyle w:val="Heading3"/>
      </w:pPr>
      <w:r>
        <w:t xml:space="preserve">“</w:t>
      </w:r>
      <w:r>
        <w:t xml:space="preserve">The religious ranking is only Western preference.</w:t>
      </w:r>
      <w:r>
        <w:t xml:space="preserve">”</w:t>
      </w:r>
    </w:p>
    <w:p>
      <w:pPr>
        <w:pStyle w:val="FirstParagraph"/>
      </w:pPr>
      <w:r>
        <w:t xml:space="preserve">The comparison begins from a Western inheritance and remains a rough application, not a demonstrated result. It becomes more than private preference only insofar as its criteria are public and self-applying: Christianity and the West may fail them, and other traditions may outperform them. The present ranking is a judgment open to revision, not a premise protected from evidence.</w:t>
      </w:r>
    </w:p>
    <w:bookmarkEnd w:id="69"/>
    <w:bookmarkEnd w:id="70"/>
    <w:bookmarkStart w:id="71" w:name="conclusion"/>
    <w:p>
      <w:pPr>
        <w:pStyle w:val="Heading2"/>
      </w:pPr>
      <w:r>
        <w:t xml:space="preserve">Conclusion</w:t>
      </w:r>
    </w:p>
    <w:p>
      <w:pPr>
        <w:pStyle w:val="FirstParagraph"/>
      </w:pPr>
      <w:r>
        <w:t xml:space="preserve">Life has a direction because it has something to fight against. Unsupported organization degrades. A living being responds by working to remain itself, repairing damage, and reproducing its form. Selection preserves and refines successful responses, building the rules of the fight into organisms. Where those responses become more durable, more perceptive, more cooperative, and more reconstructive, there is progress. Performance in that direction is the primary determinant of value.</w:t>
      </w:r>
    </w:p>
    <w:p>
      <w:pPr>
        <w:pStyle w:val="BodyText"/>
      </w:pPr>
      <w:r>
        <w:t xml:space="preserve">Human beings inherit the direction and add choice. We can carry the work forward, follow a useful map, mistake a proxy for the destination, or deliberately spend the capacities that made choice possible. Our primary obligation is not to possess a perfect theory. It is to enact the way. The obligation to understand grows with the authority to teach, interpret, govern, and build the systems by which others are directed.</w:t>
      </w:r>
    </w:p>
    <w:p>
      <w:pPr>
        <w:pStyle w:val="BodyText"/>
      </w:pPr>
      <w:r>
        <w:t xml:space="preserve">Language, religion, law, science, constitutional government, and artificial intelligence belong to one history because each can preserve and extend the fighter’s work beyond one body and lifetime. Human rights, the Constitution, Japan’s reconstruction, and the possibilities and dangers of AI all become intelligible under the same tests. On the preliminary comparison offered here, Christianity appears to provide the most accessible religious personification of the direction, while the Western canon appears to have built the strongest public institutions of correction so far. These are trial applications of the metric, not the foundation of it, and other traditions remain sources from which the common map can be improved.</w:t>
      </w:r>
    </w:p>
    <w:p>
      <w:pPr>
        <w:pStyle w:val="BodyText"/>
      </w:pPr>
      <w:r>
        <w:t xml:space="preserve">The</w:t>
      </w:r>
      <w:r>
        <w:t xml:space="preserve"> </w:t>
      </w:r>
      <w:r>
        <w:t xml:space="preserve">“</w:t>
      </w:r>
      <w:r>
        <w:t xml:space="preserve">God of man</w:t>
      </w:r>
      <w:r>
        <w:t xml:space="preserve">”</w:t>
      </w:r>
      <w:r>
        <w:t xml:space="preserve"> </w:t>
      </w:r>
      <w:r>
        <w:t xml:space="preserve">names the direction as encountered personally: older than us, formative of us, judging our departures, and fulfilled in living flourishing. Nothing in the argument closes the question of a creator before the universe. It establishes a nearer scope—the standard already active in the kind of beings we are.</w:t>
      </w:r>
    </w:p>
    <w:p>
      <w:pPr>
        <w:pStyle w:val="BodyText"/>
      </w:pPr>
      <w:r>
        <w:t xml:space="preserve">The central claim requires neither a final state nor a perfect civilization:</w:t>
      </w:r>
    </w:p>
    <w:p>
      <w:pPr>
        <w:pStyle w:val="BlockText"/>
      </w:pPr>
      <w:r>
        <w:t xml:space="preserve">At every stage, value is how well living order performs against what would undo it.</w:t>
      </w:r>
    </w:p>
    <w:p>
      <w:pPr>
        <w:pStyle w:val="FirstParagraph"/>
      </w:pPr>
      <w:r>
        <w:t xml:space="preserve">To live well is to carry that performance forward: preserving what can still grow, correcting what has gone astray, and leaving the field more capable of life after us.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w:t>
      </w:r>
      <w:r>
        <w:t xml:space="preserve"> </w:t>
      </w:r>
      <w:r>
        <w:t xml:space="preserve">“</w:t>
      </w:r>
      <w:hyperlink r:id="rId23">
        <w:r>
          <w:rPr>
            <w:rStyle w:val="Hyperlink"/>
          </w:rPr>
          <w:t xml:space="preserve">Time, Structure and Fluctuations</w:t>
        </w:r>
      </w:hyperlink>
      <w:r>
        <w:t xml:space="preserve">,</w:t>
      </w:r>
      <w:r>
        <w:t xml:space="preserve">”</w:t>
      </w:r>
      <w:r>
        <w:t xml:space="preserve"> </w:t>
      </w:r>
      <w:r>
        <w:t xml:space="preserve">Nobel Lecture, 1977; Jeremy L. England,</w:t>
      </w:r>
      <w:r>
        <w:t xml:space="preserve"> </w:t>
      </w:r>
      <w:r>
        <w:t xml:space="preserve">“</w:t>
      </w:r>
      <w:hyperlink r:id="rId24">
        <w:r>
          <w:rPr>
            <w:rStyle w:val="Hyperlink"/>
          </w:rPr>
          <w:t xml:space="preserve">Statistical Physics of Self-Replication</w:t>
        </w:r>
      </w:hyperlink>
      <w:r>
        <w:t xml:space="preserve">,</w:t>
      </w:r>
      <w:r>
        <w:t xml:space="preserve">”</w:t>
      </w:r>
      <w:r>
        <w:t xml:space="preserve"> </w:t>
      </w:r>
      <w:r>
        <w:rPr>
          <w:iCs/>
          <w:i/>
        </w:rPr>
        <w:t xml:space="preserve">Journal of Chemical Physics</w:t>
      </w:r>
      <w:r>
        <w:t xml:space="preserve"> </w:t>
      </w:r>
      <w:r>
        <w:t xml:space="preserve">139 (2013): 121923. The thermodynamic facts establish the cost and conditions of living organization, not the entire value argument.</w:t>
      </w:r>
    </w:p>
  </w:footnote>
  <w:footnote w:id="25">
    <w:p>
      <w:pPr>
        <w:pStyle w:val="FootnoteText"/>
      </w:pPr>
      <w:r>
        <w:rPr>
          <w:rStyle w:val="FootnoteReference"/>
        </w:rPr>
        <w:footnoteRef/>
      </w:r>
      <w:r>
        <w:t xml:space="preserve"> </w:t>
      </w:r>
      <w:r>
        <w:t xml:space="preserve">Matteo Mossio, Cristian Saborido, and Alvaro Moreno,</w:t>
      </w:r>
      <w:r>
        <w:t xml:space="preserve"> </w:t>
      </w:r>
      <w:r>
        <w:t xml:space="preserve">“</w:t>
      </w:r>
      <w:hyperlink r:id="rId26">
        <w:r>
          <w:rPr>
            <w:rStyle w:val="Hyperlink"/>
          </w:rPr>
          <w:t xml:space="preserve">An Organizational Account of Biological Functions</w:t>
        </w:r>
      </w:hyperlink>
      <w:r>
        <w:t xml:space="preserve">,</w:t>
      </w:r>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judgments of living goodness structured by a life form.</w:t>
      </w:r>
    </w:p>
  </w:footnote>
  <w:footnote w:id="28">
    <w:p>
      <w:pPr>
        <w:pStyle w:val="FootnoteText"/>
      </w:pPr>
      <w:r>
        <w:rPr>
          <w:rStyle w:val="FootnoteReference"/>
        </w:rPr>
        <w:footnoteRef/>
      </w:r>
      <w:r>
        <w:t xml:space="preserve"> </w:t>
      </w:r>
      <w:r>
        <w:t xml:space="preserve">Eörs Szathmáry and John Maynard Smith,</w:t>
      </w:r>
      <w:r>
        <w:t xml:space="preserve"> </w:t>
      </w:r>
      <w:r>
        <w:t xml:space="preserve">“</w:t>
      </w:r>
      <w:hyperlink r:id="rId29">
        <w:r>
          <w:rPr>
            <w:rStyle w:val="Hyperlink"/>
          </w:rPr>
          <w:t xml:space="preserve">The Major Evolutionary Transitions</w:t>
        </w:r>
      </w:hyperlink>
      <w:r>
        <w:t xml:space="preserve">,</w:t>
      </w:r>
      <w:r>
        <w:t xml:space="preserve">”</w:t>
      </w:r>
      <w:r>
        <w:t xml:space="preserve"> </w:t>
      </w:r>
      <w:r>
        <w:rPr>
          <w:iCs/>
          <w:i/>
        </w:rPr>
        <w:t xml:space="preserve">Nature</w:t>
      </w:r>
      <w:r>
        <w:t xml:space="preserve"> </w:t>
      </w:r>
      <w:r>
        <w:t xml:space="preserve">374 (1995): 227–232. The transitions concern changes in organization and information transmission, not a law that every lineage becomes more complex. See also Robert M. Hazen et al.,</w:t>
      </w:r>
      <w:r>
        <w:t xml:space="preserve"> </w:t>
      </w:r>
      <w:r>
        <w:t xml:space="preserve">“</w:t>
      </w:r>
      <w:hyperlink r:id="rId30">
        <w:r>
          <w:rPr>
            <w:rStyle w:val="Hyperlink"/>
          </w:rPr>
          <w:t xml:space="preserve">Functional Information and the Emergence of Biocomplexity</w:t>
        </w:r>
      </w:hyperlink>
      <w:r>
        <w:t xml:space="preserve">,</w:t>
      </w:r>
      <w:r>
        <w:t xml:space="preserve">”</w:t>
      </w:r>
      <w:r>
        <w:t xml:space="preserve"> </w:t>
      </w:r>
      <w:r>
        <w:rPr>
          <w:iCs/>
          <w:i/>
        </w:rPr>
        <w:t xml:space="preserve">PNAS</w:t>
      </w:r>
      <w:r>
        <w:t xml:space="preserve"> </w:t>
      </w:r>
      <w:r>
        <w:t xml:space="preserve">104, suppl. 1 (2007): 8574–8581.</w:t>
      </w:r>
    </w:p>
  </w:footnote>
  <w:footnote w:id="35">
    <w:p>
      <w:pPr>
        <w:pStyle w:val="FootnoteText"/>
      </w:pPr>
      <w:r>
        <w:rPr>
          <w:rStyle w:val="FootnoteReference"/>
        </w:rPr>
        <w:footnoteRef/>
      </w:r>
      <w:r>
        <w:t xml:space="preserve"> </w:t>
      </w:r>
      <w:r>
        <w:t xml:space="preserve">On the Islamic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On Taoist comparisons, see Laozi,</w:t>
      </w:r>
      <w:r>
        <w:t xml:space="preserve"> </w:t>
      </w:r>
      <w:hyperlink r:id="rId36">
        <w:r>
          <w:rPr>
            <w:rStyle w:val="Hyperlink"/>
            <w:iCs/>
            <w:i/>
          </w:rPr>
          <w:t xml:space="preserve">Dao De Jing</w:t>
        </w:r>
      </w:hyperlink>
      <w:r>
        <w:t xml:space="preserve">, especially chapters 25, 37, 48, and 57. These are comparisons within the paper’s framework, not claims of doctrinal identity.</w:t>
      </w:r>
    </w:p>
  </w:footnote>
  <w:footnote w:id="39">
    <w:p>
      <w:pPr>
        <w:pStyle w:val="FootnoteText"/>
      </w:pPr>
      <w:r>
        <w:rPr>
          <w:rStyle w:val="FootnoteReference"/>
        </w:rPr>
        <w:footnoteRef/>
      </w:r>
      <w:r>
        <w:t xml:space="preserve"> </w:t>
      </w:r>
      <w:r>
        <w:t xml:space="preserve">James Madison,</w:t>
      </w:r>
      <w:r>
        <w:t xml:space="preserve"> </w:t>
      </w:r>
      <w:r>
        <w:t xml:space="preserve">“</w:t>
      </w:r>
      <w:hyperlink r:id="rId40">
        <w:r>
          <w:rPr>
            <w:rStyle w:val="Hyperlink"/>
          </w:rPr>
          <w:t xml:space="preserve">The Federalist No. 51</w:t>
        </w:r>
      </w:hyperlink>
      <w:r>
        <w:t xml:space="preserve">,</w:t>
      </w:r>
      <w:r>
        <w:t xml:space="preserve">”</w:t>
      </w:r>
      <w:r>
        <w:t xml:space="preserve"> </w:t>
      </w:r>
      <w:r>
        <w:t xml:space="preserve">1788; see also the</w:t>
      </w:r>
      <w:r>
        <w:t xml:space="preserve"> </w:t>
      </w:r>
      <w:hyperlink r:id="rId41">
        <w:r>
          <w:rPr>
            <w:rStyle w:val="Hyperlink"/>
          </w:rPr>
          <w:t xml:space="preserve">National Archives overview of the Constitution</w:t>
        </w:r>
      </w:hyperlink>
      <w:r>
        <w:t xml:space="preserve">.</w:t>
      </w:r>
    </w:p>
  </w:footnote>
  <w:footnote w:id="43">
    <w:p>
      <w:pPr>
        <w:pStyle w:val="FootnoteText"/>
      </w:pPr>
      <w:r>
        <w:rPr>
          <w:rStyle w:val="FootnoteReference"/>
        </w:rPr>
        <w:footnoteRef/>
      </w:r>
      <w:r>
        <w:t xml:space="preserve"> </w:t>
      </w:r>
      <w:r>
        <w:t xml:space="preserve">Japan’s Ministry of Education, Culture, Sports, Science and Technology,</w:t>
      </w:r>
      <w:r>
        <w:t xml:space="preserve"> </w:t>
      </w:r>
      <w:r>
        <w:t xml:space="preserve">“</w:t>
      </w:r>
      <w:hyperlink r:id="rId44">
        <w:r>
          <w:rPr>
            <w:rStyle w:val="Hyperlink"/>
          </w:rPr>
          <w:t xml:space="preserve">Education at the End of the Shogunate</w:t>
        </w:r>
      </w:hyperlink>
      <w:r>
        <w:t xml:space="preserve">”</w:t>
      </w:r>
      <w:r>
        <w:t xml:space="preserve"> </w:t>
      </w:r>
      <w:r>
        <w:t xml:space="preserve">and</w:t>
      </w:r>
      <w:r>
        <w:t xml:space="preserve"> </w:t>
      </w:r>
      <w:r>
        <w:t xml:space="preserve">“</w:t>
      </w:r>
      <w:hyperlink r:id="rId45">
        <w:r>
          <w:rPr>
            <w:rStyle w:val="Hyperlink"/>
          </w:rPr>
          <w:t xml:space="preserve">The Educational Policy of the New Meiji Government</w:t>
        </w:r>
      </w:hyperlink>
      <w:r>
        <w:t xml:space="preserve">,</w:t>
      </w:r>
      <w:r>
        <w:t xml:space="preserve">”</w:t>
      </w:r>
      <w:r>
        <w:t xml:space="preserve"> </w:t>
      </w:r>
      <w:r>
        <w:rPr>
          <w:iCs/>
          <w:i/>
        </w:rPr>
        <w:t xml:space="preserve">Japan’s Modern Educational System</w:t>
      </w:r>
      <w:r>
        <w:t xml:space="preserve">; National Diet Library,</w:t>
      </w:r>
      <w:r>
        <w:t xml:space="preserve"> </w:t>
      </w:r>
      <w:r>
        <w:t xml:space="preserve">“</w:t>
      </w:r>
      <w:hyperlink r:id="rId46">
        <w:r>
          <w:rPr>
            <w:rStyle w:val="Hyperlink"/>
          </w:rPr>
          <w:t xml:space="preserve">The Constitution of Japan</w:t>
        </w:r>
      </w:hyperlink>
      <w:r>
        <w:t xml:space="preserve">”</w:t>
      </w:r>
      <w:r>
        <w:t xml:space="preserve">; United Nations Development Programme,</w:t>
      </w:r>
      <w:r>
        <w:t xml:space="preserve"> </w:t>
      </w:r>
      <w:hyperlink r:id="rId47">
        <w:r>
          <w:rPr>
            <w:rStyle w:val="Hyperlink"/>
            <w:iCs/>
            <w:i/>
          </w:rPr>
          <w:t xml:space="preserve">Human Development Report 1996</w:t>
        </w:r>
      </w:hyperlink>
      <w:r>
        <w:t xml:space="preserve">, box 2.3. These sources document both indigenous educational foundations and later gains through institutional adaptation and postwar reconstruction.</w:t>
      </w:r>
    </w:p>
  </w:footnote>
  <w:footnote w:id="49">
    <w:p>
      <w:pPr>
        <w:pStyle w:val="FootnoteText"/>
      </w:pPr>
      <w:r>
        <w:rPr>
          <w:rStyle w:val="FootnoteReference"/>
        </w:rPr>
        <w:footnoteRef/>
      </w:r>
      <w:r>
        <w:t xml:space="preserve"> </w:t>
      </w:r>
      <w:r>
        <w:t xml:space="preserve">Pew Research Center,</w:t>
      </w:r>
      <w:r>
        <w:t xml:space="preserve"> </w:t>
      </w:r>
      <w:r>
        <w:t xml:space="preserve">“</w:t>
      </w:r>
      <w:hyperlink r:id="rId50">
        <w:r>
          <w:rPr>
            <w:rStyle w:val="Hyperlink"/>
          </w:rPr>
          <w:t xml:space="preserve">Decline of Christianity in the U.S. Has Slowed, May Have Leveled Off</w:t>
        </w:r>
      </w:hyperlink>
      <w:r>
        <w:t xml:space="preserve">,</w:t>
      </w:r>
      <w:r>
        <w:t xml:space="preserve">”</w:t>
      </w:r>
      <w:r>
        <w:t xml:space="preserve"> </w:t>
      </w:r>
      <w:r>
        <w:t xml:space="preserve">2023–24 Religious Landscape Study, February 26, 2025. The long-term figures are based on the comparable 2007, 2014, and 2023–24 landscape studies; the report cautions that recent annual estimates have been relatively stable.</w:t>
      </w:r>
    </w:p>
  </w:footnote>
  <w:footnote w:id="51">
    <w:p>
      <w:pPr>
        <w:pStyle w:val="FootnoteText"/>
      </w:pPr>
      <w:r>
        <w:rPr>
          <w:rStyle w:val="FootnoteReference"/>
        </w:rPr>
        <w:footnoteRef/>
      </w:r>
      <w:r>
        <w:t xml:space="preserve"> </w:t>
      </w:r>
      <w:r>
        <w:t xml:space="preserve">Pew Research Center,</w:t>
      </w:r>
      <w:r>
        <w:t xml:space="preserve"> </w:t>
      </w:r>
      <w:r>
        <w:t xml:space="preserve">“</w:t>
      </w:r>
      <w:hyperlink r:id="rId52">
        <w:r>
          <w:rPr>
            <w:rStyle w:val="Hyperlink"/>
          </w:rPr>
          <w:t xml:space="preserve">Americans’ Trust in One Another</w:t>
        </w:r>
      </w:hyperlink>
      <w:r>
        <w:t xml:space="preserve">,</w:t>
      </w:r>
      <w:r>
        <w:t xml:space="preserve">”</w:t>
      </w:r>
      <w:r>
        <w:t xml:space="preserve"> </w:t>
      </w:r>
      <w:r>
        <w:t xml:space="preserve">May 8, 2025; Megan Brenan,</w:t>
      </w:r>
      <w:r>
        <w:t xml:space="preserve"> </w:t>
      </w:r>
      <w:r>
        <w:t xml:space="preserve">“</w:t>
      </w:r>
      <w:hyperlink r:id="rId53">
        <w:r>
          <w:rPr>
            <w:rStyle w:val="Hyperlink"/>
          </w:rPr>
          <w:t xml:space="preserve">Views of State of Moral Values in U.S. at New Low</w:t>
        </w:r>
      </w:hyperlink>
      <w:r>
        <w:t xml:space="preserve">,</w:t>
      </w:r>
      <w:r>
        <w:t xml:space="preserve">”</w:t>
      </w:r>
      <w:r>
        <w:t xml:space="preserve"> </w:t>
      </w:r>
      <w:r>
        <w:t xml:space="preserve">Gallup, June 9, 2023. Gallup measured public perception of moral conditions, not an objective aggregate moral score.</w:t>
      </w:r>
    </w:p>
  </w:footnote>
  <w:footnote w:id="54">
    <w:p>
      <w:pPr>
        <w:pStyle w:val="FootnoteText"/>
      </w:pPr>
      <w:r>
        <w:rPr>
          <w:rStyle w:val="FootnoteReference"/>
        </w:rPr>
        <w:footnoteRef/>
      </w:r>
      <w:r>
        <w:t xml:space="preserve"> </w:t>
      </w:r>
      <w:r>
        <w:t xml:space="preserve">Pew Research Center,</w:t>
      </w:r>
      <w:r>
        <w:t xml:space="preserve"> </w:t>
      </w:r>
      <w:r>
        <w:t xml:space="preserve">“</w:t>
      </w:r>
      <w:hyperlink r:id="rId55">
        <w:r>
          <w:rPr>
            <w:rStyle w:val="Hyperlink"/>
          </w:rPr>
          <w:t xml:space="preserve">Religion in Everyday Life</w:t>
        </w:r>
      </w:hyperlink>
      <w:r>
        <w:t xml:space="preserve">,</w:t>
      </w:r>
      <w:r>
        <w:t xml:space="preserve">”</w:t>
      </w:r>
      <w:r>
        <w:t xml:space="preserve"> </w:t>
      </w:r>
      <w:r>
        <w:t xml:space="preserve">April 12, 2016; Pew Research Center,</w:t>
      </w:r>
      <w:r>
        <w:t xml:space="preserve"> </w:t>
      </w:r>
      <w:r>
        <w:t xml:space="preserve">“</w:t>
      </w:r>
      <w:hyperlink r:id="rId56">
        <w:r>
          <w:rPr>
            <w:rStyle w:val="Hyperlink"/>
          </w:rPr>
          <w:t xml:space="preserve">Religion’s Relationship to Happiness, Civic Engagement and Health Around the World</w:t>
        </w:r>
      </w:hyperlink>
      <w:r>
        <w:t xml:space="preserve">,</w:t>
      </w:r>
      <w:r>
        <w:t xml:space="preserve">”</w:t>
      </w:r>
      <w:r>
        <w:t xml:space="preserve"> </w:t>
      </w:r>
      <w:r>
        <w:t xml:space="preserve">January 31, 2019. These are associations and do not by themselves establish causation.</w:t>
      </w:r>
    </w:p>
  </w:footnote>
  <w:footnote w:id="57">
    <w:p>
      <w:pPr>
        <w:pStyle w:val="FootnoteText"/>
      </w:pPr>
      <w:r>
        <w:rPr>
          <w:rStyle w:val="FootnoteReference"/>
        </w:rPr>
        <w:footnoteRef/>
      </w:r>
      <w:r>
        <w:t xml:space="preserve"> </w:t>
      </w:r>
      <w:r>
        <w:t xml:space="preserve">George Washington,</w:t>
      </w:r>
      <w:r>
        <w:t xml:space="preserve"> </w:t>
      </w:r>
      <w:r>
        <w:t xml:space="preserve">“</w:t>
      </w:r>
      <w:hyperlink r:id="rId58">
        <w:r>
          <w:rPr>
            <w:rStyle w:val="Hyperlink"/>
          </w:rPr>
          <w:t xml:space="preserve">Farewell Address</w:t>
        </w:r>
      </w:hyperlink>
      <w:r>
        <w:t xml:space="preserve">,</w:t>
      </w:r>
      <w:r>
        <w:t xml:space="preserve">”</w:t>
      </w:r>
      <w:r>
        <w:t xml:space="preserve"> </w:t>
      </w:r>
      <w:r>
        <w:t xml:space="preserve">September 19, 1796. Washington described religion and morality as supports of political prosperity and virtue as necessary to popular government. The paper invokes the structural point, not the proposition that only religious people can act morally.</w:t>
      </w:r>
    </w:p>
  </w:footnote>
  <w:footnote w:id="60">
    <w:p>
      <w:pPr>
        <w:pStyle w:val="FootnoteText"/>
      </w:pPr>
      <w:r>
        <w:rPr>
          <w:rStyle w:val="FootnoteReference"/>
        </w:rPr>
        <w:footnoteRef/>
      </w:r>
      <w:r>
        <w:t xml:space="preserve"> </w:t>
      </w:r>
      <w:r>
        <w:t xml:space="preserve">Ashish Vaswani et al.,</w:t>
      </w:r>
      <w:r>
        <w:t xml:space="preserve"> </w:t>
      </w:r>
      <w:r>
        <w:t xml:space="preserve">“</w:t>
      </w:r>
      <w:hyperlink r:id="rId61">
        <w:r>
          <w:rPr>
            <w:rStyle w:val="Hyperlink"/>
          </w:rPr>
          <w:t xml:space="preserve">Attention Is All You Need</w:t>
        </w:r>
      </w:hyperlink>
      <w:r>
        <w:t xml:space="preserve">”</w:t>
      </w:r>
      <w:r>
        <w:t xml:space="preserve"> </w:t>
      </w:r>
      <w:r>
        <w:t xml:space="preserve">(2017). The paper’s evaluative claims about AI do not follow from the transformer architecture itself.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arxiv.org/abs/1706.03762" TargetMode="External" /><Relationship Type="http://schemas.openxmlformats.org/officeDocument/2006/relationships/hyperlink" Id="rId47" Target="https://digitallibrary.un.org/nanna/record/217943/files/hdr1996encompletenostats.pdf?registerDownload=1&amp;version=1&amp;withMetadata=0&amp;withWatermark=0" TargetMode="External" /><Relationship Type="http://schemas.openxmlformats.org/officeDocument/2006/relationships/hyperlink" Id="rId40" Target="https://founders.archives.gov/documents/Hamilton/01-04-02-0199" TargetMode="External" /><Relationship Type="http://schemas.openxmlformats.org/officeDocument/2006/relationships/hyperlink" Id="rId58" Target="https://founders.archives.gov/documents/Washington/05-20-02-0440-0002" TargetMode="External" /><Relationship Type="http://schemas.openxmlformats.org/officeDocument/2006/relationships/hyperlink" Id="rId53"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41" Target="https://www.archives.gov/founding-docs/constitution/what-does-it-say" TargetMode="External" /><Relationship Type="http://schemas.openxmlformats.org/officeDocument/2006/relationships/hyperlink" Id="rId36"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44" Target="https://www.mext.go.jp/b_menu/hakusho/html/others/detail/1317225.htm" TargetMode="External" /><Relationship Type="http://schemas.openxmlformats.org/officeDocument/2006/relationships/hyperlink" Id="rId45" Target="https://www.mext.go.jp/b_menu/hakusho/html/others/detail/1317232.htm" TargetMode="External" /><Relationship Type="http://schemas.openxmlformats.org/officeDocument/2006/relationships/hyperlink" Id="rId29" Target="https://www.nature.com/articles/374227a0" TargetMode="External" /><Relationship Type="http://schemas.openxmlformats.org/officeDocument/2006/relationships/hyperlink" Id="rId46" Target="https://www.ndl.go.jp/constitution/e/etc/c01.html"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52" Target="https://www.pewresearch.org/global/2025/05/08/americans-trust-in-one-another/" TargetMode="External" /><Relationship Type="http://schemas.openxmlformats.org/officeDocument/2006/relationships/hyperlink" Id="rId50" Target="https://www.pewresearch.org/religion/2025/02/26/decline-of-christianity-in-the-us-has-slowed-may-have-leveled-off/" TargetMode="External" /><Relationship Type="http://schemas.openxmlformats.org/officeDocument/2006/relationships/hyperlink" Id="rId55" Target="https://www.pewresearch.org/religious-landscape-study/2016/04/12/religion-in-everyday-life/" TargetMode="External" /><Relationship Type="http://schemas.openxmlformats.org/officeDocument/2006/relationships/hyperlink" Id="rId56" Target="https://www.pewresearch.org/religious-landscape-study/2019/01/31/religions-relationship-to-happiness-civic-engagement-and-health-around-the-world/" TargetMode="External" /></Relationships>
</file>

<file path=word/_rels/footnotes.xml.rels><?xml version="1.0" encoding="UTF-8"?><Relationships xmlns="http://schemas.openxmlformats.org/package/2006/relationships"><Relationship Type="http://schemas.openxmlformats.org/officeDocument/2006/relationships/hyperlink" Id="rId61" Target="https://arxiv.org/abs/1706.03762" TargetMode="External" /><Relationship Type="http://schemas.openxmlformats.org/officeDocument/2006/relationships/hyperlink" Id="rId47" Target="https://digitallibrary.un.org/nanna/record/217943/files/hdr1996encompletenostats.pdf?registerDownload=1&amp;version=1&amp;withMetadata=0&amp;withWatermark=0" TargetMode="External" /><Relationship Type="http://schemas.openxmlformats.org/officeDocument/2006/relationships/hyperlink" Id="rId40" Target="https://founders.archives.gov/documents/Hamilton/01-04-02-0199" TargetMode="External" /><Relationship Type="http://schemas.openxmlformats.org/officeDocument/2006/relationships/hyperlink" Id="rId58" Target="https://founders.archives.gov/documents/Washington/05-20-02-0440-0002" TargetMode="External" /><Relationship Type="http://schemas.openxmlformats.org/officeDocument/2006/relationships/hyperlink" Id="rId53"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41" Target="https://www.archives.gov/founding-docs/constitution/what-does-it-say" TargetMode="External" /><Relationship Type="http://schemas.openxmlformats.org/officeDocument/2006/relationships/hyperlink" Id="rId36"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44" Target="https://www.mext.go.jp/b_menu/hakusho/html/others/detail/1317225.htm" TargetMode="External" /><Relationship Type="http://schemas.openxmlformats.org/officeDocument/2006/relationships/hyperlink" Id="rId45" Target="https://www.mext.go.jp/b_menu/hakusho/html/others/detail/1317232.htm" TargetMode="External" /><Relationship Type="http://schemas.openxmlformats.org/officeDocument/2006/relationships/hyperlink" Id="rId29" Target="https://www.nature.com/articles/374227a0" TargetMode="External" /><Relationship Type="http://schemas.openxmlformats.org/officeDocument/2006/relationships/hyperlink" Id="rId46" Target="https://www.ndl.go.jp/constitution/e/etc/c01.html"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52" Target="https://www.pewresearch.org/global/2025/05/08/americans-trust-in-one-another/" TargetMode="External" /><Relationship Type="http://schemas.openxmlformats.org/officeDocument/2006/relationships/hyperlink" Id="rId50" Target="https://www.pewresearch.org/religion/2025/02/26/decline-of-christianity-in-the-us-has-slowed-may-have-leveled-off/" TargetMode="External" /><Relationship Type="http://schemas.openxmlformats.org/officeDocument/2006/relationships/hyperlink" Id="rId55" Target="https://www.pewresearch.org/religious-landscape-study/2016/04/12/religion-in-everyday-life/" TargetMode="External" /><Relationship Type="http://schemas.openxmlformats.org/officeDocument/2006/relationships/hyperlink" Id="rId56" Target="https://www.pewresearch.org/religious-landscape-study/2019/01/31/religions-relationship-to-happiness-civic-engagement-and-health-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2026-09-12T18:38:08Z</dcterms:created>
  <dcterms:modified xsi:type="dcterms:W3CDTF">2026-09-12T18:38:08Z</dcterms:modified>
</cp:coreProperties>
</file>

<file path=docProps/custom.xml><?xml version="1.0" encoding="utf-8"?>
<Properties xmlns="http://schemas.openxmlformats.org/officeDocument/2006/custom-properties" xmlns:vt="http://schemas.openxmlformats.org/officeDocument/2006/docPropsVTypes"/>
</file>