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8F6F1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color w:val="000000"/>
          <w:sz w:val="36"/>
          <w:szCs w:val="36"/>
        </w:rPr>
        <w:t>浙江大学工程师学院硕士/博士研究生</w:t>
      </w:r>
    </w:p>
    <w:p w14:paraId="42173787">
      <w:pPr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36"/>
          <w:szCs w:val="36"/>
        </w:rPr>
        <w:t>论文中期进展报告</w:t>
      </w:r>
    </w:p>
    <w:p w14:paraId="06960575">
      <w:pPr>
        <w:jc w:val="center"/>
        <w:rPr>
          <w:color w:val="000000"/>
        </w:rPr>
      </w:pPr>
      <w:r>
        <w:rPr>
          <w:color w:val="000000"/>
        </w:rPr>
        <w:pict>
          <v:shape id="_x0000_s1026" o:spid="_x0000_s1026" o:spt="75" type="#_x0000_t75" style="position:absolute;left:0pt;margin-left:148.75pt;margin-top:22.85pt;height:115.7pt;width:122.25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topAndBottom"/>
          </v:shape>
          <o:OLEObject Type="Embed" ProgID="MSPhotoEd.3" ShapeID="_x0000_s1026" DrawAspect="Content" ObjectID="_1468075725" r:id="rId5">
            <o:LockedField>false</o:LockedField>
          </o:OLEObject>
        </w:pict>
      </w:r>
    </w:p>
    <w:p w14:paraId="1F9F0B88">
      <w:pPr>
        <w:jc w:val="both"/>
        <w:rPr>
          <w:color w:val="000000"/>
        </w:rPr>
      </w:pPr>
    </w:p>
    <w:p w14:paraId="166FD6EF">
      <w:pPr>
        <w:jc w:val="center"/>
        <w:rPr>
          <w:color w:val="000000"/>
        </w:rPr>
      </w:pPr>
    </w:p>
    <w:p w14:paraId="0F735A8C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中文论文题目 ：</w:t>
      </w:r>
      <w:r>
        <w:rPr>
          <w:rFonts w:hint="eastAsia"/>
          <w:color w:val="000000"/>
          <w:position w:val="-6"/>
          <w:sz w:val="28"/>
          <w:u w:val="single"/>
        </w:rPr>
        <w:t xml:space="preserve">  </w:t>
      </w:r>
      <w:r>
        <w:rPr>
          <w:rFonts w:hint="eastAsia"/>
          <w:color w:val="000000"/>
          <w:position w:val="-6"/>
          <w:sz w:val="28"/>
          <w:szCs w:val="22"/>
          <w:u w:val="single"/>
        </w:rPr>
        <w:t>面向边缘云环境的深度神经网络安全分布式推理优化研究</w:t>
      </w:r>
      <w:r>
        <w:rPr>
          <w:rFonts w:hint="eastAsia"/>
          <w:color w:val="000000"/>
          <w:position w:val="-6"/>
          <w:sz w:val="28"/>
          <w:u w:val="single"/>
        </w:rPr>
        <w:t xml:space="preserve">  </w:t>
      </w:r>
    </w:p>
    <w:p w14:paraId="71C472C7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 xml:space="preserve">英文论文题目： </w:t>
      </w:r>
      <w:r>
        <w:rPr>
          <w:rFonts w:hint="eastAsia"/>
          <w:color w:val="000000"/>
          <w:position w:val="-6"/>
          <w:sz w:val="28"/>
          <w:u w:val="single"/>
        </w:rPr>
        <w:t xml:space="preserve">   Secure Distributed Deep Neural Network Inference Optimization for Edge Cloud Environments                            </w:t>
      </w:r>
    </w:p>
    <w:p w14:paraId="50D3E077">
      <w:pPr>
        <w:spacing w:line="360" w:lineRule="auto"/>
        <w:ind w:left="839"/>
        <w:jc w:val="left"/>
        <w:rPr>
          <w:color w:val="000000"/>
          <w:kern w:val="0"/>
          <w:sz w:val="28"/>
        </w:rPr>
      </w:pPr>
    </w:p>
    <w:p w14:paraId="229D0BC8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姓     名：</w:t>
      </w:r>
      <w:r>
        <w:rPr>
          <w:rFonts w:hint="eastAsia"/>
          <w:color w:val="000000"/>
          <w:position w:val="-6"/>
          <w:sz w:val="28"/>
          <w:u w:val="single"/>
        </w:rPr>
        <w:t xml:space="preserve">     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       王子平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   </w:t>
      </w:r>
    </w:p>
    <w:p w14:paraId="7F8F4385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0E9A12E0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学     号：</w:t>
      </w:r>
      <w:r>
        <w:rPr>
          <w:rFonts w:hint="eastAsia"/>
          <w:color w:val="000000"/>
          <w:position w:val="-6"/>
          <w:sz w:val="28"/>
          <w:u w:val="single"/>
        </w:rPr>
        <w:t xml:space="preserve">  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         22360149    </w:t>
      </w:r>
      <w:r>
        <w:rPr>
          <w:rFonts w:hint="eastAsia"/>
          <w:color w:val="000000"/>
          <w:position w:val="-6"/>
          <w:sz w:val="28"/>
          <w:u w:val="single"/>
        </w:rPr>
        <w:t xml:space="preserve">              </w:t>
      </w:r>
    </w:p>
    <w:p w14:paraId="4648031C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4B82D2DD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sz w:val="28"/>
        </w:rPr>
        <w:t>指导教师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color w:val="000000"/>
          <w:position w:val="-6"/>
          <w:sz w:val="28"/>
          <w:u w:val="single"/>
        </w:rPr>
        <w:t xml:space="preserve">      </w:t>
      </w:r>
      <w:r>
        <w:rPr>
          <w:color w:val="000000"/>
          <w:position w:val="-6"/>
          <w:sz w:val="28"/>
          <w:u w:val="single"/>
        </w:rPr>
        <w:t xml:space="preserve">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</w:rPr>
        <w:t xml:space="preserve">   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   董玮</w:t>
      </w:r>
      <w:r>
        <w:rPr>
          <w:rFonts w:hint="eastAsia"/>
          <w:color w:val="000000"/>
          <w:position w:val="-6"/>
          <w:sz w:val="28"/>
          <w:u w:val="single"/>
        </w:rPr>
        <w:t xml:space="preserve"> 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position w:val="-6"/>
          <w:sz w:val="28"/>
          <w:u w:val="single"/>
        </w:rPr>
        <w:t xml:space="preserve">    </w:t>
      </w:r>
      <w:r>
        <w:rPr>
          <w:color w:val="000000"/>
          <w:position w:val="-6"/>
          <w:sz w:val="28"/>
          <w:u w:val="single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</w:rPr>
        <w:t xml:space="preserve">       </w:t>
      </w:r>
    </w:p>
    <w:p w14:paraId="01BDC167">
      <w:pPr>
        <w:spacing w:line="360" w:lineRule="auto"/>
        <w:ind w:left="839"/>
        <w:jc w:val="left"/>
        <w:rPr>
          <w:color w:val="000000"/>
          <w:position w:val="-6"/>
          <w:sz w:val="28"/>
          <w:u w:val="single"/>
        </w:rPr>
      </w:pPr>
    </w:p>
    <w:p w14:paraId="6159CE72">
      <w:pPr>
        <w:spacing w:line="360" w:lineRule="auto"/>
        <w:ind w:left="839"/>
        <w:jc w:val="left"/>
        <w:rPr>
          <w:color w:val="000000"/>
          <w:kern w:val="0"/>
          <w:sz w:val="28"/>
        </w:rPr>
      </w:pPr>
      <w:r>
        <w:rPr>
          <w:rFonts w:hint="eastAsia"/>
          <w:color w:val="000000"/>
          <w:kern w:val="0"/>
          <w:position w:val="-6"/>
          <w:sz w:val="28"/>
        </w:rPr>
        <w:t>卓越培养项目/专业类别领域</w:t>
      </w:r>
      <w:r>
        <w:rPr>
          <w:rFonts w:hint="eastAsia"/>
          <w:color w:val="000000"/>
          <w:position w:val="-6"/>
          <w:sz w:val="28"/>
        </w:rPr>
        <w:t>：</w:t>
      </w:r>
      <w:r>
        <w:rPr>
          <w:rFonts w:hint="eastAsia"/>
          <w:color w:val="000000"/>
          <w:position w:val="-6"/>
          <w:sz w:val="28"/>
          <w:u w:val="single"/>
        </w:rPr>
        <w:t xml:space="preserve"> </w:t>
      </w:r>
      <w:r>
        <w:rPr>
          <w:rFonts w:hint="eastAsia"/>
          <w:color w:val="000000"/>
          <w:position w:val="-6"/>
          <w:sz w:val="28"/>
          <w:u w:val="single"/>
          <w:lang w:val="en-US" w:eastAsia="zh-CN"/>
        </w:rPr>
        <w:t xml:space="preserve">  移动智慧物联网</w:t>
      </w:r>
      <w:r>
        <w:rPr>
          <w:rFonts w:hint="eastAsia"/>
          <w:color w:val="000000"/>
          <w:position w:val="-6"/>
          <w:sz w:val="28"/>
          <w:u w:val="single"/>
        </w:rPr>
        <w:t xml:space="preserve">       </w:t>
      </w:r>
    </w:p>
    <w:p w14:paraId="16CCEA51">
      <w:pPr>
        <w:spacing w:line="360" w:lineRule="auto"/>
        <w:ind w:left="839" w:firstLine="1141"/>
        <w:jc w:val="left"/>
        <w:rPr>
          <w:color w:val="000000"/>
          <w:position w:val="-6"/>
          <w:sz w:val="28"/>
          <w:u w:val="single"/>
        </w:rPr>
      </w:pPr>
    </w:p>
    <w:p w14:paraId="4B1A1755">
      <w:pPr>
        <w:spacing w:line="360" w:lineRule="auto"/>
        <w:ind w:left="839" w:firstLine="1141"/>
        <w:jc w:val="left"/>
        <w:rPr>
          <w:color w:val="000000"/>
          <w:position w:val="-6"/>
          <w:sz w:val="28"/>
          <w:u w:val="single"/>
        </w:rPr>
      </w:pPr>
    </w:p>
    <w:p w14:paraId="3F65D4B6">
      <w:pPr>
        <w:spacing w:line="360" w:lineRule="auto"/>
        <w:ind w:firstLine="1960" w:firstLineChars="700"/>
        <w:jc w:val="left"/>
        <w:rPr>
          <w:color w:val="000000"/>
          <w:kern w:val="0"/>
          <w:position w:val="-6"/>
          <w:sz w:val="28"/>
        </w:rPr>
      </w:pPr>
      <w:r>
        <w:rPr>
          <w:rFonts w:hint="eastAsia"/>
          <w:color w:val="000000"/>
          <w:kern w:val="0"/>
          <w:position w:val="-6"/>
          <w:sz w:val="28"/>
        </w:rPr>
        <w:t xml:space="preserve">提交日期 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2025</w:t>
      </w:r>
      <w:r>
        <w:rPr>
          <w:rFonts w:hint="eastAsia"/>
          <w:color w:val="000000"/>
          <w:kern w:val="0"/>
          <w:position w:val="-6"/>
          <w:sz w:val="28"/>
        </w:rPr>
        <w:t xml:space="preserve"> 年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9</w:t>
      </w:r>
      <w:r>
        <w:rPr>
          <w:rFonts w:hint="eastAsia"/>
          <w:color w:val="000000"/>
          <w:kern w:val="0"/>
          <w:position w:val="-6"/>
          <w:sz w:val="28"/>
        </w:rPr>
        <w:t xml:space="preserve">  月  </w:t>
      </w:r>
      <w:r>
        <w:rPr>
          <w:rFonts w:hint="eastAsia"/>
          <w:color w:val="000000"/>
          <w:kern w:val="0"/>
          <w:position w:val="-6"/>
          <w:sz w:val="28"/>
          <w:lang w:val="en-US" w:eastAsia="zh-CN"/>
        </w:rPr>
        <w:t>11</w:t>
      </w:r>
      <w:r>
        <w:rPr>
          <w:rFonts w:hint="eastAsia"/>
          <w:color w:val="000000"/>
          <w:kern w:val="0"/>
          <w:position w:val="-6"/>
          <w:sz w:val="28"/>
        </w:rPr>
        <w:t xml:space="preserve">  日</w:t>
      </w:r>
    </w:p>
    <w:p w14:paraId="69627FB3"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 xml:space="preserve">目 </w:t>
      </w:r>
      <w:r>
        <w:rPr>
          <w:rFonts w:ascii="黑体" w:hAnsi="黑体" w:eastAsia="黑体"/>
          <w:sz w:val="36"/>
          <w:szCs w:val="36"/>
        </w:rPr>
        <w:t xml:space="preserve">  </w:t>
      </w:r>
      <w:r>
        <w:rPr>
          <w:rFonts w:hint="eastAsia" w:ascii="黑体" w:hAnsi="黑体" w:eastAsia="黑体"/>
          <w:sz w:val="36"/>
          <w:szCs w:val="36"/>
        </w:rPr>
        <w:t>录</w:t>
      </w:r>
    </w:p>
    <w:p w14:paraId="04744E67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已完成的论文工作及取得的阶段性成果</w:t>
      </w:r>
      <w:r>
        <w:rPr>
          <w:rFonts w:ascii="仿宋" w:hAnsi="仿宋" w:eastAsia="仿宋"/>
          <w:sz w:val="28"/>
          <w:szCs w:val="28"/>
        </w:rPr>
        <w:t>……………………………</w:t>
      </w:r>
    </w:p>
    <w:p w14:paraId="59E5D7B3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1.1</w:t>
      </w:r>
      <w:r>
        <w:rPr>
          <w:rFonts w:hint="eastAsia" w:ascii="仿宋" w:hAnsi="仿宋" w:eastAsia="仿宋"/>
          <w:sz w:val="28"/>
          <w:szCs w:val="28"/>
        </w:rPr>
        <w:t>总体工作进展</w:t>
      </w:r>
      <w:r>
        <w:rPr>
          <w:rFonts w:ascii="仿宋" w:hAnsi="仿宋" w:eastAsia="仿宋"/>
          <w:sz w:val="28"/>
          <w:szCs w:val="28"/>
        </w:rPr>
        <w:t>……………………………………………………</w:t>
      </w:r>
    </w:p>
    <w:p w14:paraId="7860B1CE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1.2</w:t>
      </w:r>
      <w:r>
        <w:rPr>
          <w:rFonts w:hint="eastAsia" w:ascii="仿宋" w:hAnsi="仿宋" w:eastAsia="仿宋"/>
          <w:sz w:val="28"/>
          <w:szCs w:val="28"/>
        </w:rPr>
        <w:t>各章节完成情况及取得的阶段性成果</w:t>
      </w:r>
      <w:r>
        <w:rPr>
          <w:rFonts w:ascii="仿宋" w:hAnsi="仿宋" w:eastAsia="仿宋"/>
          <w:sz w:val="28"/>
          <w:szCs w:val="28"/>
        </w:rPr>
        <w:t>…………………………</w:t>
      </w:r>
    </w:p>
    <w:p w14:paraId="426C3B59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 xml:space="preserve">2 </w:t>
      </w:r>
      <w:r>
        <w:rPr>
          <w:rFonts w:hint="eastAsia" w:ascii="仿宋" w:hAnsi="仿宋" w:eastAsia="仿宋"/>
          <w:sz w:val="28"/>
          <w:szCs w:val="28"/>
        </w:rPr>
        <w:t>与开题报告的不符情况说明</w:t>
      </w:r>
      <w:r>
        <w:rPr>
          <w:rFonts w:ascii="仿宋" w:hAnsi="仿宋" w:eastAsia="仿宋"/>
          <w:sz w:val="28"/>
          <w:szCs w:val="28"/>
        </w:rPr>
        <w:t>…………………………………………</w:t>
      </w:r>
    </w:p>
    <w:p w14:paraId="39496DD5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下一步论文工作安排</w:t>
      </w:r>
      <w:r>
        <w:rPr>
          <w:rFonts w:ascii="仿宋" w:hAnsi="仿宋" w:eastAsia="仿宋"/>
          <w:sz w:val="28"/>
          <w:szCs w:val="28"/>
        </w:rPr>
        <w:t>…………………………………………………</w:t>
      </w:r>
    </w:p>
    <w:p w14:paraId="33B15770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3.1</w:t>
      </w:r>
      <w:r>
        <w:rPr>
          <w:rFonts w:hint="eastAsia" w:ascii="仿宋" w:hAnsi="仿宋" w:eastAsia="仿宋"/>
          <w:sz w:val="28"/>
          <w:szCs w:val="28"/>
        </w:rPr>
        <w:t>重难点分析及拟采取的解决措施</w:t>
      </w:r>
      <w:r>
        <w:rPr>
          <w:rFonts w:ascii="仿宋" w:hAnsi="仿宋" w:eastAsia="仿宋"/>
          <w:sz w:val="28"/>
          <w:szCs w:val="28"/>
        </w:rPr>
        <w:t>………………………………</w:t>
      </w:r>
    </w:p>
    <w:p w14:paraId="709B6E22">
      <w:pPr>
        <w:spacing w:line="720" w:lineRule="exact"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ab/>
      </w:r>
      <w:r>
        <w:rPr>
          <w:rFonts w:ascii="仿宋" w:hAnsi="仿宋" w:eastAsia="仿宋"/>
          <w:sz w:val="28"/>
          <w:szCs w:val="28"/>
        </w:rPr>
        <w:t>3.2</w:t>
      </w:r>
      <w:r>
        <w:rPr>
          <w:rFonts w:hint="eastAsia" w:ascii="仿宋" w:hAnsi="仿宋" w:eastAsia="仿宋"/>
          <w:sz w:val="28"/>
          <w:szCs w:val="28"/>
        </w:rPr>
        <w:t>具体工作安排</w:t>
      </w:r>
      <w:r>
        <w:rPr>
          <w:rFonts w:ascii="仿宋" w:hAnsi="仿宋" w:eastAsia="仿宋"/>
          <w:sz w:val="28"/>
          <w:szCs w:val="28"/>
        </w:rPr>
        <w:t>……………………………………………………</w:t>
      </w:r>
    </w:p>
    <w:p w14:paraId="6B9FEF16">
      <w:pPr>
        <w:spacing w:line="720" w:lineRule="exact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已经撰写的论文章节内容</w:t>
      </w:r>
      <w:r>
        <w:rPr>
          <w:rFonts w:ascii="仿宋" w:hAnsi="仿宋" w:eastAsia="仿宋"/>
          <w:sz w:val="28"/>
          <w:szCs w:val="28"/>
        </w:rPr>
        <w:t>……………………………………………</w:t>
      </w:r>
    </w:p>
    <w:p w14:paraId="4A7645C0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特别要包括较为详细的学位论文第一章和第二章（包含文献综述、论文研究目的和意义、论文的主要研究内容）、论文提纲（包含论文三级目录）。</w:t>
      </w:r>
    </w:p>
    <w:p w14:paraId="0CA99CC5"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格式与字体要求可参考《</w:t>
      </w:r>
      <w:r>
        <w:rPr>
          <w:rFonts w:ascii="仿宋" w:hAnsi="仿宋" w:eastAsia="仿宋"/>
          <w:sz w:val="28"/>
          <w:szCs w:val="28"/>
        </w:rPr>
        <w:t>浙江大学</w:t>
      </w:r>
      <w:r>
        <w:rPr>
          <w:rFonts w:hint="eastAsia" w:ascii="仿宋" w:hAnsi="仿宋" w:eastAsia="仿宋"/>
          <w:sz w:val="28"/>
          <w:szCs w:val="28"/>
        </w:rPr>
        <w:t>研究生开题报告</w:t>
      </w:r>
      <w:r>
        <w:rPr>
          <w:rFonts w:ascii="仿宋" w:hAnsi="仿宋" w:eastAsia="仿宋"/>
          <w:sz w:val="28"/>
          <w:szCs w:val="28"/>
        </w:rPr>
        <w:t>》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4E247D15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6E431E32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3BB45AE2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48C912E1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016C0847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0CFC640C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088314F4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57F8B654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42345AE9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0E1D15DF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570499B8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3DCFF47D">
      <w:pPr>
        <w:spacing w:line="420" w:lineRule="exact"/>
        <w:jc w:val="left"/>
        <w:rPr>
          <w:rFonts w:hint="eastAsia" w:ascii="仿宋" w:hAnsi="仿宋" w:eastAsia="仿宋"/>
          <w:sz w:val="28"/>
          <w:szCs w:val="28"/>
        </w:rPr>
      </w:pPr>
    </w:p>
    <w:p w14:paraId="7964346D">
      <w:pPr>
        <w:pStyle w:val="2"/>
        <w:numPr>
          <w:ilvl w:val="0"/>
          <w:numId w:val="3"/>
        </w:numPr>
        <w:bidi w:val="0"/>
      </w:pPr>
      <w:r>
        <w:rPr>
          <w:rFonts w:hint="eastAsia"/>
        </w:rPr>
        <w:t>已完成的论文工作及取得的阶段性成果</w:t>
      </w:r>
    </w:p>
    <w:p w14:paraId="57541F6F">
      <w:pPr>
        <w:pStyle w:val="3"/>
        <w:numPr>
          <w:numId w:val="0"/>
        </w:numPr>
        <w:tabs>
          <w:tab w:val="clear" w:pos="420"/>
        </w:tabs>
        <w:bidi w:val="0"/>
        <w:ind w:left="575" w:leftChars="0" w:hanging="57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1.1</w:t>
      </w:r>
      <w:r>
        <w:rPr>
          <w:rFonts w:hint="eastAsia"/>
          <w:sz w:val="28"/>
          <w:szCs w:val="28"/>
          <w:lang w:val="en-US" w:eastAsia="zh-CN"/>
        </w:rPr>
        <w:t>总体工作进展（方向与平台）</w:t>
      </w:r>
    </w:p>
    <w:p w14:paraId="1AC4D203">
      <w:pPr>
        <w:widowControl/>
        <w:adjustRightInd w:val="0"/>
        <w:snapToGrid w:val="0"/>
        <w:spacing w:after="156" w:afterLines="50" w:line="360" w:lineRule="auto"/>
        <w:ind w:firstLine="480" w:firstLineChars="200"/>
        <w:jc w:val="left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本阶段的工作围绕一条清晰主线展开：在边—云协同的场景下，构建同时刻画安全、换页与通信成本的统一代价模型，并据此在两节点（边TEE—云GPU）架构上实现静态最优切分与在线滞回切换的原型。为降低无关工程开销，我们在 TAOISM 框架之上进行二次开发，将其从单机 TEE+GPU 的研究平台扩展为跨节点的安全分布式推理系统；实验对象选取 ResNet-18/CIFAR-10/AlexNet/VGG16/NiN/Inception V3/Inception V4，便于快速复现与系统性统计。</w:t>
      </w:r>
    </w:p>
    <w:p w14:paraId="2050457E">
      <w:pPr>
        <w:pStyle w:val="3"/>
        <w:numPr>
          <w:numId w:val="0"/>
        </w:numPr>
        <w:tabs>
          <w:tab w:val="clear" w:pos="420"/>
        </w:tabs>
        <w:bidi w:val="0"/>
        <w:ind w:left="575" w:leftChars="0" w:hanging="57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1.2</w:t>
      </w:r>
      <w:r>
        <w:rPr>
          <w:rFonts w:hint="eastAsia"/>
          <w:sz w:val="28"/>
          <w:szCs w:val="28"/>
          <w:lang w:val="en-US" w:eastAsia="zh-CN"/>
        </w:rPr>
        <w:t>各模块完成情况与阶段性成果</w:t>
      </w:r>
    </w:p>
    <w:p w14:paraId="0CCDCE49">
      <w:pPr>
        <w:pStyle w:val="4"/>
        <w:numPr>
          <w:numId w:val="0"/>
        </w:numPr>
        <w:bidi w:val="0"/>
        <w:ind w:firstLine="420" w:firstLineChars="0"/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  <w:t>首先，在环境与基线方面，我们完成了 TAOISM 在具备 SGX 的硬件平台上的部署与验证，并对 GPU/CPU/ENCLAVE 三种执行模式进行了统一计时与日志改造，由此形成“全 GPU（云）”“全 SGX（边，chunk 化）”与“固定切分（跨机）”三条可对比的基线。</w:t>
      </w:r>
    </w:p>
    <w:p w14:paraId="754D59F8">
      <w:pPr>
        <w:pStyle w:val="4"/>
        <w:numPr>
          <w:numId w:val="0"/>
        </w:numPr>
        <w:bidi w:val="0"/>
        <w:ind w:firstLine="420" w:firstLineChars="0"/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  <w:t>其次，我们实现了轻量的跨节点通信与执行机制：通过 gRPC 传输中间特征，定义包含层标识、张量形状、数据类型与安全模式等字段的消息格式；执行端按照每层的 Placement（EDGE/CLOUD）与 SecurityMode（TEE/VERIF/OPEN）进行路由与编排，保证同一份分割描述即可在系统中直接落地。</w:t>
      </w:r>
    </w:p>
    <w:p w14:paraId="4D0123B7">
      <w:pPr>
        <w:pStyle w:val="4"/>
        <w:numPr>
          <w:numId w:val="0"/>
        </w:numPr>
        <w:bidi w:val="0"/>
        <w:ind w:firstLine="420" w:firstLineChars="0"/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针对 SGX 的内存限制与动态换页，我们在 enclave 内设计了覆盖多种张量规模与访问模式的微基准，并据此拟合出随内存占用增长的换页额外耗时曲线。该曲线以线性或分段线性函数形式固化为 </w:t>
      </w:r>
      <m:oMath>
        <m:sSub>
          <m:sSubPr>
            <m:ctrlPr>
              <m:rPr/>
              <w:rPr>
                <w:rFonts w:hint="default" w:ascii="Cambria Math" w:hAnsi="Cambria Math" w:eastAsia="仿宋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eastAsia="仿宋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m:rPr/>
              <w:rPr>
                <w:rFonts w:hint="default" w:ascii="Cambria Math" w:hAnsi="Cambria Math" w:eastAsia="仿宋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eastAsia="仿宋" w:cstheme="minorBidi"/>
                <w:kern w:val="2"/>
                <w:sz w:val="24"/>
                <w:szCs w:val="24"/>
                <w:lang w:val="en-US" w:eastAsia="zh-CN" w:bidi="ar-SA"/>
              </w:rPr>
              <m:t>page</m:t>
            </m:r>
            <m:ctrlPr>
              <m:rPr/>
              <w:rPr>
                <w:rFonts w:hint="default" w:ascii="Cambria Math" w:hAnsi="Cambria Math" w:eastAsia="仿宋" w:cstheme="minorBidi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仿宋" w:cstheme="minorBidi"/>
            <w:kern w:val="2"/>
            <w:sz w:val="24"/>
            <w:szCs w:val="24"/>
            <w:lang w:val="en-US" w:eastAsia="zh-CN" w:bidi="ar-SA"/>
          </w:rPr>
          <m:t>(</m:t>
        </m:r>
        <m:r>
          <m:rPr/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ℓ</m:t>
        </m:r>
        <m:r>
          <m:rPr/>
          <w:rPr>
            <w:rFonts w:hint="default" w:ascii="Cambria Math" w:hAnsi="Cambria Math" w:eastAsia="仿宋" w:cstheme="minorBidi"/>
            <w:kern w:val="2"/>
            <w:sz w:val="24"/>
            <w:szCs w:val="24"/>
            <w:lang w:val="en-US" w:eastAsia="zh-CN" w:bidi="ar-SA"/>
          </w:rPr>
          <m:t>)</m:t>
        </m:r>
      </m:oMath>
      <w:r>
        <m:rPr/>
        <w:rPr>
          <w:rFonts w:hint="eastAsia" w:hAnsi="Cambria Math" w:eastAsia="仿宋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仿宋" w:hAnsi="仿宋" w:eastAsia="仿宋" w:cstheme="minorBidi"/>
          <w:b w:val="0"/>
          <w:bCs w:val="0"/>
          <w:kern w:val="2"/>
          <w:sz w:val="24"/>
          <w:szCs w:val="24"/>
          <w:lang w:val="en-US" w:eastAsia="zh-CN" w:bidi="ar-SA"/>
        </w:rPr>
        <w:t>的估计器（以配置文件保存），为后续优化提供可替代的观测量。</w:t>
      </w:r>
    </w:p>
    <w:p w14:paraId="0927EF1E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在统一代价建模方面，我们把计算时间、跨域通信、SGX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换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页与可验证执行的开销统一纳入目标函数，并施加每层最低安全等级的约束。基于该模型，我们实现了面向线性网络的动态规划/最短路求解器，并在只允许单切点的情形下提供了线性枚举的近似最优实现。求解器输出以分割描述文件呈现，同时保留分项成本，便于审计与可解释分析。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采用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代价函数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为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：C = Σ T_comp(ℓ, placement, sec) + Σ T_comm(cut) + Σ T_page(ℓ|L1) + Σ T_verif(ℓ|L2)；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并要求满足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约束：sec(ℓ) ≥ r_ℓ（由规则标注器给出最低安全级）；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其中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L1 仅允许 EDGE-TEE。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当前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已实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基于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DP/最短路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方法的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求解器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版本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：线性网络多段分割可多项式时间求解；两段式枚举可 O(n) 扫描；输出 partition.json 并可解释每项代价构成。</w:t>
      </w:r>
    </w:p>
    <w:p w14:paraId="72B8CE12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安全机制方面，系统支持 L1（TEE 内执行）、L2（线性层的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Slalom/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Freivalds 验证原型，已覆盖全连接与 1×1 卷积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,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记录 T_verif 与验证失败率（理论上界））与 L3（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普通环境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开放执行）三种模式，并引入两类可量化指标：其一为暴露面（Exposure），用于衡量带权中间表示在 L1 之外出现的比例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，按照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层激活大小与敏感权重求和，统计非 L1 暴露占比；其二为完整性覆盖（Integrity coverage），用于衡量在 L1/L2 保护下完成的计算占比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，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L1/L2 覆盖的 FLOPs 占比。两者共同用于刻画机密性与完整性层面的权衡。</w:t>
      </w:r>
    </w:p>
    <w:p w14:paraId="0DA85018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安全分层的生成采用可解释的规则化方法：以距输入的深度递减刻画数据敏感性，以参数规模与是否自定义模块刻画模型隐私性；二者结合输出每层的最低安全等级与敏感权重，并作为优化的先验约束与评价权重。</w:t>
      </w:r>
    </w:p>
    <w:p w14:paraId="1BDD3633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为适应网络波动与边端负载变化，我们在系统层实现了带切换成本的在线滞回控制：周期性采样带宽与 EPC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占用状况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，若当前方案的代价不超过最优候选加阈值，则保持现状，否则触发切换。该策略在联调测试中能够有效抑制频繁抖动，同时保持端到端时延的稳定。</w:t>
      </w:r>
    </w:p>
    <w:p w14:paraId="41DBB364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在初步实验中，我们观察到在中/低带宽场景下，相较仅以通信为目标的切分，考虑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换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页与安全后的方案可明显降低暴露面；在引入 L2 的情况下，完整性覆盖得到提升，伴随一定的可接受延迟开销，呈现出清晰的“可调前沿”。</w:t>
      </w:r>
    </w:p>
    <w:p w14:paraId="55376415">
      <w:pPr>
        <w:pStyle w:val="3"/>
        <w:numPr>
          <w:ilvl w:val="1"/>
          <w:numId w:val="0"/>
        </w:numPr>
        <w:tabs>
          <w:tab w:val="clear" w:pos="420"/>
        </w:tabs>
        <w:bidi w:val="0"/>
        <w:ind w:left="575" w:leftChars="0" w:hanging="57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1.</w:t>
      </w:r>
      <w:r>
        <w:rPr>
          <w:rFonts w:hint="eastAsia" w:cs="宋体"/>
          <w:b/>
          <w:bCs/>
          <w:kern w:val="0"/>
          <w:sz w:val="28"/>
          <w:szCs w:val="28"/>
          <w:lang w:val="en-US" w:eastAsia="zh-CN" w:bidi="ar"/>
        </w:rPr>
        <w:t>3 阶段性产出</w:t>
      </w:r>
    </w:p>
    <w:p w14:paraId="1088AC66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当前已形成可运行的原型代码仓库（含配置化脚本、日志采集与可视化工具），完成计算、通信、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换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页与验证开销的测参脚本与拟合参数文件（包含 act_bytes 与 FLOPs 统计），并完成论文第 1 章与第 2 章的写作草稿及方法章节的结构设计。</w:t>
      </w:r>
    </w:p>
    <w:p w14:paraId="13A92FB7">
      <w:pPr>
        <w:pStyle w:val="2"/>
        <w:numPr>
          <w:ilvl w:val="0"/>
          <w:numId w:val="3"/>
        </w:numPr>
        <w:bidi w:val="0"/>
      </w:pPr>
      <w:r>
        <w:rPr>
          <w:rFonts w:hint="eastAsia"/>
        </w:rPr>
        <w:t>与开题报告的不符情况说明</w:t>
      </w:r>
    </w:p>
    <w:p w14:paraId="66EC43E2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与开题阶段相比，本阶段在方法上由“多节点、细粒度并行与强化学习调度”的多线推进，调整为“两节点 + 可解释的静态最优 + 轻量在线切换”的聚焦路线，以确保在既定周期内完成系统闭环与实验验证。</w:t>
      </w:r>
    </w:p>
    <w:p w14:paraId="45CBE7A9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在平台上，由“Darknet + 自研框架”过渡为“基于 TAOISM 的 SGX+GPU 原型”，最大限度降低重复造轮子的成本，突出统一代价模型与在线决策的研究贡献。</w:t>
      </w:r>
    </w:p>
    <w:p w14:paraId="115ECBEB">
      <w:pPr>
        <w:widowControl/>
        <w:adjustRightInd w:val="0"/>
        <w:snapToGrid w:val="0"/>
        <w:spacing w:line="360" w:lineRule="auto"/>
        <w:ind w:firstLine="420" w:firstLineChars="0"/>
        <w:jc w:val="left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实验方面，当前聚焦 ResNet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-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18/CIFAR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-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10 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等基础模型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的系统性对比，并将更大模型与细粒度并行的探索留待讨论与展望。与此同时，我们将安全度量从定性讨论转为可量化指标，并在需要时补充小规模的特征反演演示以增强直观性。</w:t>
      </w:r>
    </w:p>
    <w:p w14:paraId="1497F958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下一步论文工作安排</w:t>
      </w:r>
    </w:p>
    <w:p w14:paraId="56A279CE">
      <w:pPr>
        <w:pStyle w:val="3"/>
        <w:numPr>
          <w:ilvl w:val="2"/>
          <w:numId w:val="0"/>
        </w:numPr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cs="宋体"/>
          <w:b/>
          <w:bCs/>
          <w:kern w:val="0"/>
          <w:sz w:val="28"/>
          <w:szCs w:val="28"/>
          <w:lang w:val="en-US" w:eastAsia="zh-CN" w:bidi="ar"/>
        </w:rPr>
        <w:t>3.1</w:t>
      </w:r>
      <w:r>
        <w:rPr>
          <w:rFonts w:ascii="宋体" w:hAnsi="宋体" w:eastAsia="宋体" w:cs="宋体"/>
          <w:sz w:val="24"/>
          <w:szCs w:val="24"/>
        </w:rPr>
        <w:t>技术难点与应对策略</w:t>
      </w:r>
    </w:p>
    <w:p w14:paraId="3F74756C">
      <w:pPr>
        <w:pStyle w:val="15"/>
        <w:keepNext w:val="0"/>
        <w:keepLines w:val="0"/>
        <w:widowControl/>
        <w:suppressLineNumbers w:val="0"/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SG</w:t>
      </w:r>
      <w:r>
        <w:rPr>
          <w:rFonts w:hint="eastAsia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X换</w:t>
      </w: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页观测误差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 xml:space="preserve">：针对 SGX </w:t>
      </w:r>
      <w:r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  <w:t>换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页观测粒度有限的问题，我们采用“微基准拟合 + 访问模式交叉校准”的方法获得可替代观测，并在报告中明确误差区间与适用前提</w:t>
      </w:r>
      <w:r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  <w:t>。</w:t>
      </w:r>
    </w:p>
    <w:p w14:paraId="4537CF42">
      <w:pPr>
        <w:pStyle w:val="15"/>
        <w:keepNext w:val="0"/>
        <w:keepLines w:val="0"/>
        <w:widowControl/>
        <w:suppressLineNumbers w:val="0"/>
        <w:jc w:val="left"/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L2 覆盖范围与开销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：对于 L2 的覆盖范围，计划先稳定支持 FC 与 1×1 卷积，再审慎评估 3×3 卷积的收益与开销，通过按层白名单控制部署风险。</w:t>
      </w:r>
    </w:p>
    <w:p w14:paraId="54B7D5AC">
      <w:pPr>
        <w:pStyle w:val="15"/>
        <w:keepNext w:val="0"/>
        <w:keepLines w:val="0"/>
        <w:widowControl/>
        <w:suppressLineNumbers w:val="0"/>
        <w:jc w:val="left"/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带宽可控复现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：为确保网络场景可复现，我们将使用 tc/netem 模拟高/中/低与抖动带宽，并对每档进行足够次数重复以给出 p50/p95 与置信区间。</w:t>
      </w:r>
    </w:p>
    <w:p w14:paraId="1F831558">
      <w:pPr>
        <w:pStyle w:val="15"/>
        <w:keepNext w:val="0"/>
        <w:keepLines w:val="0"/>
        <w:widowControl/>
        <w:suppressLineNumbers w:val="0"/>
        <w:jc w:val="left"/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对比公平性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：为 Surgery/MEDIA 等基线提供相同模型/带宽/批大小与日志接口；必要时给“等延迟/等 Exposure”两种对齐口径。对比实验在统一的批大小、模型配置与日志接口下进行，并提供“等时延”与“等暴露面”两种对齐口径，以减少比较偏差。</w:t>
      </w:r>
    </w:p>
    <w:p w14:paraId="12564499">
      <w:pPr>
        <w:spacing w:after="120"/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b/>
          <w:bCs/>
          <w:kern w:val="2"/>
          <w:sz w:val="24"/>
          <w:szCs w:val="24"/>
          <w:lang w:val="en-US" w:eastAsia="zh-CN" w:bidi="ar-SA"/>
        </w:rPr>
        <w:t>安全性验证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：在早期暴露层做输入重建小实验（PSNR/SSIM）；L2 给出错误接受概率上界与验证时间。安全性验证方面，除 Exposure 与 Integrity coverage 的常规统计外，我们会在早期暴露层进行小规模输入重建，辅以 Freivalds 校验的错误接受概率上界与实测验证时间。</w:t>
      </w:r>
    </w:p>
    <w:p w14:paraId="6CF7AFE9">
      <w:pPr>
        <w:pStyle w:val="1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2A3C62D">
      <w:pPr>
        <w:pStyle w:val="3"/>
        <w:numPr>
          <w:ilvl w:val="2"/>
          <w:numId w:val="0"/>
        </w:numPr>
        <w:bidi w:val="0"/>
        <w:ind w:left="720" w:leftChars="0" w:hanging="7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kern w:val="0"/>
          <w:sz w:val="28"/>
          <w:szCs w:val="28"/>
          <w:lang w:val="en-US" w:eastAsia="zh-CN" w:bidi="ar"/>
        </w:rPr>
        <w:t>3.2</w:t>
      </w:r>
      <w:r>
        <w:rPr>
          <w:rFonts w:ascii="宋体" w:hAnsi="宋体" w:eastAsia="宋体" w:cs="宋体"/>
          <w:sz w:val="24"/>
          <w:szCs w:val="24"/>
        </w:rPr>
        <w:t>里程碑与时间表（T+3</w:t>
      </w:r>
      <w:r>
        <w:rPr>
          <w:rFonts w:hint="eastAsia" w:cs="宋体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z w:val="24"/>
          <w:szCs w:val="24"/>
        </w:rPr>
        <w:t>天）</w:t>
      </w:r>
    </w:p>
    <w:p w14:paraId="1AB5F335">
      <w:pPr>
        <w:pStyle w:val="15"/>
        <w:keepNext w:val="0"/>
        <w:keepLines w:val="0"/>
        <w:widowControl/>
        <w:suppressLineNumbers w:val="0"/>
        <w:jc w:val="left"/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T+1～T+4 天：完善测参脚本，固定</w:t>
      </w:r>
      <w:r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  <w:t>换</w:t>
      </w:r>
      <w:r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  <w:t>页模型的参数；搭建并验证网络限速场景（高/中/低/抖动）。T+5～T+10 天：完成静态分割的全矩阵实验（带宽×EPC×批大小），并与全 GPU、全 SGX、只看通信与只看 EPC 的基线进行对比，形成主结果表与箱线图。T+11～T+16 天：在带宽周期与随机抖动下评估在线滞回控制的效果，输出时序延迟曲线与切换统计。T+17～T+22 天：开展 L2 开/关实验，绘制“完整性覆盖—时延”的前沿曲线，并补充输入重建的直观对照。T+23～T+26 天：汇总统计、完成图表并撰写方法与实验章节；T+27～T+30 天：全文打磨与导师反馈修改，准备答辩材料。</w:t>
      </w:r>
    </w:p>
    <w:p w14:paraId="475F614B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已经撰写的论文章节内容</w:t>
      </w:r>
    </w:p>
    <w:p w14:paraId="48F76429">
      <w:pPr>
        <w:pStyle w:val="2"/>
        <w:numPr>
          <w:numId w:val="0"/>
        </w:numPr>
        <w:bidi w:val="0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4.1第一章（引言，节选提要）</w:t>
      </w:r>
    </w:p>
    <w:p w14:paraId="74388665">
      <w:pPr>
        <w:pStyle w:val="15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  <w:t>本研究面向不可信边缘云环境下的深度神经网络分布式推理问题，聚焦性能、机密性与完整性的联合优化。与将 EPC 视为硬约束或单纯最小化通信的既有工作不同，我们将 SGX 动态换页成本与多级安全执行的代价一并纳入目标函数，并在两节点系统上实现可解释的静态最优与带切换成本的在线决策，从而在“时延—暴露面—完整性覆盖”三维空间内刻画可调的权衡前沿。</w:t>
      </w:r>
    </w:p>
    <w:p w14:paraId="5395E6BF">
      <w:pPr>
        <w:pStyle w:val="2"/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4.2第二章（相关工作，节选提要）</w:t>
      </w:r>
    </w:p>
    <w:bookmarkEnd w:id="0"/>
    <w:p w14:paraId="6920E7A8">
      <w:pPr>
        <w:pStyle w:val="15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仿宋" w:hAnsi="仿宋" w:eastAsia="仿宋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theme="minorBidi"/>
          <w:kern w:val="2"/>
          <w:sz w:val="24"/>
          <w:szCs w:val="24"/>
          <w:lang w:val="en-US" w:eastAsia="zh-CN" w:bidi="ar-SA"/>
        </w:rPr>
        <w:t>分布式 DNN 推理经历了从静态分割（DNN Surgery/CRA）到动态自适应（DADS/DINA），再到操作符级并行（如 HiDP、Galaxy）的演进，但多数工作并未显式建模 TEE 的换页代价与安全等级。TEE 与深度学习方向（如 Occlumency、Vessels、SECURETF）则主要关注在单机内提高可运行性与效率，通常将 EPC 作为限制而非优化量。可验证推理（如 Slalom/Freivalds）提供了实用的线性层校验机制，但与分布式切分的统一建模仍较少见。我们的工作试图在上述分叉的研究线索之间建立联系。把安全等级 + 换页代价 + 通信合入同一目标函数，并给出在线切换与可量化安全指标。</w:t>
      </w:r>
    </w:p>
    <w:p w14:paraId="11E1DF9A">
      <w:pPr>
        <w:pStyle w:val="2"/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4.3论文提纲（三级目录）</w:t>
      </w:r>
    </w:p>
    <w:p w14:paraId="50905044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第1章 引言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1.1 背景与挑战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1.2 问题定义与目标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1.3 研究思路与贡献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1.4 论文结构</w:t>
      </w:r>
    </w:p>
    <w:p w14:paraId="701E887A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第2章 相关工作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2.1 分布式 DNN 分割与调度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2.2 可信执行环境与深度学习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2.3 可验证推理与安全度量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2.4 小结与研究空白</w:t>
      </w:r>
    </w:p>
    <w:p w14:paraId="763E9564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第3章 统一代价模型与静态分割求解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3.1 系统与威胁模型（两节点、信任边界）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3.2 代价项定义：T_comp/T_comm/T_page/T_verif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3.3 安全分层规则与最小等级约束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3.4 DP/最短路建模与算法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3.5 复杂度分析与实现要点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3.6 小结</w:t>
      </w:r>
    </w:p>
    <w:p w14:paraId="7C90B392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第4章 在线滞回切换与系统原型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4.1 在线参数观测（带宽/EPC）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4.2 带切换成本的滞回控制策略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4.3 系统架构与 TAOISM 改造：执行器、RPC、度量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4.4 正确性与稳定性测试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4.5 小结</w:t>
      </w:r>
    </w:p>
    <w:p w14:paraId="1598B977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第5章 实验评估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5.1 实验设置（硬件/数据/基线/指标）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5.2 静态最优：与全GPU/全SGX/只通信/只EPC/（可选）MEDIA 的对比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5.3 在线滞回：带宽抖动下的时延平滑与切换次数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5.4 L2 可验证：完整性覆盖–时延前沿；Exposure 对比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5.5 消融：分层规则/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页模型/阈值与λ的影响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5.6 讨论：局限性与误差来源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5.7 小结</w:t>
      </w:r>
    </w:p>
    <w:p w14:paraId="6C425DB9">
      <w:pPr>
        <w:pStyle w:val="1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第6章 相关讨论与扩展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6.1 对更大模型与多节点的可扩展性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6.2 细粒度/瓦片级的潜在收益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6.3 更强安全（ZK/HE）接入展望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6.4 工程化与部署要点</w:t>
      </w:r>
    </w:p>
    <w:p w14:paraId="41B185C0">
      <w:pPr>
        <w:pStyle w:val="15"/>
        <w:keepNext w:val="0"/>
        <w:keepLines w:val="0"/>
        <w:widowControl/>
        <w:suppressLineNumbers w:val="0"/>
        <w:jc w:val="left"/>
        <w:rPr>
          <w:rFonts w:ascii="黑体" w:hAnsi="黑体" w:eastAsia="黑体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第7章 结论与展望</w:t>
      </w:r>
    </w:p>
    <w:sectPr>
      <w:footerReference r:id="rId3" w:type="default"/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44860"/>
    </w:sdtPr>
    <w:sdtContent>
      <w:p w14:paraId="7F4A62B3">
        <w:pPr>
          <w:pStyle w:val="1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0F72B325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163D07"/>
    <w:multiLevelType w:val="multilevel"/>
    <w:tmpl w:val="F3163D07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657D3FBC"/>
    <w:multiLevelType w:val="multilevel"/>
    <w:tmpl w:val="657D3FBC"/>
    <w:lvl w:ilvl="0" w:tentative="0">
      <w:start w:val="1"/>
      <w:numFmt w:val="upperLetter"/>
      <w:pStyle w:val="37"/>
      <w:suff w:val="nothing"/>
      <w:lvlText w:val="附　录　%1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38"/>
      <w:suff w:val="nothing"/>
      <w:lvlText w:val="%1.%2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39"/>
      <w:suff w:val="nothing"/>
      <w:lvlText w:val="%1.%2.%3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2"/>
      <w:suff w:val="nothing"/>
      <w:lvlText w:val="%1.%2.%3.%4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8714"/>
        </w:tabs>
        <w:ind w:left="87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9422"/>
        </w:tabs>
        <w:ind w:left="9422" w:hanging="1700"/>
      </w:pPr>
      <w:rPr>
        <w:rFonts w:hint="eastAsia"/>
      </w:rPr>
    </w:lvl>
  </w:abstractNum>
  <w:abstractNum w:abstractNumId="2">
    <w:nsid w:val="7B70ACA9"/>
    <w:multiLevelType w:val="multilevel"/>
    <w:tmpl w:val="7B70ACA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6DE"/>
    <w:rsid w:val="00054CD0"/>
    <w:rsid w:val="000568AC"/>
    <w:rsid w:val="000A3C87"/>
    <w:rsid w:val="000B2684"/>
    <w:rsid w:val="000D23A8"/>
    <w:rsid w:val="000F578E"/>
    <w:rsid w:val="00116C97"/>
    <w:rsid w:val="00132A73"/>
    <w:rsid w:val="0013719B"/>
    <w:rsid w:val="00155A03"/>
    <w:rsid w:val="0017060D"/>
    <w:rsid w:val="0019284D"/>
    <w:rsid w:val="001D2F4F"/>
    <w:rsid w:val="001D7D09"/>
    <w:rsid w:val="001F3927"/>
    <w:rsid w:val="002247D4"/>
    <w:rsid w:val="002347C3"/>
    <w:rsid w:val="00264D04"/>
    <w:rsid w:val="00297A32"/>
    <w:rsid w:val="00306AC7"/>
    <w:rsid w:val="00306BF3"/>
    <w:rsid w:val="0033082F"/>
    <w:rsid w:val="00351880"/>
    <w:rsid w:val="00367B59"/>
    <w:rsid w:val="00377F29"/>
    <w:rsid w:val="0038684F"/>
    <w:rsid w:val="003C6685"/>
    <w:rsid w:val="003E6690"/>
    <w:rsid w:val="0042312D"/>
    <w:rsid w:val="0042790F"/>
    <w:rsid w:val="00433141"/>
    <w:rsid w:val="00435CF1"/>
    <w:rsid w:val="004910EF"/>
    <w:rsid w:val="004968A8"/>
    <w:rsid w:val="004E5646"/>
    <w:rsid w:val="0050435E"/>
    <w:rsid w:val="0055233F"/>
    <w:rsid w:val="00580A82"/>
    <w:rsid w:val="005D43EA"/>
    <w:rsid w:val="00614C86"/>
    <w:rsid w:val="00647D70"/>
    <w:rsid w:val="00676B23"/>
    <w:rsid w:val="006843B0"/>
    <w:rsid w:val="00693E4B"/>
    <w:rsid w:val="006B315F"/>
    <w:rsid w:val="006E0507"/>
    <w:rsid w:val="006F23FD"/>
    <w:rsid w:val="006F6D75"/>
    <w:rsid w:val="00724A81"/>
    <w:rsid w:val="00745698"/>
    <w:rsid w:val="007811E0"/>
    <w:rsid w:val="007B391B"/>
    <w:rsid w:val="007C77D4"/>
    <w:rsid w:val="007D3C50"/>
    <w:rsid w:val="007F076F"/>
    <w:rsid w:val="00833457"/>
    <w:rsid w:val="008615ED"/>
    <w:rsid w:val="00863D9D"/>
    <w:rsid w:val="00873BAE"/>
    <w:rsid w:val="0088398C"/>
    <w:rsid w:val="008A3490"/>
    <w:rsid w:val="008E5A24"/>
    <w:rsid w:val="008F0C40"/>
    <w:rsid w:val="008F46DB"/>
    <w:rsid w:val="00915E98"/>
    <w:rsid w:val="00974ACE"/>
    <w:rsid w:val="009848A9"/>
    <w:rsid w:val="009D3790"/>
    <w:rsid w:val="009E27F8"/>
    <w:rsid w:val="009E734A"/>
    <w:rsid w:val="00A26682"/>
    <w:rsid w:val="00A331A2"/>
    <w:rsid w:val="00A61621"/>
    <w:rsid w:val="00A87A21"/>
    <w:rsid w:val="00AC235D"/>
    <w:rsid w:val="00AF18EE"/>
    <w:rsid w:val="00B02AD4"/>
    <w:rsid w:val="00BB0285"/>
    <w:rsid w:val="00BF21AE"/>
    <w:rsid w:val="00C07AE3"/>
    <w:rsid w:val="00C14B95"/>
    <w:rsid w:val="00C201E4"/>
    <w:rsid w:val="00C339CA"/>
    <w:rsid w:val="00C64B25"/>
    <w:rsid w:val="00C743A6"/>
    <w:rsid w:val="00C75276"/>
    <w:rsid w:val="00C8295F"/>
    <w:rsid w:val="00C94146"/>
    <w:rsid w:val="00CA0676"/>
    <w:rsid w:val="00CC7458"/>
    <w:rsid w:val="00CF553D"/>
    <w:rsid w:val="00D2699A"/>
    <w:rsid w:val="00D34EB9"/>
    <w:rsid w:val="00DB29B5"/>
    <w:rsid w:val="00DC0E5B"/>
    <w:rsid w:val="00DC18DE"/>
    <w:rsid w:val="00E616DE"/>
    <w:rsid w:val="00E81610"/>
    <w:rsid w:val="00E84123"/>
    <w:rsid w:val="00E9077B"/>
    <w:rsid w:val="00EC5C16"/>
    <w:rsid w:val="00F058CB"/>
    <w:rsid w:val="00F120C6"/>
    <w:rsid w:val="00F32DF3"/>
    <w:rsid w:val="00F516DD"/>
    <w:rsid w:val="00F548B5"/>
    <w:rsid w:val="00FA388A"/>
    <w:rsid w:val="00FB36F4"/>
    <w:rsid w:val="00FF027E"/>
    <w:rsid w:val="00FF3263"/>
    <w:rsid w:val="03B66EDF"/>
    <w:rsid w:val="06696EFB"/>
    <w:rsid w:val="07914DFD"/>
    <w:rsid w:val="1D3B29EA"/>
    <w:rsid w:val="20234008"/>
    <w:rsid w:val="26FC0CA9"/>
    <w:rsid w:val="3B85084E"/>
    <w:rsid w:val="3ECC0C21"/>
    <w:rsid w:val="41B20549"/>
    <w:rsid w:val="49ED7F47"/>
    <w:rsid w:val="4CC62319"/>
    <w:rsid w:val="4DAC1195"/>
    <w:rsid w:val="58A837E2"/>
    <w:rsid w:val="69AD53A5"/>
    <w:rsid w:val="77E95A64"/>
    <w:rsid w:val="96CE4D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2"/>
    <w:semiHidden/>
    <w:unhideWhenUsed/>
    <w:qFormat/>
    <w:uiPriority w:val="99"/>
    <w:pPr>
      <w:jc w:val="left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Plain Text"/>
    <w:basedOn w:val="1"/>
    <w:link w:val="27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endnote text"/>
    <w:basedOn w:val="1"/>
    <w:link w:val="36"/>
    <w:semiHidden/>
    <w:unhideWhenUsed/>
    <w:qFormat/>
    <w:uiPriority w:val="99"/>
    <w:pPr>
      <w:snapToGrid w:val="0"/>
      <w:jc w:val="left"/>
    </w:pPr>
  </w:style>
  <w:style w:type="paragraph" w:styleId="9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semiHidden/>
    <w:qFormat/>
    <w:uiPriority w:val="0"/>
    <w:pPr>
      <w:numPr>
        <w:ilvl w:val="3"/>
        <w:numId w:val="2"/>
      </w:numPr>
      <w:ind w:left="0"/>
    </w:pPr>
    <w:rPr>
      <w:rFonts w:ascii="宋体" w:hAnsi="Times New Roman" w:eastAsia="宋体" w:cs="Times New Roman"/>
      <w:kern w:val="0"/>
      <w:szCs w:val="20"/>
    </w:rPr>
  </w:style>
  <w:style w:type="paragraph" w:styleId="13">
    <w:name w:val="footnote text"/>
    <w:basedOn w:val="1"/>
    <w:link w:val="31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annotation subject"/>
    <w:basedOn w:val="5"/>
    <w:next w:val="5"/>
    <w:link w:val="33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endnote reference"/>
    <w:basedOn w:val="19"/>
    <w:semiHidden/>
    <w:unhideWhenUsed/>
    <w:qFormat/>
    <w:uiPriority w:val="99"/>
    <w:rPr>
      <w:vertAlign w:val="superscript"/>
    </w:rPr>
  </w:style>
  <w:style w:type="character" w:styleId="22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19"/>
    <w:semiHidden/>
    <w:unhideWhenUsed/>
    <w:uiPriority w:val="99"/>
    <w:rPr>
      <w:rFonts w:ascii="Courier New" w:hAnsi="Courier New"/>
      <w:sz w:val="20"/>
    </w:rPr>
  </w:style>
  <w:style w:type="character" w:styleId="24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styleId="25">
    <w:name w:val="footnote reference"/>
    <w:semiHidden/>
    <w:qFormat/>
    <w:uiPriority w:val="0"/>
    <w:rPr>
      <w:vertAlign w:val="superscript"/>
    </w:rPr>
  </w:style>
  <w:style w:type="character" w:customStyle="1" w:styleId="26">
    <w:name w:val="apple-converted-space"/>
    <w:basedOn w:val="19"/>
    <w:qFormat/>
    <w:uiPriority w:val="0"/>
  </w:style>
  <w:style w:type="character" w:customStyle="1" w:styleId="27">
    <w:name w:val="纯文本 字符"/>
    <w:basedOn w:val="19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8">
    <w:name w:val="页眉 字符"/>
    <w:basedOn w:val="19"/>
    <w:link w:val="11"/>
    <w:qFormat/>
    <w:uiPriority w:val="99"/>
    <w:rPr>
      <w:sz w:val="18"/>
      <w:szCs w:val="18"/>
    </w:rPr>
  </w:style>
  <w:style w:type="character" w:customStyle="1" w:styleId="29">
    <w:name w:val="页脚 字符"/>
    <w:basedOn w:val="19"/>
    <w:link w:val="10"/>
    <w:qFormat/>
    <w:uiPriority w:val="99"/>
    <w:rPr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脚注文本 字符"/>
    <w:basedOn w:val="19"/>
    <w:link w:val="13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文字 字符"/>
    <w:basedOn w:val="19"/>
    <w:link w:val="5"/>
    <w:semiHidden/>
    <w:qFormat/>
    <w:uiPriority w:val="99"/>
  </w:style>
  <w:style w:type="character" w:customStyle="1" w:styleId="33">
    <w:name w:val="批注主题 字符"/>
    <w:basedOn w:val="32"/>
    <w:link w:val="16"/>
    <w:semiHidden/>
    <w:qFormat/>
    <w:uiPriority w:val="99"/>
    <w:rPr>
      <w:b/>
      <w:bCs/>
    </w:rPr>
  </w:style>
  <w:style w:type="character" w:customStyle="1" w:styleId="34">
    <w:name w:val="批注框文本 字符"/>
    <w:basedOn w:val="19"/>
    <w:link w:val="9"/>
    <w:semiHidden/>
    <w:qFormat/>
    <w:uiPriority w:val="99"/>
    <w:rPr>
      <w:sz w:val="18"/>
      <w:szCs w:val="18"/>
    </w:rPr>
  </w:style>
  <w:style w:type="paragraph" w:customStyle="1" w:styleId="35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 Unicode MS" w:eastAsia="Arial Unicode MS" w:cs="Arial Unicode MS" w:hAnsiTheme="minorHAnsi"/>
      <w:color w:val="000000"/>
      <w:sz w:val="24"/>
      <w:szCs w:val="24"/>
      <w:lang w:val="en-US" w:eastAsia="zh-CN" w:bidi="ar-SA"/>
    </w:rPr>
  </w:style>
  <w:style w:type="character" w:customStyle="1" w:styleId="36">
    <w:name w:val="尾注文本 字符"/>
    <w:basedOn w:val="19"/>
    <w:link w:val="8"/>
    <w:semiHidden/>
    <w:qFormat/>
    <w:uiPriority w:val="99"/>
  </w:style>
  <w:style w:type="paragraph" w:customStyle="1" w:styleId="37">
    <w:name w:val="附录四级条标题"/>
    <w:basedOn w:val="1"/>
    <w:next w:val="1"/>
    <w:qFormat/>
    <w:uiPriority w:val="0"/>
    <w:pPr>
      <w:widowControl/>
      <w:numPr>
        <w:ilvl w:val="0"/>
        <w:numId w:val="2"/>
      </w:numPr>
      <w:wordWrap w:val="0"/>
      <w:overflowPunct w:val="0"/>
      <w:autoSpaceDE w:val="0"/>
      <w:autoSpaceDN w:val="0"/>
      <w:textAlignment w:val="baseline"/>
      <w:outlineLvl w:val="5"/>
    </w:pPr>
    <w:rPr>
      <w:rFonts w:ascii="黑体" w:hAnsi="Times New Roman" w:eastAsia="黑体" w:cs="Times New Roman"/>
      <w:kern w:val="21"/>
      <w:szCs w:val="20"/>
    </w:rPr>
  </w:style>
  <w:style w:type="paragraph" w:customStyle="1" w:styleId="38">
    <w:name w:val="附录五级条标题"/>
    <w:basedOn w:val="37"/>
    <w:next w:val="1"/>
    <w:qFormat/>
    <w:uiPriority w:val="0"/>
    <w:pPr>
      <w:numPr>
        <w:ilvl w:val="1"/>
      </w:numPr>
      <w:outlineLvl w:val="6"/>
    </w:pPr>
  </w:style>
  <w:style w:type="paragraph" w:customStyle="1" w:styleId="39">
    <w:name w:val="列项——"/>
    <w:qFormat/>
    <w:uiPriority w:val="0"/>
    <w:pPr>
      <w:widowControl w:val="0"/>
      <w:numPr>
        <w:ilvl w:val="2"/>
        <w:numId w:val="2"/>
      </w:numPr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1AC0B5-A380-46CC-BA41-4DF08E31D0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438</Words>
  <Characters>525</Characters>
  <Lines>4</Lines>
  <Paragraphs>1</Paragraphs>
  <TotalTime>3</TotalTime>
  <ScaleCrop>false</ScaleCrop>
  <LinksUpToDate>false</LinksUpToDate>
  <CharactersWithSpaces>719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2017-03-16T13:24:00Z</dcterms:created>
  <dc:creator>喻嘉乐</dc:creator>
  <cp:lastModifiedBy>王子平</cp:lastModifiedBy>
  <cp:lastPrinted>2017-10-23T11:11:00Z</cp:lastPrinted>
  <dcterms:modified xsi:type="dcterms:W3CDTF">2025-11-02T08:02:53Z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5AC4FD86087A45E1B08A40609935EB71</vt:lpwstr>
  </property>
  <property fmtid="{D5CDD505-2E9C-101B-9397-08002B2CF9AE}" pid="4" name="KSOTemplateDocerSaveRecord">
    <vt:lpwstr>eyJoZGlkIjoiZjA3ZDEwMTFjNmIxNmIzYzRkNDBiMGZkZjE3MGFlY2YiLCJ1c2VySWQiOiI1OTE2OTU4MTgifQ==</vt:lpwstr>
  </property>
</Properties>
</file>