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6147B">
      <w:pPr>
        <w:pStyle w:val="2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36"/>
          <w:szCs w:val="36"/>
        </w:rPr>
        <w:t>创业搭子 · 项目背景</w:t>
      </w:r>
    </w:p>
    <w:p w14:paraId="39A8FAA9">
      <w:pPr>
        <w:spacing w:after="120" w:line="360" w:lineRule="auto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本文档说明「创业搭子」这一产品所基于的现实背景：中小微创业者在政策、融资、开办、合规等方面普遍面临的真实困境，以及现有工具尚未解决的缺口。它是理解产品定位与设计动机的基础。</w:t>
      </w:r>
    </w:p>
    <w:p w14:paraId="69C1A59B">
      <w:pPr>
        <w:pStyle w:val="3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8"/>
          <w:szCs w:val="28"/>
        </w:rPr>
        <w:t>一、项目概述</w:t>
      </w:r>
    </w:p>
    <w:p w14:paraId="6CCD29B7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「创业搭子」是一款面向中小微创业者（尤其是北京地区及北辰园区的初创团队）的 AI 创业管家。产品的核心是：企业把自己的基本情况交给管家一次，管家拿着这份情况，去政策、补贴、金融产品、办事流程四个维度的知识库里逐条比对，主动告诉企业三件事——现在就能报哪几笔、开完公司能解锁哪几笔、开公司这件事今天该做哪一步。</w:t>
      </w:r>
    </w:p>
    <w:p w14:paraId="6AA6C60C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产品以单文件 Web 原型呈现（可平移为微信小程序），内置政策库、金融库、办事流程库三大知识源，并以「企业画像」为唯一数据主轴，驱动政策匹配、金融匹配、合规风险、待办日历等全部功能联动。它的本质，是把创业者长期被动承担的「信息检索 + 条件比对 + 决策判断」工作，转交给一个主动、可信、可回链原文的管家。</w:t>
      </w:r>
    </w:p>
    <w:p w14:paraId="41DB6F49">
      <w:pPr>
        <w:pStyle w:val="3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8"/>
          <w:szCs w:val="28"/>
        </w:rPr>
        <w:t>二、现实背景与痛点</w:t>
      </w:r>
    </w:p>
    <w:p w14:paraId="71226A24">
      <w:pPr>
        <w:spacing w:after="120" w:line="360" w:lineRule="auto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本项目并非为技术而技术，而是针对中小微创业者普遍面临、且长期未被现有工具真正解决的几类现实问题。这些问题是产品得以成立的基础。</w:t>
      </w:r>
    </w:p>
    <w:p w14:paraId="05FC2504">
      <w:pPr>
        <w:pStyle w:val="4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4"/>
          <w:szCs w:val="24"/>
        </w:rPr>
        <w:t>2.1 政策信息分散、难以触达</w:t>
      </w:r>
    </w:p>
    <w:p w14:paraId="1A826CD4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政策是中小微企业最直接的资源入口，但触达成本极高。</w:t>
      </w:r>
    </w:p>
    <w:p w14:paraId="07B405BC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政策原文散落在市、区两级多个政府部门的网站，入口层级深，标题高度专业化——「实施细则」「管理办法」「行动计划」「支持措施」，创业者很难仅凭标题判断它跟自己有没有关系。更常见的是「通知套通知」：一份通知引向实施细则，实施细则再引向年度征集通知，真正的申报条件、截止时间、办理地点往往藏在第三层甚至附件里。</w:t>
      </w:r>
    </w:p>
    <w:p w14:paraId="79EFF3B7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以本项目处理过的政策材料为例，仅给定的一批政策，就包含 175 条政策条目（86 份原文 + 89 条官方解读）。创业者面对的是一片海量、非结构化的信息海洋，而不是一个「我能报什么」的清晰答案。</w:t>
      </w:r>
    </w:p>
    <w:p w14:paraId="0502001A">
      <w:pPr>
        <w:pStyle w:val="4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4"/>
          <w:szCs w:val="24"/>
        </w:rPr>
        <w:t>2.2 补贴门槛判断难、政策口径易混淆</w:t>
      </w:r>
    </w:p>
    <w:p w14:paraId="113B0B1B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即便创业者找到了一条政策，判断「我够不够得着」依然是一道高成本的计算题。</w:t>
      </w:r>
    </w:p>
    <w:p w14:paraId="736CB592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一条补贴的条件往往有七八条，涉及注册地、主体资格、行业、营收、人才、资质等多个维度。创业者要逐条对照自己的情况，一个下午就过去了，结果还不一定对。</w:t>
      </w:r>
    </w:p>
    <w:p w14:paraId="10C32AFE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更隐蔽的是「措施」与「年度实施方案」两套口径的混淆。一份政策「措施」里写了某笔钱，不代表当年真的开放申报——每年另发的年度实施方案，才决定当年开哪几个方向。创业者照着「措施」去报，很可能白跑一趟。</w:t>
      </w:r>
    </w:p>
    <w:p w14:paraId="67C0096D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以本项目结构化出的 44 笔补贴条款为例，其门槛统计如下：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75"/>
        <w:gridCol w:w="928"/>
        <w:gridCol w:w="929"/>
      </w:tblGrid>
      <w:tr w14:paraId="1C17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EEEEE"/>
            <w:vAlign w:val="center"/>
          </w:tcPr>
          <w:p w14:paraId="1321C12C">
            <w:pPr>
              <w:spacing w:after="40"/>
            </w:pPr>
            <w:r>
              <w:rPr>
                <w:rFonts w:ascii="Calibri" w:hAnsi="Calibri" w:eastAsia="微软雅黑" w:cs="Calibri"/>
                <w:b/>
                <w:bCs/>
                <w:i w:val="0"/>
                <w:iCs w:val="0"/>
                <w:color w:val="000000"/>
                <w:sz w:val="21"/>
                <w:szCs w:val="21"/>
              </w:rPr>
              <w:t>门槛</w:t>
            </w:r>
          </w:p>
        </w:tc>
        <w:tc>
          <w:tcPr>
            <w:shd w:val="clear" w:color="auto" w:fill="EEEEEE"/>
            <w:vAlign w:val="center"/>
          </w:tcPr>
          <w:p w14:paraId="2ECCE1B1">
            <w:pPr>
              <w:spacing w:after="40"/>
            </w:pPr>
            <w:r>
              <w:rPr>
                <w:rFonts w:ascii="Calibri" w:hAnsi="Calibri" w:eastAsia="微软雅黑" w:cs="Calibri"/>
                <w:b/>
                <w:bCs/>
                <w:i w:val="0"/>
                <w:iCs w:val="0"/>
                <w:color w:val="000000"/>
                <w:sz w:val="21"/>
                <w:szCs w:val="21"/>
              </w:rPr>
              <w:t>笔数</w:t>
            </w:r>
          </w:p>
        </w:tc>
        <w:tc>
          <w:tcPr>
            <w:shd w:val="clear" w:color="auto" w:fill="EEEEEE"/>
            <w:vAlign w:val="center"/>
          </w:tcPr>
          <w:p w14:paraId="7DC725F8">
            <w:pPr>
              <w:spacing w:after="40"/>
            </w:pPr>
            <w:r>
              <w:rPr>
                <w:rFonts w:ascii="Calibri" w:hAnsi="Calibri" w:eastAsia="微软雅黑" w:cs="Calibri"/>
                <w:b/>
                <w:bCs/>
                <w:i w:val="0"/>
                <w:iCs w:val="0"/>
                <w:color w:val="000000"/>
                <w:sz w:val="21"/>
                <w:szCs w:val="21"/>
              </w:rPr>
              <w:t>占比</w:t>
            </w:r>
          </w:p>
        </w:tc>
      </w:tr>
      <w:tr w14:paraId="35782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256BBF95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明确要求独立法人资格</w:t>
            </w:r>
          </w:p>
        </w:tc>
        <w:tc>
          <w:tcPr>
            <w:vAlign w:val="center"/>
          </w:tcPr>
          <w:p w14:paraId="66C136E1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33</w:t>
            </w:r>
          </w:p>
        </w:tc>
        <w:tc>
          <w:tcPr>
            <w:vAlign w:val="center"/>
          </w:tcPr>
          <w:p w14:paraId="00D6ED9A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75%</w:t>
            </w:r>
          </w:p>
        </w:tc>
      </w:tr>
      <w:tr w14:paraId="5E8ED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402FB009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明确写明创业团队或尚未注册也可申报</w:t>
            </w:r>
          </w:p>
        </w:tc>
        <w:tc>
          <w:tcPr>
            <w:vAlign w:val="center"/>
          </w:tcPr>
          <w:p w14:paraId="31465238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vAlign w:val="center"/>
          </w:tcPr>
          <w:p w14:paraId="7F32834B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7%</w:t>
            </w:r>
          </w:p>
        </w:tc>
      </w:tr>
      <w:tr w14:paraId="7032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39EA4EBE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原文未写支持对象，需查当年实施细则</w:t>
            </w:r>
          </w:p>
        </w:tc>
        <w:tc>
          <w:tcPr>
            <w:vAlign w:val="center"/>
          </w:tcPr>
          <w:p w14:paraId="69CCA6F6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8</w:t>
            </w:r>
          </w:p>
        </w:tc>
        <w:tc>
          <w:tcPr>
            <w:vAlign w:val="center"/>
          </w:tcPr>
          <w:p w14:paraId="4AFE84E3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18%</w:t>
            </w:r>
          </w:p>
        </w:tc>
      </w:tr>
    </w:tbl>
    <w:p w14:paraId="009D246B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这组数据说明一个容易被忽略的事实：绝大多数补贴把「是否注册公司」当作硬门槛，而「注册」这一步，恰恰是创业者最容易忽略、也最影响决策的关键动作。</w:t>
      </w:r>
    </w:p>
    <w:p w14:paraId="77BF8473">
      <w:pPr>
        <w:pStyle w:val="4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4"/>
          <w:szCs w:val="24"/>
        </w:rPr>
        <w:t>2.3 创业启动决策缺乏清晰指引</w:t>
      </w:r>
    </w:p>
    <w:p w14:paraId="2B72F594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对尚未注册主体的早期创业者而言，「要不要开公司、什么时候开」是一个被长期拖延的模糊决策。</w:t>
      </w:r>
    </w:p>
    <w:p w14:paraId="678A8FA0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没办过的人，脑子里对「开公司」的印象是一个模糊的大工程——工商、税务、社保、银行开户、许可证，一环扣一环，不知道从哪一步开始，于是迟迟不动。</w:t>
      </w:r>
    </w:p>
    <w:p w14:paraId="22D1A730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很少有人把「拖着不开」的代价算清楚：个人收款带来的税务与合规风险、没有合同主体导致无法承接对公业务、软件著作权挂在个人名下影响后续资产归属与融资估值。</w:t>
      </w:r>
    </w:p>
    <w:p w14:paraId="277D4DE0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从数据看，注册这一步其实是解锁资源的钥匙：上文 44 笔补贴里，四分之三都要先有法人主体。产品把「现在能报的几笔」和「开完公司才能解锁的三十几笔」同时摆出来，让「注册」从一件迟早要办的行政手续，变成一次可以算清的决策。</w:t>
      </w:r>
    </w:p>
    <w:p w14:paraId="6C506FFA">
      <w:pPr>
        <w:pStyle w:val="4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4"/>
          <w:szCs w:val="24"/>
        </w:rPr>
        <w:t>2.4 融资对接信息不对称</w:t>
      </w:r>
    </w:p>
    <w:p w14:paraId="61E0F485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中小微企业普遍没有专职 CFO，融资对接长期处于信息弱势。</w:t>
      </w:r>
    </w:p>
    <w:p w14:paraId="4969DEEE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金融产品的门槛与利率口径大量写成「根据企业实际情况不定」。以本项目整理的 67 个金融产品为例：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66"/>
        <w:gridCol w:w="1766"/>
      </w:tblGrid>
      <w:tr w14:paraId="3E432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shd w:val="clear" w:color="auto" w:fill="EEEEEE"/>
            <w:vAlign w:val="center"/>
          </w:tcPr>
          <w:p w14:paraId="5E12DCF8">
            <w:pPr>
              <w:spacing w:after="40"/>
            </w:pPr>
            <w:r>
              <w:rPr>
                <w:rFonts w:ascii="Calibri" w:hAnsi="Calibri" w:eastAsia="微软雅黑" w:cs="Calibri"/>
                <w:b/>
                <w:bCs/>
                <w:i w:val="0"/>
                <w:iCs w:val="0"/>
                <w:color w:val="000000"/>
                <w:sz w:val="21"/>
                <w:szCs w:val="21"/>
              </w:rPr>
              <w:t>指标</w:t>
            </w:r>
          </w:p>
        </w:tc>
        <w:tc>
          <w:tcPr>
            <w:shd w:val="clear" w:color="auto" w:fill="EEEEEE"/>
            <w:vAlign w:val="center"/>
          </w:tcPr>
          <w:p w14:paraId="44C66E0B">
            <w:pPr>
              <w:spacing w:after="40"/>
            </w:pPr>
            <w:r>
              <w:rPr>
                <w:rFonts w:ascii="Calibri" w:hAnsi="Calibri" w:eastAsia="微软雅黑" w:cs="Calibri"/>
                <w:b/>
                <w:bCs/>
                <w:i w:val="0"/>
                <w:iCs w:val="0"/>
                <w:color w:val="000000"/>
                <w:sz w:val="21"/>
                <w:szCs w:val="21"/>
              </w:rPr>
              <w:t>数量</w:t>
            </w:r>
          </w:p>
        </w:tc>
      </w:tr>
      <w:tr w14:paraId="4608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201967C1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金融产品总数</w:t>
            </w:r>
          </w:p>
        </w:tc>
        <w:tc>
          <w:tcPr>
            <w:vAlign w:val="center"/>
          </w:tcPr>
          <w:p w14:paraId="729FAA63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67</w:t>
            </w:r>
          </w:p>
        </w:tc>
      </w:tr>
      <w:tr w14:paraId="693AA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0015FF89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写明具体额度的产品</w:t>
            </w:r>
          </w:p>
        </w:tc>
        <w:tc>
          <w:tcPr>
            <w:vAlign w:val="center"/>
          </w:tcPr>
          <w:p w14:paraId="2A77A4DB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28</w:t>
            </w:r>
          </w:p>
        </w:tc>
      </w:tr>
      <w:tr w14:paraId="61CAC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Align w:val="center"/>
          </w:tcPr>
          <w:p w14:paraId="4EA5CEAB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写明利率口径的产品</w:t>
            </w:r>
          </w:p>
        </w:tc>
        <w:tc>
          <w:tcPr>
            <w:vAlign w:val="center"/>
          </w:tcPr>
          <w:p w14:paraId="738CF72C">
            <w:pPr>
              <w:spacing w:after="40"/>
            </w:pPr>
            <w:r>
              <w:rPr>
                <w:rFonts w:ascii="Calibri" w:hAnsi="Calibri" w:eastAsia="微软雅黑" w:cs="Calibri"/>
                <w:b w:val="0"/>
                <w:bCs w:val="0"/>
                <w:i w:val="0"/>
                <w:iCs w:val="0"/>
                <w:color w:val="000000"/>
                <w:sz w:val="21"/>
                <w:szCs w:val="21"/>
              </w:rPr>
              <w:t>13</w:t>
            </w:r>
          </w:p>
        </w:tc>
      </w:tr>
    </w:tbl>
    <w:p w14:paraId="664775F6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也就是说，约六成产品没有可比较的公开数字。企业没有专业判断能力，只能一家一家去问，或被动接受推介，既费时间又容易错过真正匹配的产品。</w:t>
      </w:r>
    </w:p>
    <w:p w14:paraId="07433852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同时，融资条件（是否有知识产权、可否抵押、是否专精特新、是否有数据资产、是否有订单等）与产品匹配规则之间缺乏透明映射，创业者不知道自己的条件值不值得去谈哪家机构。</w:t>
      </w:r>
    </w:p>
    <w:p w14:paraId="4D3E997D">
      <w:pPr>
        <w:pStyle w:val="4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4"/>
          <w:szCs w:val="24"/>
        </w:rPr>
        <w:t>2.5 合规风险盲区</w:t>
      </w:r>
    </w:p>
    <w:p w14:paraId="7C677637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创业过程中的合规事项分散且专业，漏办一件都可能带来代价。</w:t>
      </w:r>
    </w:p>
    <w:p w14:paraId="66B32214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例如，AI 类产品开始向用户收费，就需要办理增值电信业务经营许可——该办 ICP 还是 EDI，取决于收费形态，判据藏在《电信业务分类目录》里，绝大多数创业者对此毫无概念。</w:t>
      </w:r>
    </w:p>
    <w:p w14:paraId="33A63F71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从注册、社保、报税、开发票，到知识产权、出海、自媒体合规、大模型备案，事项繁多且各有官方口径。创业团队没有专人跟进，往往「想到一件办一件」，遗漏即风险。而已注册与未注册两种状态下的合规风险维度不同，需要分开提醒，通用工具却往往给出千篇一律的清单。</w:t>
      </w:r>
    </w:p>
    <w:p w14:paraId="70358F10">
      <w:pPr>
        <w:pStyle w:val="4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4"/>
          <w:szCs w:val="24"/>
        </w:rPr>
        <w:t>2.6 现有服务「被动」、通用 AI「不可信」</w:t>
      </w:r>
    </w:p>
    <w:p w14:paraId="1CFD431F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在工具层面，创业者现有的两个选项都不够用。</w:t>
      </w:r>
    </w:p>
    <w:p w14:paraId="7356B338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一方面，现有园区服务平台（小程序等）本质是「服务目录」：把能办的事列出来，企业得自己知道要办什么、自己去找到入口。这是「人找服务」，对处于信息弱势的早期创业者并不友好。</w:t>
      </w:r>
    </w:p>
    <w:p w14:paraId="7D0684E5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另一方面，通用大模型能对话，但回答政策、金融这类高精度问题时容易「编造」——把措施里的数字当成能拿到手的钱、把原文没写的截止日期补一个出来。对要做真金白银决策的创业者，这种幻觉是危险的。要根除幻觉，必须把答案锚定在政策原文、官方解读这些可回链的知识源上，这正是本项目构建「原文库 / 解读库 / 实操流程库」三层知识库的出发点。</w:t>
      </w:r>
    </w:p>
    <w:p w14:paraId="76CBF2F2">
      <w:pPr>
        <w:pStyle w:val="3"/>
        <w:spacing w:before="280" w:after="140" w:line="360" w:lineRule="auto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8"/>
          <w:szCs w:val="28"/>
        </w:rPr>
        <w:t>三、</w:t>
      </w:r>
      <w:bookmarkStart w:id="0" w:name="_GoBack"/>
      <w:bookmarkEnd w:id="0"/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8"/>
          <w:szCs w:val="28"/>
        </w:rPr>
        <w:t>项目要解决的问题</w:t>
      </w:r>
    </w:p>
    <w:p w14:paraId="1D59A394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针对上述现实背景，项目的核心机制可以概括为一句话：</w:t>
      </w:r>
    </w:p>
    <w:p w14:paraId="3411A08E">
      <w:pPr>
        <w:spacing w:after="120" w:line="360" w:lineRule="auto"/>
        <w:ind w:firstLine="420"/>
      </w:pPr>
      <w:r>
        <w:rPr>
          <w:rFonts w:ascii="Calibri" w:hAnsi="Calibri" w:eastAsia="微软雅黑" w:cs="Calibri"/>
          <w:b/>
          <w:bCs/>
          <w:i w:val="0"/>
          <w:iCs w:val="0"/>
          <w:color w:val="000000"/>
          <w:sz w:val="21"/>
          <w:szCs w:val="21"/>
        </w:rPr>
        <w:t>企业把基本情况交给管家一次，管家拿着这份画像，去 175 条政策、44 笔补贴条款、67 个金融产品、17 类办事流程里逐条比对，主动告诉企业三件事——现在就能报哪几笔、开完公司能解锁哪几笔、开公司这件事今天该做哪一步。</w:t>
      </w:r>
    </w:p>
    <w:p w14:paraId="570D3F0B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它带来的转变有两点：</w:t>
      </w:r>
    </w:p>
    <w:p w14:paraId="68A97AE1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其一，从「人找服务」到「服务找人」。不再要求创业者自己知道该办什么、去哪找，而是把「你符合什么、缺什么、去哪查原文」主动推到面前。</w:t>
      </w:r>
    </w:p>
    <w:p w14:paraId="2851973E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其二，从「模糊焦虑」到「可算决策」。把政策门槛、补贴金额、融资条件、合规风险都摆成可对照、可回链原文的明确结论，让创业者基于事实做决定，而不是基于模糊印象拖延。</w:t>
      </w:r>
    </w:p>
    <w:p w14:paraId="5B234544">
      <w:pPr>
        <w:spacing w:after="120" w:line="360" w:lineRule="auto"/>
        <w:ind w:firstLine="420"/>
      </w:pPr>
      <w:r>
        <w:rPr>
          <w:rFonts w:ascii="Calibri" w:hAnsi="Calibri" w:eastAsia="微软雅黑" w:cs="Calibri"/>
          <w:b w:val="0"/>
          <w:bCs w:val="0"/>
          <w:i w:val="0"/>
          <w:iCs w:val="0"/>
          <w:color w:val="000000"/>
          <w:sz w:val="21"/>
          <w:szCs w:val="21"/>
        </w:rPr>
        <w:t>同时，产品刻意守住一条边界：不代办注册、不代申报、不预测申报成功率、不给融资建议、不出企业评级。它只做一件事——把原文摆到人面前，并算清他够不够得着。这既是根除幻觉的工程纪律，也是对创业者负责的定位。</w:t>
      </w:r>
    </w:p>
    <w:sectPr>
      <w:pgSz w:w="11906" w:h="16838"/>
      <w:pgMar w:top="1247" w:right="1247" w:bottom="1247" w:left="124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EE1E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Calibri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微软雅黑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微软雅黑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微软雅黑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微软雅黑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微软雅黑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微软雅黑" w:cs="Calibr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微软雅黑" w:cs="Calibr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微软雅黑" w:cs="Calibri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2945</Words>
  <Characters>3003</Characters>
  <TotalTime>0</TotalTime>
  <ScaleCrop>false</ScaleCrop>
  <LinksUpToDate>false</LinksUpToDate>
  <CharactersWithSpaces>3054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2026-08-29T22:30:00Z</dcterms:created>
  <dc:creator>Un-named</dc:creator>
  <cp:lastModifiedBy>WPS_1682566541</cp:lastModifiedBy>
  <dcterms:modified xsi:type="dcterms:W3CDTF">2026-08-29T22:32:42Z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eyJoZGlkIjoiMzYwOTRkYTgyYmFkYWY1OGIzMTE1N2NiY2ZlNjY2NzMiLCJ1c2VySWQiOiIxNDkwNzI5MDA2In0=</vt:lpwstr>
  </property>
  <property fmtid="{D5CDD505-2E9C-101B-9397-08002B2CF9AE}" pid="3" name="KSOProductBuildVer">
    <vt:lpwstr>2052-12.1.0.28043</vt:lpwstr>
  </property>
  <property fmtid="{D5CDD505-2E9C-101B-9397-08002B2CF9AE}" pid="4" name="ICV">
    <vt:lpwstr>307951401FAE4F5B81022D23FC16A63A_12</vt:lpwstr>
  </property>
</Properties>
</file>