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创业搭子</w:t>
      </w:r>
      <w:r>
        <w:t xml:space="preserve"> · </w:t>
      </w:r>
      <w:r>
        <w:rPr>
          <w:rFonts w:hint="eastAsia"/>
        </w:rPr>
        <w:t xml:space="preserve">产品方案文档（四）创新点说明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v1.1，2026-08-29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本册对应交付要求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线上原型</w:t>
            </w:r>
          </w:p>
        </w:tc>
        <w:tc>
          <w:tcPr/>
          <w:p>
            <w:pPr>
              <w:pStyle w:val="Compact"/>
            </w:pPr>
            <w:r>
              <w:t xml:space="preserve">https://chuangyedazi.pages.dev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开放层（MCP</w:t>
            </w:r>
            <w:r>
              <w:t xml:space="preserve"> / API / </w:t>
            </w:r>
            <w:r>
              <w:rPr>
                <w:rFonts w:hint="eastAsia"/>
              </w:rPr>
              <w:t xml:space="preserve">Skill）</w:t>
            </w:r>
          </w:p>
        </w:tc>
        <w:tc>
          <w:tcPr/>
          <w:p>
            <w:pPr>
              <w:pStyle w:val="Compact"/>
            </w:pPr>
            <w:r>
              <w:t xml:space="preserve">https://chuangyedazi-api.safepanda.workers.dev/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>4.1 MCP 创新总览</w:t>
      </w:r>
    </w:p>
    <w:p>
      <w:pPr>
        <w:pStyle w:val="Compact"/>
        <w:numPr>
          <w:ilvl w:val="0"/>
          <w:numId w:val="1001"/>
        </w:numPr>
      </w:pPr>
      <w:r>
        <w:t>4.2 一句话安装，降低接入门槛</w:t>
      </w:r>
    </w:p>
    <w:p>
      <w:pPr>
        <w:pStyle w:val="Compact"/>
        <w:numPr>
          <w:ilvl w:val="0"/>
          <w:numId w:val="1001"/>
        </w:numPr>
      </w:pPr>
      <w:r>
        <w:t>4.3 五个工具按用户意图分工</w:t>
      </w:r>
    </w:p>
    <w:p>
      <w:pPr>
        <w:pStyle w:val="Compact"/>
        <w:numPr>
          <w:ilvl w:val="0"/>
          <w:numId w:val="1001"/>
        </w:numPr>
      </w:pPr>
      <w:r>
        <w:t>4.4 同一知识层的三种调用方式</w:t>
      </w:r>
    </w:p>
    <w:p>
      <w:pPr>
        <w:pStyle w:val="Compact"/>
        <w:numPr>
          <w:ilvl w:val="0"/>
          <w:numId w:val="1001"/>
        </w:numPr>
      </w:pPr>
      <w:r>
        <w:t>4.5 面向 AI 调用的证据纪律</w:t>
      </w:r>
    </w:p>
    <w:p>
      <w:pPr>
        <w:pStyle w:val="FirstParagraph"/>
      </w:pPr>
      <w:r>
        <w:rPr>
          <w:rFonts w:hint="eastAsia"/>
          <w:b/>
          <w:bCs/>
        </w:rPr>
        <w:t xml:space="preserve">六份分册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对应交付要求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产品定位与目标用户画像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核心功能架构图（五大模块如何串联）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个核心用户旅程的完整流程图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创新点说明（与现有园区服务平台的差异化）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商业模式与运营策略（含</w:t>
            </w:r>
            <w:r>
              <w:t xml:space="preserve"> Token / </w:t>
            </w:r>
            <w:r>
              <w:rPr>
                <w:rFonts w:hint="eastAsia"/>
              </w:rPr>
              <w:t xml:space="preserve">积分激励设计）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数据安全与隐私合规考量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文中数字的来源标注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命题方给的政策库、金融工具库原字段，或政府网站政策原文，可回链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由库内数据算出来的统计量，算法在仓库脚本里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本文档提出的设计与假设，尚未实现或尚未与命题方核对</w:t>
            </w:r>
          </w:p>
        </w:tc>
      </w:tr>
    </w:tbl>
    <w:p>
      <w:r>
        <w:br w:type="page"/>
      </w:r>
    </w:p>
    <w:bookmarkStart w:id="17" w:name="创新点说明"/>
    <w:p>
      <w:pPr>
        <w:pStyle w:val="Heading1"/>
      </w:pPr>
      <w:r>
        <w:rPr>
          <w:rFonts w:hint="eastAsia"/>
        </w:rPr>
        <w:t xml:space="preserve">创新点说明</w:t>
      </w:r>
    </w:p>
    <w:p>
      <w:pPr>
        <w:pStyle w:val="Heading2"/>
        <w:keepNext/>
      </w:pPr>
      <w:r>
        <w:t>4.1 MCP 创新总览</w:t>
      </w:r>
    </w:p>
    <w:p>
      <w:pPr/>
      <w:r>
        <w:t>本册的创新点集中在开放层：把政策补贴、融资产品和办事流程做成可被 AI 客户端直接调用的工具。用户不必先打开固定页面、理解菜单，再自己拼条件；他可以在正在使用的 AI 工具里直接提问，MCP 负责把问题路由到合适的知识工具，返回带来源和边界的结果。</w:t>
      </w:r>
    </w:p>
    <w:p>
      <w:pPr/>
      <w:r>
        <w:t>这不是给网页换一个入口，而是把一套创业服务知识变成可复用的能力层：网页适合人直接浏览，开放层适合 AI 代用户检索、记忆画像并继续追问。知识一次整理，多种客户端可以按同一套工具协议使用。</w:t>
      </w:r>
    </w:p>
    <w:p>
      <w:pPr>
        <w:pStyle w:val="Heading2"/>
        <w:keepNext/>
      </w:pPr>
      <w:r>
        <w:t>4.2 一句话安装，降低接入门槛</w:t>
      </w:r>
    </w:p>
    <w:p>
      <w:pPr/>
      <w:r>
        <w:t>原型把接入动作压缩成一句安装指令：用户把 https://chuangyedazi-api.safepanda.workers.dev/install 发给正在使用的 AI 工具，工具即可根据说明完成接入。页面同时提供 Codex 的 codex mcp add chuangyedazi --url https://chuangyedazi-api.safepanda.workers.dev/mcp，以及 Claude Code 的 claude mcp add --transport http chuangyedazi https://chuangyedazi-api.safepanda.workers.dev/mcp。</w:t>
      </w:r>
    </w:p>
    <w:p>
      <w:pPr/>
      <w:r>
        <w:t>对 Cursor、Windsurf、Cline 等客户端，页面给出 streamableHttp 方式和 /mcp 地址。安装入口、客户端命令和接口地址放在同一层，用户不需要先理解服务端部署，也不需要为每个客户端重新寻找一套文档。</w:t>
      </w:r>
    </w:p>
    <w:p>
      <w:pPr>
        <w:pStyle w:val="Heading2"/>
        <w:keepNext/>
      </w:pPr>
      <w:r>
        <w:t>4.3 五个工具按用户意图分工</w:t>
      </w:r>
    </w:p>
    <w:p>
      <w:pPr/>
      <w:r>
        <w:t>MCP 层没有把一个大而模糊的“创业问答”接口交给模型，而是把最常见的意图拆成五个可调用工具。模型只需识别用户在问政策、融资、办事还是画像记忆，再调用对应工具：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</w:tcPr>
          <w:p>
            <w:r>
              <w:t>工具</w:t>
            </w:r>
          </w:p>
        </w:tc>
        <w:tc>
          <w:tcPr>
            <w:tcW w:type="dxa" w:w="6768"/>
            <w:vAlign w:val="center"/>
          </w:tcPr>
          <w:p>
            <w:r>
              <w:t>什么时候调用</w:t>
            </w:r>
          </w:p>
        </w:tc>
      </w:tr>
      <w:tr>
        <w:tc>
          <w:tcPr>
            <w:tcW w:type="dxa" w:w="2592"/>
            <w:vAlign w:val="center"/>
          </w:tcPr>
          <w:p>
            <w:r>
              <w:t>search_policy</w:t>
            </w:r>
          </w:p>
        </w:tc>
        <w:tc>
          <w:tcPr>
            <w:tcW w:type="dxa" w:w="6768"/>
            <w:vAlign w:val="center"/>
          </w:tcPr>
          <w:p>
            <w:r>
              <w:t>用户问能申报什么政策、有没有补贴、专精特新怎么认定时，查询政策知识。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search_finance</w:t>
            </w:r>
          </w:p>
        </w:tc>
        <w:tc>
          <w:tcPr>
            <w:tcW w:type="dxa" w:w="6768"/>
            <w:vAlign w:val="center"/>
          </w:tcPr>
          <w:p>
            <w:r>
              <w:t>用户问能贷多少、利率多少、知识产权能否质押、有没有贴息时，查询融资知识。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get_task_guide</w:t>
            </w:r>
          </w:p>
        </w:tc>
        <w:tc>
          <w:tcPr>
            <w:tcW w:type="dxa" w:w="6768"/>
            <w:vAlign w:val="center"/>
          </w:tcPr>
          <w:p>
            <w:r>
              <w:t>用户问开公司要几天、社保怎么开户、发票怎么申领时，返回办事流程。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save_profile</w:t>
            </w:r>
          </w:p>
        </w:tc>
        <w:tc>
          <w:tcPr>
            <w:tcW w:type="dxa" w:w="6768"/>
            <w:vAlign w:val="center"/>
          </w:tcPr>
          <w:p>
            <w:r>
              <w:t>用户说明行业、注册状态、融资条件时，保存结构化画像，供后续调用。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get_profile</w:t>
            </w:r>
          </w:p>
        </w:tc>
        <w:tc>
          <w:tcPr>
            <w:tcW w:type="dxa" w:w="6768"/>
            <w:vAlign w:val="center"/>
          </w:tcPr>
          <w:p>
            <w:r>
              <w:t>读取已有画像，避免用户在连续追问中反复说明同一组条件。</w:t>
            </w:r>
          </w:p>
        </w:tc>
      </w:tr>
    </w:tbl>
    <w:p>
      <w:pPr>
        <w:pStyle w:val="Heading2"/>
        <w:keepNext/>
      </w:pPr>
      <w:r>
        <w:t>4.4 同一知识层的三种调用方式</w:t>
      </w:r>
    </w:p>
    <w:p>
      <w:pPr/>
      <w:r>
        <w:t>同一套政策、融资和办事知识同时提供三种接入方式，适配不同的使用场景。创新点不在于堆叠接口，而在于三种方式共享同一套工具边界和证据纪律，不因调用入口不同而产生两套答案：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4608"/>
      </w:tblGrid>
      <w:tr>
        <w:tc>
          <w:tcPr>
            <w:tcW w:type="dxa" w:w="1872"/>
            <w:vAlign w:val="center"/>
          </w:tcPr>
          <w:p>
            <w:r>
              <w:t>接入方式</w:t>
            </w:r>
          </w:p>
        </w:tc>
        <w:tc>
          <w:tcPr>
            <w:tcW w:type="dxa" w:w="2880"/>
            <w:vAlign w:val="center"/>
          </w:tcPr>
          <w:p>
            <w:r>
              <w:t>面向谁</w:t>
            </w:r>
          </w:p>
        </w:tc>
        <w:tc>
          <w:tcPr>
            <w:tcW w:type="dxa" w:w="4608"/>
            <w:vAlign w:val="center"/>
          </w:tcPr>
          <w:p>
            <w:r>
              <w:t>提供的能力</w:t>
            </w:r>
          </w:p>
        </w:tc>
      </w:tr>
      <w:tr>
        <w:tc>
          <w:tcPr>
            <w:tcW w:type="dxa" w:w="1872"/>
            <w:vAlign w:val="center"/>
          </w:tcPr>
          <w:p>
            <w:r>
              <w:t>MCP</w:t>
            </w:r>
          </w:p>
        </w:tc>
        <w:tc>
          <w:tcPr>
            <w:tcW w:type="dxa" w:w="2880"/>
            <w:vAlign w:val="center"/>
          </w:tcPr>
          <w:p>
            <w:r>
              <w:t>Claude Code、Codex 等 AI 客户端</w:t>
            </w:r>
          </w:p>
        </w:tc>
        <w:tc>
          <w:tcPr>
            <w:tcW w:type="dxa" w:w="4608"/>
            <w:vAlign w:val="center"/>
          </w:tcPr>
          <w:p>
            <w:r>
              <w:t>通过 /mcp 以工具方式调用，模型按用户意图选择五个工具。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REST API</w:t>
            </w:r>
          </w:p>
        </w:tc>
        <w:tc>
          <w:tcPr>
            <w:tcW w:type="dxa" w:w="2880"/>
            <w:vAlign w:val="center"/>
          </w:tcPr>
          <w:p>
            <w:r>
              <w:t>网页、脚本和业务系统</w:t>
            </w:r>
          </w:p>
        </w:tc>
        <w:tc>
          <w:tcPr>
            <w:tcW w:type="dxa" w:w="4608"/>
            <w:vAlign w:val="center"/>
          </w:tcPr>
          <w:p>
            <w:r>
              <w:t>通过 /api/policy 等 HTTP 接口直接调用，使用中文 JSON 参数，不依赖客户端插件。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Skill</w:t>
            </w:r>
          </w:p>
        </w:tc>
        <w:tc>
          <w:tcPr>
            <w:tcW w:type="dxa" w:w="2880"/>
            <w:vAlign w:val="center"/>
          </w:tcPr>
          <w:p>
            <w:r>
              <w:t>可复用的 AI 工作流</w:t>
            </w:r>
          </w:p>
        </w:tc>
        <w:tc>
          <w:tcPr>
            <w:tcW w:type="dxa" w:w="4608"/>
            <w:vAlign w:val="center"/>
          </w:tcPr>
          <w:p>
            <w:r>
              <w:t>把调用说明和工具边界打包，让不同 AI 工作流复用同一套知识入口。</w:t>
            </w:r>
          </w:p>
        </w:tc>
      </w:tr>
    </w:tbl>
    <w:p>
      <w:pPr>
        <w:pStyle w:val="Heading2"/>
        <w:keepNext/>
      </w:pPr>
      <w:r>
        <w:t>4.5 面向 AI 调用的证据纪律</w:t>
      </w:r>
    </w:p>
    <w:p>
      <w:pPr/>
      <w:r>
        <w:t>开放层的创新还在于它把“能不能回答”写成了工具边界，而不是把所有问题都交给模型自由发挥。页面明确展示四条调用纪律：</w:t>
      </w:r>
    </w:p>
    <w:p>
      <w:pPr>
        <w:pStyle w:val="Compact"/>
        <w:numPr>
          <w:ilvl w:val="0"/>
          <w:numId w:val="1002"/>
        </w:numPr>
      </w:pPr>
      <w:r>
        <w:t>金额、期限、利率只能原样输出。页面展示的 67 个融资产品中，只有 28 个写了具体额度、13 个写了利率口径，其余返回“以机构核定为准”，不折算、不估算。</w:t>
      </w:r>
    </w:p>
    <w:p>
      <w:pPr>
        <w:pStyle w:val="Compact"/>
        <w:numPr>
          <w:ilvl w:val="0"/>
          <w:numId w:val="1002"/>
        </w:numPr>
      </w:pPr>
      <w:r>
        <w:t>办事流程里的工作日、时限、申领份数只能来自接口返回，不能用记忆替换官方口径。</w:t>
      </w:r>
    </w:p>
    <w:p>
      <w:pPr>
        <w:pStyle w:val="Compact"/>
        <w:numPr>
          <w:ilvl w:val="0"/>
          <w:numId w:val="1002"/>
        </w:numPr>
      </w:pPr>
      <w:r>
        <w:t>检索不到就明确说检索不到，不补写条目，不把空白包装成结论。</w:t>
      </w:r>
    </w:p>
    <w:p>
      <w:pPr>
        <w:pStyle w:val="Compact"/>
        <w:numPr>
          <w:ilvl w:val="0"/>
          <w:numId w:val="1002"/>
        </w:numPr>
      </w:pPr>
      <w:r>
        <w:t>不输出接口没有的评级、成功率、预计能批多少等判断，避免把模型猜测伪装成服务结果。</w:t>
      </w:r>
    </w:p>
    <w:p>
      <w:pPr/>
      <w:r>
        <w:t>因此，MCP 的价值不是让 AI 说得更多，而是让创业服务知识进入更多 AI 场景，同时保留可调用、可核验、有边界的回答方式。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1"/>
        <w:szCs w:val="21"/>
        <w:lang w:bidi="ar-SA" w:eastAsia="zh-CN" w:val="en-US"/>
      </w:rPr>
    </w:rPrDefault>
    <w:pPrDefault>
      <w:pPr>
        <w:spacing w:after="140" w:line="3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创业搭子 · 产品方案文档（四）创新点说明</dc:title>
  <dc:creator/>
  <cp:keywords/>
  <dcterms:created xsi:type="dcterms:W3CDTF">2026-08-29T12:43:55Z</dcterms:created>
  <dcterms:modified xsi:type="dcterms:W3CDTF">2026-08-29T12:43:55Z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