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Meditations</w:t>
      </w:r>
    </w:p>
    <w:p>
      <w:r>
        <w:t xml:space="preserve">A private journal of reflections, composed in quiet hours, for the improvement of the soul and the ordering of the mind. These are not teachings for others, but reminders for the self—reminders of what has been learned, of what has been forgotten, and of what must be practiced each day if one is to live with integrity and peace.</w:t>
      </w:r>
    </w:p>
    <w:p>
      <w:r>
        <w:rPr>
          <w:b/>
        </w:rPr>
        <w:t xml:space="preserve">ॐ नमः शिवाय</w:t>
      </w:r>
    </w:p>
    <w:p>
      <w:r>
        <w:t xml:space="preserve">The sacred syllable grounds the beginning, as it grounds all things. Let the writing of these meditations be an act of devotion as much as an act of thought, and let each word be uttered first in the silence of the heart before it is committed to paper.</w:t>
      </w:r>
    </w:p>
    <w:p>
      <w:pPr>
        <w:pStyle w:val="Heading1"/>
      </w:pPr>
      <w:r>
        <w:t xml:space="preserve">Book I</w:t>
      </w:r>
    </w:p>
    <w:p>
      <w:pPr>
        <w:pStyle w:val="Heading2"/>
      </w:pPr>
      <w:r>
        <w:t xml:space="preserve">I.1: On Debt and Gratitude</w:t>
      </w:r>
    </w:p>
    <w:p>
      <w:r>
        <w:t xml:space="preserve">From my grandfather I learned the value of patience and the art of listening, not only to the words that people speak but to the silences between them. He was a man of few words, and those he uttered he weighed carefully, as a goldsmith weighs coins upon his scales.</w:t>
      </w:r>
    </w:p>
    <w:p>
      <w:pPr>
        <w:pStyle w:val="Quote"/>
      </w:pPr>
      <w:r>
        <w:rPr>
          <w:rStyle w:val="QuoteChar"/>
        </w:rPr>
        <w:t xml:space="preserve">We do not inherit the world from our ancestors; we borrow it from our children, and we must return it better than we found it.</w:t>
      </w:r>
    </w:p>
    <w:p>
      <w:r>
        <w:t xml:space="preserve">From my mother I learned kindness without weakness, generosity without ostentation, and the quiet courage that endures misfortune without complaint. Her piety was of a gentle kind; she spoke little of the gods, but her every action was a prayer.</w:t>
      </w:r>
    </w:p>
    <w:p>
      <w:r>
        <w:t xml:space="preserve">From my teachers I learned that the greatest lesson is not to be found in any book, but in the humble recognition that you still have much to learn. The pursuit of wisdom begins with the admission of ignorance and continues with the patient work of a lifetime.</w:t>
      </w:r>
    </w:p>
    <w:p>
      <w:pPr>
        <w:pStyle w:val="Heading2"/>
      </w:pPr>
      <w:r>
        <w:t xml:space="preserve">I.2: On the Shortness of Life</w:t>
      </w:r>
    </w:p>
    <w:p>
      <w:r>
        <w:t xml:space="preserve">Men complain that life is short, and yet they waste the greater part of it as though it were endless. They squander hours on trivial pursuits, on quarrels, on gossip, on the pursuit of honors that will be forgotten before the funeral wreaths have withered.</w:t>
      </w:r>
    </w:p>
    <w:p>
      <w:pPr>
        <w:pStyle w:val="Quote"/>
      </w:pPr>
      <w:r>
        <w:rPr>
          <w:rStyle w:val="QuoteChar"/>
        </w:rPr>
        <w:t xml:space="preserve">It is not that we have so little time, but that we lose so much of it. Life is long enough, and a sufficiently generous amount has been given to us for the accomplishment of the very greatest things, if all of it were well invested.</w:t>
      </w:r>
    </w:p>
    <w:p>
      <w:r>
        <w:t xml:space="preserve">Consider how many years you have already spent in sleep, in idle conversation, in spectacles and entertainments, in fretting over things you cannot change. When you tally them up honestly, you will find that you are older than you thought, and younger than you ought to be.</w:t>
      </w:r>
    </w:p>
    <w:p>
      <w:r>
        <w:t xml:space="preserve">Each morning remind yourself: today I shall meet with meddling, with ingratitude, with insolence, with dishonesty, with envy, with selfishness. All these things happen because those who commit them know not good from evil. But I have seen the nature of the good and the nature of the evil, and I know that even those who wrong me are my kin, not by blood but by participation in the same divine reason.</w:t>
      </w:r>
    </w:p>
    <w:p>
      <w:pPr>
        <w:pStyle w:val="Heading2"/>
      </w:pPr>
      <w:r>
        <w:t xml:space="preserve">I.3: On Living in Accord with Nature</w:t>
      </w:r>
    </w:p>
    <w:p>
      <w:r>
        <w:t xml:space="preserve">The universe is governed by a rational order, and our highest good is to live in accordance with that order. This does not mean passively accepting every injury; it means distinguishing between what is within our power and what is not, and expending our energy only where it may bear fruit.</w:t>
      </w:r>
    </w:p>
    <w:p>
      <w:pPr>
        <w:pStyle w:val="Quote"/>
      </w:pPr>
      <w:r>
        <w:rPr>
          <w:rStyle w:val="QuoteChar"/>
        </w:rPr>
        <w:t xml:space="preserve">Some things are up to us, and some are not up to us. What is up to us: our opinions, our impulses, our desires, our aversions, and, in a word, whatever is our own doing. What is not up to us: our bodies, our property, our reputation, our public offices, and, in a word, whatever is not our own doing.</w:t>
      </w:r>
    </w:p>
    <w:p>
      <w:r>
        <w:t xml:space="preserve">You cannot control the weather. You cannot control the actions of others. You cannot control whether you are praised or blamed, promoted or dismissed, loved or rejected. What you can control is your own judgment, your own will, your own character—and these are sufficient for a life of flourishing, if you will but cultivate them with care.</w:t>
      </w:r>
    </w:p>
    <w:p>
      <w:pPr>
        <w:pStyle w:val="Heading1"/>
      </w:pPr>
      <w:r>
        <w:t xml:space="preserve">Book II</w:t>
      </w:r>
    </w:p>
    <w:p>
      <w:pPr>
        <w:pStyle w:val="Heading2"/>
      </w:pPr>
      <w:r>
        <w:t xml:space="preserve">II.1: On Mindfulness and Presence</w:t>
      </w:r>
    </w:p>
    <w:p>
      <w:r>
        <w:t xml:space="preserve">Waste no more time arguing about what a good man should be. Be one. Do not discourse upon virtue; embody it. Let your actions speak, and let your words be few, and those few chosen with the same care that you would use to select stones for a foundation.</w:t>
      </w:r>
    </w:p>
    <w:p>
      <w:pPr>
        <w:pStyle w:val="Quote"/>
      </w:pPr>
      <w:r>
        <w:rPr>
          <w:rStyle w:val="QuoteChar"/>
        </w:rPr>
        <w:t xml:space="preserve">The present is the only thing of which a man can be deprived, if indeed he can be deprived of anything at all; for this is the only thing that he has, and no man can lose what he has not got.</w:t>
      </w:r>
    </w:p>
    <w:p>
      <w:r>
        <w:t xml:space="preserve">Do not brood over the past as though it could be changed, nor torment yourself over the future as though it were already here. The only moment that is yours is the one that is now. Live it fully. Live it well. Live it in accordance with the best that is within you.</w:t>
      </w:r>
    </w:p>
    <w:p>
      <w:r>
        <w:t xml:space="preserve">When you arise in the morning, think of what a precious privilege it is to be alive—to breathe, to think, to enjoy, to love. Not one of these things is guaranteed. Not one of them is owed to you. They are gifts, and the appropriate response to a gift is gratitude, not complaint.</w:t>
      </w:r>
    </w:p>
    <w:p>
      <w:pPr>
        <w:pStyle w:val="Heading2"/>
      </w:pPr>
      <w:r>
        <w:t xml:space="preserve">II.2: On the Fellowship of Humankind</w:t>
      </w:r>
    </w:p>
    <w:p>
      <w:r>
        <w:t xml:space="preserve">When you are offended at any man's fault, immediately turn to yourself and reflect in what like manner you yourself err. For in doing so you will forget your anger, and you will learn the difficult but necessary lesson of forgiveness—not for the sake of the other, though it benefits him also, but for the sake of your own peace of mind.</w:t>
      </w:r>
    </w:p>
    <w:p>
      <w:pPr>
        <w:pStyle w:val="Quote"/>
      </w:pPr>
      <w:r>
        <w:rPr>
          <w:rStyle w:val="QuoteChar"/>
        </w:rPr>
        <w:t xml:space="preserve">What is not good for the hive is not good for the bee. What injures the community injures the citizen. When you complain of another, remember: you are complaining of a member of your own body.</w:t>
      </w:r>
    </w:p>
    <w:p>
      <w:r>
        <w:t xml:space="preserve">We are all citizens of the same great city. The differences between us—of language, of custom, of station, of creed—are accidents of birth, not marks of essence. At the deepest level, every human being shares the same origin, the same dignity, and the same destiny.</w:t>
      </w:r>
    </w:p>
    <w:p>
      <w:pPr>
        <w:pStyle w:val="Heading2"/>
      </w:pPr>
      <w:r>
        <w:t xml:space="preserve">II.3: A Table of the Virtues and Their Practice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tblGrid>
      <w:tr>
        <w:tc>
          <w:tcPr>
            <w:shd w:val="clear" w:color="auto" w:fill="D9E2F3"/>
          </w:tcPr>
          <w:p>
            <w:r>
              <w:rPr>
                <w:b/>
              </w:rPr>
              <w:t xml:space="preserve">Virtue</w:t>
            </w:r>
          </w:p>
        </w:tc>
        <w:tc>
          <w:tcPr>
            <w:shd w:val="clear" w:color="auto" w:fill="D9E2F3"/>
          </w:tcPr>
          <w:p>
            <w:r>
              <w:rPr>
                <w:b/>
              </w:rPr>
              <w:t xml:space="preserve">Definition</w:t>
            </w:r>
          </w:p>
        </w:tc>
        <w:tc>
          <w:tcPr>
            <w:shd w:val="clear" w:color="auto" w:fill="D9E2F3"/>
          </w:tcPr>
          <w:p>
            <w:r>
              <w:rPr>
                <w:b/>
              </w:rPr>
              <w:t xml:space="preserve">Daily Practice</w:t>
            </w:r>
          </w:p>
        </w:tc>
      </w:tr>
      <w:tr>
        <w:tc>
          <w:p>
            <w:r>
              <w:t xml:space="preserve">Wisdom</w:t>
            </w:r>
          </w:p>
        </w:tc>
        <w:tc>
          <w:p>
            <w:r>
              <w:t xml:space="preserve">The knowledge of good and evil, and of what in each situation is to be done.</w:t>
            </w:r>
          </w:p>
        </w:tc>
        <w:tc>
          <w:p>
            <w:r>
              <w:t xml:space="preserve">Before you speak or act, pause and ask: Is this the right thing?</w:t>
            </w:r>
          </w:p>
        </w:tc>
      </w:tr>
      <w:tr>
        <w:tc>
          <w:p>
            <w:r>
              <w:t xml:space="preserve">Courage</w:t>
            </w:r>
          </w:p>
        </w:tc>
        <w:tc>
          <w:p>
            <w:r>
              <w:t xml:space="preserve">The willingness to do what is right, even when it is painful or dangerous.</w:t>
            </w:r>
          </w:p>
        </w:tc>
        <w:tc>
          <w:p>
            <w:r>
              <w:t xml:space="preserve">Seek out one small opportunity each day to face a fear.</w:t>
            </w:r>
          </w:p>
        </w:tc>
      </w:tr>
      <w:tr>
        <w:tc>
          <w:p>
            <w:r>
              <w:t xml:space="preserve">Justice</w:t>
            </w:r>
          </w:p>
        </w:tc>
        <w:tc>
          <w:p>
            <w:r>
              <w:t xml:space="preserve">The fair and equitable treatment of all, regardless of their station.</w:t>
            </w:r>
          </w:p>
        </w:tc>
        <w:tc>
          <w:p>
            <w:r>
              <w:t xml:space="preserve">Ask of every decision: Would I think this fair if I were the other party?</w:t>
            </w:r>
          </w:p>
        </w:tc>
      </w:tr>
    </w:tbl>
    <w:p>
      <w:pPr>
        <w:pStyle w:val="Heading2"/>
      </w:pPr>
      <w:r>
        <w:t xml:space="preserve">II.4: Final Observations</w:t>
      </w:r>
    </w:p>
    <w:p>
      <w:r>
        <w:t xml:space="preserve">Remember that the door is always open. If life becomes unbearable, you may leave it as you would a smoky room, without shame and without regret. But until that moment, stay. Continue. Persevere. Do the work that is yours to do, and do it without complaint.</w:t>
      </w:r>
    </w:p>
    <w:p>
      <w:pPr>
        <w:pStyle w:val="Quote"/>
      </w:pPr>
      <w:r>
        <w:rPr>
          <w:rStyle w:val="QuoteChar"/>
        </w:rPr>
        <w:t xml:space="preserve">In the morning thou shalt say with thyself: I shall meet with the busy-body, the unthankful, and the insolent. Let it not in any way be possible for thee to be harmed by any of these, if thou wilt not remember that the doer of wrong does thee injury only in so far as thou permittest him.</w:t>
      </w:r>
    </w:p>
    <w:p>
      <w:pPr>
        <w:pStyle w:val="Normal"/>
      </w:pPr>
      <w:r>
        <w:t xml:space="preserve">&lt;w:r&gt;&lt;w:rPr&gt;&lt;w:rStyle w:val="FootnoteReference"/&gt;&lt;/w:rPr&gt;&lt;w:footnoteReference w:id="2"/&gt;&lt;/w:r&gt;</w:t>
      </w:r>
    </w:p>
    <w:p>
      <w:pPr>
        <w:pStyle w:val="Normal"/>
      </w:pPr>
      <w:r>
        <w:t xml:space="preserve">&lt;w:r&gt;&lt;w:rPr&gt;&lt;w:rStyle w:val="FootnoteReference"/&gt;&lt;/w:rPr&gt;&lt;w:footnoteReference w:id="3"/&gt;&lt;/w:r&gt;</w:t>
      </w:r>
    </w:p>
    <w:p>
      <w:r>
        <w:t xml:space="preserve">At the end of each day, before you close your eyes in sleep, review the hours that have passed. Where did you fall short? Where did you rise above yourself? What have you learned, and what will you do differently tomorrow? Do this honestly, without self-flattery and without self-contempt, and you will grow.</w:t>
      </w:r>
    </w:p>
    <w:p>
      <w:r>
        <w:t xml:space="preserve">So much for the meditations. May the writing of them have been as useful to the composer as the reading of them, if they ever find a reader, may prove to be. And if no reader should ever find them, then at least they have served their purpose: they have been a mirror for the mind, and a whetstone for the will.</w:t>
      </w:r>
    </w:p>
    <w:sectPr>
      <w:pgSz w:w="12240" w:h="15840"/>
      <w:pgMar w:top="1440" w:right="1440" w:bottom="1440" w:left="1440" w:header="720" w:footer="720" w:gutter="0"/>
    </w:sectPr>
  </w:body>
</w:document>
</file>

<file path=word/footnotes.xml><?xml version="1.0" encoding="UTF-8" standalone="yes"?>
<w:footnotes xmlns:w="http://schemas.openxmlformats.org/wordprocessingml/2006/main">
  <w:footnote w:id="0" w:type="separator"><w:p><w:r><w:separator/></w:r></w:p></w:footnote>
  <w:footnote w:id="1" w:type="continuationSeparator"><w:p><w:r><w:continuationSeparator/></w:r></w:p></w:footnote>
  <w:footnote w:id="2" w:type="normal">
      <w:p><w:pPr><w:pStyle w:val="FootnoteText"/><w:r><w:rPr><w:rStyle w:val="FootnoteReference"/></w:rPr><w:footnoteRef/></w:r> <w:r><w:t xml:space="preserve">Marcus Aurelius often returns to this morning practice of premeditation on adversity; compare Book II, 1 and Book XI, 18.</w:t></w:r></w:p><w:r><w:t xml:space="preserve">2</w:t></w:r></w:p>
    </w:footnote>
  <w:footnote w:id="3" w:type="normal">
      <w:p><w:pPr><w:pStyle w:val="FootnoteText"/><w:r><w:rPr><w:rStyle w:val="FootnoteReference"/></w:rPr><w:footnoteRef/></w:r> <w:r><w:t xml:space="preserve">The doctrine that harm requires consent is central to Stoic psychology; see Epictetus, Discourses I, 28.</w:t></w:r></w:p><w:r><w:t xml:space="preserve">3</w:t></w:r></w:p>
    </w:footnote>
</w:footnotes>
</file>

<file path=word/numbering.xml><?xml version="1.0" encoding="utf-8"?>
<w:numbering xmlns:w="http://schemas.openxmlformats.org/wordprocessingml/2006/main">
  <w:abstractNum w:abstractNumId="0">
    <w:nsid w:val="FFFFFF80"/>
    <w:multiLevelType w:val="multilevel"/>
    <w:lvl w:ilvl="0">
      <w:start w:val="1"/>
      <w:numFmt w:val="decimal"/>
      <w:lvlText w:val="%1."/>
      <w:lvlJc w:val="left"/>
      <w:pPr>
        <w:ind w:left="720" w:hanging="360"/>
      </w:pPr>
    </w:lvl>
    <w:lvl w:ilvl="1">
      <w:start w:val="1"/>
      <w:numFmt w:val="lowerLetter"/>
      <w:lvlText w:val="%2."/>
      <w:lvlJc w:val="left"/>
      <w:pPr>
        <w:ind w:left="10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uiPriority w:val="9"/>
    <w:pPr>
      <w:spacing w:before="480" w:after="240"/>
      <w:outlineLvl w:val="0"/>
    </w:pPr>
    <w:rPr>
      <w:b/>
      <w:bCs/>
      <w:sz w:val="32"/>
      <w:szCs w:val="32"/>
    </w:rPr>
  </w:style>
  <w:style w:type="paragraph" w:styleId="Heading2">
    <w:name w:val="heading 2"/>
    <w:basedOn w:val="Normal"/>
    <w:next w:val="Normal"/>
    <w:qFormat/>
    <w:uiPriority w:val="9"/>
    <w:pPr>
      <w:spacing w:before="280" w:after="160"/>
      <w:outlineLvl w:val="1"/>
    </w:pPr>
    <w:rPr>
      <w:b/>
      <w:bCs/>
      <w:sz w:val="26"/>
      <w:szCs w:val="26"/>
    </w:rPr>
  </w:style>
  <w:style w:type="paragraph" w:styleId="Quote">
    <w:name w:val="Quote"/>
    <w:basedOn w:val="Normal"/>
    <w:next w:val="Normal"/>
    <w:uiPriority w:val="25"/>
    <w:pPr>
      <w:ind w:left="720" w:right="720"/>
      <w:jc w:val="center"/>
    </w:pPr>
    <w:rPr>
      <w:i/>
      <w:iCs/>
      <w:color w:val="595959"/>
    </w:rPr>
  </w:style>
  <w:style w:type="character" w:styleId="QuoteChar">
    <w:name w:val="Quote Char"/>
    <w:basedOn w:val="DefaultParagraphFont"/>
    <w:uiPriority w:val="25"/>
    <w:rPr>
      <w:i/>
      <w:iCs/>
    </w:rPr>
  </w:style>
  <w:style w:type="character" w:styleId="FootnoteReference">
    <w:name w:val="footnote reference"/>
    <w:uiPriority w:val="25"/>
    <w:rPr>
      <w:vertAlign w:val="superscript"/>
    </w:rPr>
  </w:style>
  <w:style w:type="paragraph" w:styleId="FootnoteText">
    <w:name w:val="footnote text"/>
    <w:basedOn w:val="Normal"/>
    <w:uiPriority w:val="25"/>
    <w:pPr>
      <w:spacing w:after="0" w:line="240" w:lineRule="auto"/>
      <w:ind w:left="360" w:hanging="360"/>
    </w:pPr>
    <w:rPr>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s>
</file>

<file path=word/_rels/footnotes.xml.rels><?xml version="1.0" encoding="UTF-8" standalone="yes"?>
<Relationships xmlns="http://schemas.openxmlformats.org/package/2006/relationships"></Relationships>
</file>