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color w:val="666666"/>
          <w:sz w:val="24"/>
          <w:szCs w:val="24"/>
        </w:rPr>
        <w:t xml:space="preserve">USCIS Office of Performance and Quality</w:t>
      </w:r>
    </w:p>
    <w:p>
      <w:pPr>
        <w:spacing w:after="120"/>
        <w:jc w:val="center"/>
      </w:pPr>
      <w:r>
        <w:rPr>
          <w:rFonts w:ascii="Arial" w:cs="Arial" w:eastAsia="Arial" w:hAnsi="Arial"/>
          <w:b/>
          <w:bCs/>
          <w:color w:val="1B3A5C"/>
          <w:sz w:val="52"/>
          <w:szCs w:val="52"/>
        </w:rPr>
        <w:t xml:space="preserve">AI Use Cases</w:t>
      </w:r>
    </w:p>
    <w:p>
      <w:pPr>
        <w:spacing w:after="80"/>
        <w:jc w:val="center"/>
      </w:pPr>
      <w:r>
        <w:rPr>
          <w:rFonts w:ascii="Arial" w:cs="Arial" w:eastAsia="Arial" w:hAnsi="Arial"/>
          <w:color w:val="2E75B6"/>
          <w:sz w:val="28"/>
          <w:szCs w:val="28"/>
        </w:rPr>
        <w:t xml:space="preserve">Version 3.0</w:t>
      </w:r>
    </w:p>
    <w:p>
      <w:pPr>
        <w:spacing w:after="600"/>
        <w:jc w:val="center"/>
      </w:pPr>
      <w:r>
        <w:rPr>
          <w:rFonts w:ascii="Arial" w:cs="Arial" w:eastAsia="Arial" w:hAnsi="Arial"/>
          <w:color w:val="666666"/>
          <w:sz w:val="22"/>
          <w:szCs w:val="22"/>
        </w:rPr>
        <w:t xml:space="preserve">February 2026</w:t>
      </w:r>
    </w:p>
    <w:p>
      <w:pPr>
        <w:spacing w:after="200"/>
        <w:jc w:val="center"/>
      </w:pPr>
      <w:r>
        <w:rPr>
          <w:rFonts w:ascii="Arial" w:cs="Arial" w:eastAsia="Arial" w:hAnsi="Arial"/>
          <w:b/>
          <w:bCs/>
          <w:color w:val="1B3A5C"/>
          <w:sz w:val="24"/>
          <w:szCs w:val="24"/>
        </w:rPr>
        <w:t xml:space="preserve">Use Case Categories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none"/>
              <w:left w:val="none"/>
              <w:bottom w:val="none"/>
              <w:right w:val="none"/>
            </w:tcBorders>
            <w:shd w:fill="2E75B6"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AI
Implementation</w:t>
            </w:r>
          </w:p>
        </w:tc>
        <w:tc>
          <w:tcPr>
            <w:tcW w:type="dxa" w:w="5600"/>
            <w:tcBorders>
              <w:top w:val="none"/>
              <w:left w:val="none"/>
              <w:bottom w:val="none"/>
              <w:right w:val="none"/>
            </w:tcBorders>
            <w:shd w:fill="D5E8F0" w:val="clear"/>
            <w:tcMar>
              <w:top w:type="dxa" w:w="80"/>
              <w:left w:type="dxa" w:w="160"/>
              <w:bottom w:type="dxa" w:w="80"/>
              <w:right w:type="dxa" w:w="120"/>
            </w:tcMar>
          </w:tcPr>
          <w:p>
            <w:r>
              <w:rPr>
                <w:rFonts w:ascii="Arial" w:cs="Arial" w:eastAsia="Arial" w:hAnsi="Arial"/>
                <w:color w:val="333333"/>
                <w:sz w:val="19"/>
                <w:szCs w:val="19"/>
              </w:rPr>
              <w:t xml:space="preserve">Creation, maintenance, and operation of AI solutions. These use cases improve how OPQ builds, tests, documents, and manages its data and analytics products. They make the team faster and more efficient.</w:t>
            </w:r>
          </w:p>
        </w:tc>
      </w:tr>
    </w:tbl>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none"/>
              <w:left w:val="none"/>
              <w:bottom w:val="none"/>
              <w:right w:val="none"/>
            </w:tcBorders>
            <w:shd w:fill="00796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Business Value</w:t>
            </w:r>
          </w:p>
        </w:tc>
        <w:tc>
          <w:tcPr>
            <w:tcW w:type="dxa" w:w="5600"/>
            <w:tcBorders>
              <w:top w:val="none"/>
              <w:left w:val="none"/>
              <w:bottom w:val="none"/>
              <w:right w:val="none"/>
            </w:tcBorders>
            <w:shd w:fill="E0F2F1" w:val="clear"/>
            <w:tcMar>
              <w:top w:type="dxa" w:w="80"/>
              <w:left w:type="dxa" w:w="160"/>
              <w:bottom w:type="dxa" w:w="80"/>
              <w:right w:type="dxa" w:w="120"/>
            </w:tcMar>
          </w:tcPr>
          <w:p>
            <w:r>
              <w:rPr>
                <w:rFonts w:ascii="Arial" w:cs="Arial" w:eastAsia="Arial" w:hAnsi="Arial"/>
                <w:color w:val="333333"/>
                <w:sz w:val="19"/>
                <w:szCs w:val="19"/>
              </w:rPr>
              <w:t xml:space="preserve">Using AI to deliver direct operational value to USCIS. These use cases help analysts, leadership, and program offices get answers faster, make better decisions, and reduce manual effort on routine tasks.</w:t>
            </w:r>
          </w:p>
        </w:tc>
      </w:tr>
    </w:tbl>
    <w:p>
      <w:pPr>
        <w:spacing w:after="80"/>
      </w:pPr>
    </w:p>
    <w:p>
      <w:pPr>
        <w:spacing w:before="200" w:after="120"/>
      </w:pPr>
      <w:r>
        <w:rPr>
          <w:rFonts w:ascii="Arial" w:cs="Arial" w:eastAsia="Arial" w:hAnsi="Arial"/>
          <w:b/>
          <w:bCs/>
          <w:color w:val="1B3A5C"/>
          <w:sz w:val="24"/>
          <w:szCs w:val="24"/>
        </w:rPr>
        <w:t xml:space="preserve">Platforms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none"/>
              <w:left w:val="none"/>
              <w:bottom w:val="none"/>
              <w:right w:val="none"/>
            </w:tcBorders>
            <w:shd w:fill="1A237E"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DHS Chat</w:t>
            </w:r>
          </w:p>
        </w:tc>
        <w:tc>
          <w:tcPr>
            <w:tcW w:type="dxa" w:w="5600"/>
            <w:tcBorders>
              <w:top w:val="none"/>
              <w:left w:val="none"/>
              <w:bottom w:val="none"/>
              <w:right w:val="none"/>
            </w:tcBorders>
            <w:shd w:fill="E8EAF6" w:val="clear"/>
            <w:tcMar>
              <w:top w:type="dxa" w:w="80"/>
              <w:left w:type="dxa" w:w="160"/>
              <w:bottom w:type="dxa" w:w="80"/>
              <w:right w:type="dxa" w:w="120"/>
            </w:tcMar>
          </w:tcPr>
          <w:p>
            <w:r>
              <w:rPr>
                <w:rFonts w:ascii="Arial" w:cs="Arial" w:eastAsia="Arial" w:hAnsi="Arial"/>
                <w:color w:val="333333"/>
                <w:sz w:val="19"/>
                <w:szCs w:val="19"/>
              </w:rPr>
              <w:t xml:space="preserve">DHS-managed internal AI chatbot. Available to all USCIS staff today. Supports document upload, conversational queries, and prompt-based workflows. No additional procurement required.</w:t>
            </w:r>
          </w:p>
        </w:tc>
      </w:tr>
    </w:tbl>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tcBorders>
              <w:top w:val="none"/>
              <w:left w:val="none"/>
              <w:bottom w:val="none"/>
              <w:right w:val="none"/>
            </w:tcBorders>
            <w:shd w:fill="FF6F0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Databricks</w:t>
            </w:r>
          </w:p>
        </w:tc>
        <w:tc>
          <w:tcPr>
            <w:tcW w:type="dxa" w:w="5600"/>
            <w:tcBorders>
              <w:top w:val="none"/>
              <w:left w:val="none"/>
              <w:bottom w:val="none"/>
              <w:right w:val="none"/>
            </w:tcBorders>
            <w:shd w:fill="FFF3E0" w:val="clear"/>
            <w:tcMar>
              <w:top w:type="dxa" w:w="80"/>
              <w:left w:type="dxa" w:w="160"/>
              <w:bottom w:type="dxa" w:w="80"/>
              <w:right w:type="dxa" w:w="120"/>
            </w:tcMar>
          </w:tcPr>
          <w:p>
            <w:r>
              <w:rPr>
                <w:rFonts w:ascii="Arial" w:cs="Arial" w:eastAsia="Arial" w:hAnsi="Arial"/>
                <w:color w:val="333333"/>
                <w:sz w:val="19"/>
                <w:szCs w:val="19"/>
              </w:rPr>
              <w:t xml:space="preserve">OPQ’s data engineering and analytics platform. Includes AI Playground, Foundation Model APIs, Databricks Assistant, MLflow, and notebook-based development. Some AI features require enablement based on workspace configuration.</w:t>
            </w:r>
          </w:p>
        </w:tc>
      </w:tr>
    </w:tbl>
    <w:p>
      <w:pPr>
        <w:spacing w:after="80"/>
      </w:pPr>
    </w:p>
    <w:p>
      <w:pPr>
        <w:spacing w:before="200" w:after="80"/>
      </w:pPr>
      <w:r>
        <w:rPr>
          <w:rFonts w:ascii="Arial" w:cs="Arial" w:eastAsia="Arial" w:hAnsi="Arial"/>
          <w:b/>
          <w:bCs/>
          <w:color w:val="1B3A5C"/>
          <w:sz w:val="22"/>
          <w:szCs w:val="22"/>
        </w:rPr>
        <w:t xml:space="preserve">Status Legend</w:t>
      </w:r>
    </w:p>
    <w:p>
      <w:pPr>
        <w:pStyle w:val="ListParagraph"/>
        <w:numPr>
          <w:ilvl w:val="0"/>
          <w:numId w:val="2"/>
        </w:numPr>
        <w:spacing w:after="30"/>
      </w:pPr>
      <w:r>
        <w:rPr>
          <w:rFonts w:ascii="Arial" w:cs="Arial" w:eastAsia="Arial" w:hAnsi="Arial"/>
          <w:b/>
          <w:bCs/>
          <w:color w:val="388E3C"/>
          <w:sz w:val="19"/>
          <w:szCs w:val="19"/>
        </w:rPr>
        <w:t xml:space="preserve">✅ Current Use: </w:t>
      </w:r>
      <w:r>
        <w:rPr>
          <w:rFonts w:ascii="Arial" w:cs="Arial" w:eastAsia="Arial" w:hAnsi="Arial"/>
          <w:color w:val="666666"/>
          <w:sz w:val="19"/>
          <w:szCs w:val="19"/>
        </w:rPr>
        <w:t xml:space="preserve">OPQ teams are already doing this today using existing tools.</w:t>
      </w:r>
    </w:p>
    <w:p>
      <w:pPr>
        <w:pStyle w:val="ListParagraph"/>
        <w:numPr>
          <w:ilvl w:val="0"/>
          <w:numId w:val="2"/>
        </w:numPr>
        <w:spacing w:after="30"/>
      </w:pPr>
      <w:r>
        <w:rPr>
          <w:rFonts w:ascii="Arial" w:cs="Arial" w:eastAsia="Arial" w:hAnsi="Arial"/>
          <w:b/>
          <w:bCs/>
          <w:color w:val="1976D2"/>
          <w:sz w:val="19"/>
          <w:szCs w:val="19"/>
        </w:rPr>
        <w:t xml:space="preserve">▶ Proposed: </w:t>
      </w:r>
      <w:r>
        <w:rPr>
          <w:rFonts w:ascii="Arial" w:cs="Arial" w:eastAsia="Arial" w:hAnsi="Arial"/>
          <w:color w:val="666666"/>
          <w:sz w:val="19"/>
          <w:szCs w:val="19"/>
        </w:rPr>
        <w:t xml:space="preserve">Achievable with current or soon-to-be-available tools. Minimal or no additional security asks.</w:t>
      </w:r>
    </w:p>
    <w:p>
      <w:pPr>
        <w:spacing w:before="200" w:after="80"/>
      </w:pPr>
      <w:r>
        <w:rPr>
          <w:rFonts w:ascii="Arial" w:cs="Arial" w:eastAsia="Arial" w:hAnsi="Arial"/>
          <w:b/>
          <w:bCs/>
          <w:color w:val="1B3A5C"/>
          <w:sz w:val="22"/>
          <w:szCs w:val="22"/>
        </w:rPr>
        <w:t xml:space="preserve">Use Case Fields</w:t>
      </w:r>
    </w:p>
    <w:p>
      <w:pPr>
        <w:pStyle w:val="ListParagraph"/>
        <w:numPr>
          <w:ilvl w:val="0"/>
          <w:numId w:val="2"/>
        </w:numPr>
        <w:spacing w:after="30"/>
      </w:pPr>
      <w:r>
        <w:rPr>
          <w:rFonts w:ascii="Arial" w:cs="Arial" w:eastAsia="Arial" w:hAnsi="Arial"/>
          <w:b/>
          <w:bCs/>
          <w:color w:val="1B5E20"/>
          <w:sz w:val="19"/>
          <w:szCs w:val="19"/>
        </w:rPr>
        <w:t xml:space="preserve">Business Case: </w:t>
      </w:r>
      <w:r>
        <w:rPr>
          <w:rFonts w:ascii="Arial" w:cs="Arial" w:eastAsia="Arial" w:hAnsi="Arial"/>
          <w:color w:val="666666"/>
          <w:sz w:val="19"/>
          <w:szCs w:val="19"/>
        </w:rPr>
        <w:t xml:space="preserve">The problem being solved and the value delivered.</w:t>
      </w:r>
    </w:p>
    <w:p>
      <w:pPr>
        <w:pStyle w:val="ListParagraph"/>
        <w:numPr>
          <w:ilvl w:val="0"/>
          <w:numId w:val="2"/>
        </w:numPr>
        <w:spacing w:after="30"/>
      </w:pPr>
      <w:r>
        <w:rPr>
          <w:rFonts w:ascii="Arial" w:cs="Arial" w:eastAsia="Arial" w:hAnsi="Arial"/>
          <w:b/>
          <w:bCs/>
          <w:color w:val="0D47A1"/>
          <w:sz w:val="19"/>
          <w:szCs w:val="19"/>
        </w:rPr>
        <w:t xml:space="preserve">Data Flow: </w:t>
      </w:r>
      <w:r>
        <w:rPr>
          <w:rFonts w:ascii="Arial" w:cs="Arial" w:eastAsia="Arial" w:hAnsi="Arial"/>
          <w:color w:val="666666"/>
          <w:sz w:val="19"/>
          <w:szCs w:val="19"/>
        </w:rPr>
        <w:t xml:space="preserve">What goes in, what comes out.</w:t>
      </w:r>
    </w:p>
    <w:p>
      <w:pPr>
        <w:pStyle w:val="ListParagraph"/>
        <w:numPr>
          <w:ilvl w:val="0"/>
          <w:numId w:val="2"/>
        </w:numPr>
        <w:spacing w:after="30"/>
      </w:pPr>
      <w:r>
        <w:rPr>
          <w:rFonts w:ascii="Arial" w:cs="Arial" w:eastAsia="Arial" w:hAnsi="Arial"/>
          <w:b/>
          <w:bCs/>
          <w:color w:val="BF360C"/>
          <w:sz w:val="19"/>
          <w:szCs w:val="19"/>
        </w:rPr>
        <w:t xml:space="preserve">How It Will Be Used: </w:t>
      </w:r>
      <w:r>
        <w:rPr>
          <w:rFonts w:ascii="Arial" w:cs="Arial" w:eastAsia="Arial" w:hAnsi="Arial"/>
          <w:color w:val="666666"/>
          <w:sz w:val="19"/>
          <w:szCs w:val="19"/>
        </w:rPr>
        <w:t xml:space="preserve">Who uses it and what it changes about their workflow.</w:t>
      </w: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2E75B6" w:val="clear"/>
            <w:vAlign w:val="center"/>
          </w:tcPr>
          <w:p>
            <w:r>
              <w:rPr>
                <w:sz w:val="4"/>
                <w:szCs w:val="4"/>
              </w:rPr>
              <w:t xml:space="preserve"/>
            </w:r>
          </w:p>
        </w:tc>
        <w:tc>
          <w:tcPr>
            <w:tcW w:type="dxa" w:w="9240"/>
            <w:tcBorders>
              <w:top w:val="none"/>
              <w:left w:val="none"/>
              <w:bottom w:val="none"/>
              <w:right w:val="none"/>
            </w:tcBorders>
            <w:shd w:fill="D5E8F0" w:val="clear"/>
            <w:tcMar>
              <w:top w:type="dxa" w:w="140"/>
              <w:left w:type="dxa" w:w="200"/>
              <w:bottom w:type="dxa" w:w="140"/>
              <w:right w:type="dxa" w:w="120"/>
            </w:tcMar>
          </w:tcPr>
          <w:p>
            <w:r>
              <w:rPr>
                <w:rFonts w:ascii="Arial" w:cs="Arial" w:eastAsia="Arial" w:hAnsi="Arial"/>
                <w:b/>
                <w:bCs/>
                <w:color w:val="2E75B6"/>
                <w:sz w:val="28"/>
                <w:szCs w:val="28"/>
              </w:rPr>
              <w:t xml:space="preserve">AI Implementation</w:t>
            </w:r>
          </w:p>
          <w:p>
            <w:pPr>
              <w:spacing w:before="40"/>
            </w:pPr>
            <w:r>
              <w:rPr>
                <w:rFonts w:ascii="Arial" w:cs="Arial" w:eastAsia="Arial" w:hAnsi="Arial"/>
                <w:i/>
                <w:iCs/>
                <w:color w:val="666666"/>
                <w:sz w:val="19"/>
                <w:szCs w:val="19"/>
              </w:rPr>
              <w:t xml:space="preserve">Creation, maintenance, and operation of AI solutions — making the team faster and more efficient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AF6" w:val="clear"/>
            <w:tcMar>
              <w:top w:type="dxa" w:w="80"/>
              <w:left w:type="dxa" w:w="160"/>
              <w:bottom w:type="dxa" w:w="80"/>
              <w:right w:type="dxa" w:w="120"/>
            </w:tcMar>
          </w:tcPr>
          <w:p>
            <w:r>
              <w:rPr>
                <w:rFonts w:ascii="Arial" w:cs="Arial" w:eastAsia="Arial" w:hAnsi="Arial"/>
                <w:b/>
                <w:bCs/>
                <w:color w:val="1A237E"/>
                <w:sz w:val="24"/>
                <w:szCs w:val="24"/>
              </w:rPr>
              <w:t xml:space="preserve">DHS Chat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 Code Language Conversion</w:t>
            </w:r>
          </w:p>
        </w:tc>
        <w:tc>
          <w:tcPr>
            <w:tcW w:type="dxa" w:w="1600"/>
            <w:tcBorders>
              <w:top w:val="none"/>
              <w:left w:val="none"/>
              <w:bottom w:val="none"/>
              <w:right w:val="none"/>
            </w:tcBorders>
            <w:vAlign w:val="center"/>
          </w:tcPr>
          <w:p>
            <w:pPr>
              <w:jc w:val="center"/>
            </w:pPr>
            <w:r>
              <w:rPr>
                <w:rFonts w:ascii="Arial" w:cs="Arial" w:eastAsia="Arial" w:hAnsi="Arial"/>
                <w:b/>
                <w:bCs/>
                <w:color w:val="388E3C"/>
                <w:sz w:val="16"/>
                <w:szCs w:val="16"/>
              </w:rPr>
              <w:t xml:space="preserve">✅ Current Use</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data engineers frequently need to convert code between languages — Python to SQL, SQL to PySpark, SAS to Python, or R to PySpark — to work within the Databricks environment. Manually rewriting code is time-consuming and error-prone, especially for complex transformations. Engineers currently paste source code into DHS Chat, receive the converted version, and paste it into a Databricks notebook, saving hours of manual translation per conversion.</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pastes source code (e.g., a SAS procedure, R script, or legacy SQL query) into DHS Chat and specifies the target language. DHS Chat returns the converted code with explanations of any syntax differences or logic changes. Input: source code in the original language + target language. Output: converted code ready to paste into a Databricks notebook, with notes on any translation decisions.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Data engineers use this daily when migrating legacy code, integrating code from other teams that use different languages, or translating prototypes into production-ready PySpark. The converted code is always reviewed and tested by the engineer before committing — DHS Chat handles the mechanical translation, the engineer validates the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left w:val="none"/>
              <w:bottom w:val="none"/>
              <w:right w:val="none"/>
            </w:tcBorders>
            <w:shd w:fill="666666" w:val="clear"/>
          </w:tcPr>
          <w:p>
            <w:r>
              <w:rPr>
                <w:sz w:val="4"/>
                <w:szCs w:val="4"/>
              </w:rPr>
              <w:t xml:space="preserve"/>
            </w:r>
          </w:p>
        </w:tc>
        <w:tc>
          <w:tcPr>
            <w:tcW w:type="dxa" w:w="9260"/>
            <w:tcBorders>
              <w:top w:val="none"/>
              <w:left w:val="none"/>
              <w:bottom w:val="none"/>
              <w:right w:val="none"/>
            </w:tcBorders>
            <w:shd w:fill="F5F5F5" w:val="clear"/>
            <w:tcMar>
              <w:top w:type="dxa" w:w="80"/>
              <w:left w:type="dxa" w:w="140"/>
              <w:bottom w:type="dxa" w:w="80"/>
              <w:right w:type="dxa" w:w="100"/>
            </w:tcMar>
          </w:tcPr>
          <w:p>
            <w:pPr>
              <w:spacing w:after="30"/>
            </w:pPr>
            <w:r>
              <w:rPr>
                <w:rFonts w:ascii="Arial" w:cs="Arial" w:eastAsia="Arial" w:hAnsi="Arial"/>
                <w:b/>
                <w:bCs/>
                <w:color w:val="666666"/>
                <w:sz w:val="18"/>
                <w:szCs w:val="18"/>
              </w:rPr>
              <w:t xml:space="preserve">Example:</w:t>
            </w:r>
          </w:p>
          <w:p>
            <w:r>
              <w:rPr>
                <w:rFonts w:ascii="Arial" w:cs="Arial" w:eastAsia="Arial" w:hAnsi="Arial"/>
                <w:i/>
                <w:iCs/>
                <w:color w:val="333333"/>
                <w:sz w:val="18"/>
                <w:szCs w:val="18"/>
              </w:rPr>
              <w:t xml:space="preserve">An engineer receives a SAS script from another office that calculates processing time metrics. Instead of spending 2-3 hours manually rewriting the PROC SQL and DATA steps into PySpark, they paste it into DHS Chat with the prompt: “Convert this SAS code to PySpark for use in a Databricks notebook. Preserve the business logic and add comments explaining any translation decisions.” The converted code is returned in minutes, reviewed, and tested in the notebook.</w:t>
            </w:r>
          </w:p>
        </w:tc>
      </w:tr>
    </w:tbl>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2. Code Explanation and Reverse Engineering</w:t>
            </w:r>
          </w:p>
        </w:tc>
        <w:tc>
          <w:tcPr>
            <w:tcW w:type="dxa" w:w="1600"/>
            <w:tcBorders>
              <w:top w:val="none"/>
              <w:left w:val="none"/>
              <w:bottom w:val="none"/>
              <w:right w:val="none"/>
            </w:tcBorders>
            <w:vAlign w:val="center"/>
          </w:tcPr>
          <w:p>
            <w:pPr>
              <w:jc w:val="center"/>
            </w:pPr>
            <w:r>
              <w:rPr>
                <w:rFonts w:ascii="Arial" w:cs="Arial" w:eastAsia="Arial" w:hAnsi="Arial"/>
                <w:b/>
                <w:bCs/>
                <w:color w:val="388E3C"/>
                <w:sz w:val="16"/>
                <w:szCs w:val="16"/>
              </w:rPr>
              <w:t xml:space="preserve">✅ Current Use</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manages a large codebase of Databricks notebooks across multiple teams and contracts. When engineers are assigned to maintain or extend notebooks they didn’t write, understanding the existing logic is the biggest time sink. Engineers currently paste unfamiliar code into DHS Chat to get plain-language explanations of what each section does, dramatically compressing the time it takes to get productive on inherited code.</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pastes a code block, function, or entire notebook cell into DHS Chat and asks for an explanation. DHS Chat returns a step-by-step walkthrough: what the code does, why certain approaches were used, what the expected inputs and outputs are, and any potential issues. Input: unfamiliar code. Output: plain-language explanation with annotations.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This is especially valuable during team transitions and contractor onboarding. Instead of spending days tracing through unfamiliar notebooks line by line, a new engineer can understand the logic of a complex pipeline in minutes. Teams also use it to document previously undocumented notebooks — paste the code in, get the explanation, and use that as the basis for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left w:val="none"/>
              <w:bottom w:val="none"/>
              <w:right w:val="none"/>
            </w:tcBorders>
            <w:shd w:fill="666666" w:val="clear"/>
          </w:tcPr>
          <w:p>
            <w:r>
              <w:rPr>
                <w:sz w:val="4"/>
                <w:szCs w:val="4"/>
              </w:rPr>
              <w:t xml:space="preserve"/>
            </w:r>
          </w:p>
        </w:tc>
        <w:tc>
          <w:tcPr>
            <w:tcW w:type="dxa" w:w="9260"/>
            <w:tcBorders>
              <w:top w:val="none"/>
              <w:left w:val="none"/>
              <w:bottom w:val="none"/>
              <w:right w:val="none"/>
            </w:tcBorders>
            <w:shd w:fill="F5F5F5" w:val="clear"/>
            <w:tcMar>
              <w:top w:type="dxa" w:w="80"/>
              <w:left w:type="dxa" w:w="140"/>
              <w:bottom w:type="dxa" w:w="80"/>
              <w:right w:type="dxa" w:w="100"/>
            </w:tcMar>
          </w:tcPr>
          <w:p>
            <w:pPr>
              <w:spacing w:after="30"/>
            </w:pPr>
            <w:r>
              <w:rPr>
                <w:rFonts w:ascii="Arial" w:cs="Arial" w:eastAsia="Arial" w:hAnsi="Arial"/>
                <w:b/>
                <w:bCs/>
                <w:color w:val="666666"/>
                <w:sz w:val="18"/>
                <w:szCs w:val="18"/>
              </w:rPr>
              <w:t xml:space="preserve">Example:</w:t>
            </w:r>
          </w:p>
          <w:p>
            <w:r>
              <w:rPr>
                <w:rFonts w:ascii="Arial" w:cs="Arial" w:eastAsia="Arial" w:hAnsi="Arial"/>
                <w:i/>
                <w:iCs/>
                <w:color w:val="333333"/>
                <w:sz w:val="18"/>
                <w:szCs w:val="18"/>
              </w:rPr>
              <w:t xml:space="preserve">A new contractor is assigned to maintain a Databricks notebook that calculates USCIS backlog metrics. The notebook has minimal comments and uses complex window functions. They paste a 40-line PySpark transformation into DHS Chat: “Explain what this code does step by step, including what the window functions are calculating and what the final output represents.” Within minutes, they understand the logic that would have taken a full day to trace manually.</w:t>
            </w:r>
          </w:p>
        </w:tc>
      </w:tr>
    </w:tbl>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3. Code Optimization and Bug Fixing</w:t>
            </w:r>
          </w:p>
        </w:tc>
        <w:tc>
          <w:tcPr>
            <w:tcW w:type="dxa" w:w="1600"/>
            <w:tcBorders>
              <w:top w:val="none"/>
              <w:left w:val="none"/>
              <w:bottom w:val="none"/>
              <w:right w:val="none"/>
            </w:tcBorders>
            <w:vAlign w:val="center"/>
          </w:tcPr>
          <w:p>
            <w:pPr>
              <w:jc w:val="center"/>
            </w:pPr>
            <w:r>
              <w:rPr>
                <w:rFonts w:ascii="Arial" w:cs="Arial" w:eastAsia="Arial" w:hAnsi="Arial"/>
                <w:b/>
                <w:bCs/>
                <w:color w:val="388E3C"/>
                <w:sz w:val="16"/>
                <w:szCs w:val="16"/>
              </w:rPr>
              <w:t xml:space="preserve">✅ Current Use</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When a Databricks notebook throws an error, engineers currently spend significant time reading stack traces, isolating the issue, and testing fixes. Pasting the error message and relevant code into DHS Chat shortens this debugging cycle from hours to minutes. Engineers also use DHS Chat to optimize slow-running queries and transformations, getting suggestions for more efficient approaches that they then validate in the notebook.</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pastes the error message, stack trace, and the relevant code block into DHS Chat. DHS Chat identifies the likely root cause, explains why the error occurred, and suggests a fix. For optimization, engineers paste slow-running code and ask for performance improvements. Input: error output + code, or slow code + performance goal. Output: diagnosis, explanation, and corrected/optimized code.</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This is one of the highest-frequency uses of DHS Chat across OPQ engineering teams. It transforms debugging from a solitary puzzle-solving exercise into a guided diagnostic process. Junior engineers resolve issues faster instead of blocking on senior engineer availability. The value compounds — engineers learn from the explanations and encounter the same class of bug less frequently over time. This workflow would be even more powerful if available natively within Databricks via a tool like Databricks Genie or Databricks Assistant, eliminating the copy-paste step and giving the AI direct context on the notebook, cluster configuration, and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left w:val="none"/>
              <w:bottom w:val="none"/>
              <w:right w:val="none"/>
            </w:tcBorders>
            <w:shd w:fill="666666" w:val="clear"/>
          </w:tcPr>
          <w:p>
            <w:r>
              <w:rPr>
                <w:sz w:val="4"/>
                <w:szCs w:val="4"/>
              </w:rPr>
              <w:t xml:space="preserve"/>
            </w:r>
          </w:p>
        </w:tc>
        <w:tc>
          <w:tcPr>
            <w:tcW w:type="dxa" w:w="9260"/>
            <w:tcBorders>
              <w:top w:val="none"/>
              <w:left w:val="none"/>
              <w:bottom w:val="none"/>
              <w:right w:val="none"/>
            </w:tcBorders>
            <w:shd w:fill="F5F5F5" w:val="clear"/>
            <w:tcMar>
              <w:top w:type="dxa" w:w="80"/>
              <w:left w:type="dxa" w:w="140"/>
              <w:bottom w:type="dxa" w:w="80"/>
              <w:right w:type="dxa" w:w="100"/>
            </w:tcMar>
          </w:tcPr>
          <w:p>
            <w:pPr>
              <w:spacing w:after="30"/>
            </w:pPr>
            <w:r>
              <w:rPr>
                <w:rFonts w:ascii="Arial" w:cs="Arial" w:eastAsia="Arial" w:hAnsi="Arial"/>
                <w:b/>
                <w:bCs/>
                <w:color w:val="666666"/>
                <w:sz w:val="18"/>
                <w:szCs w:val="18"/>
              </w:rPr>
              <w:t xml:space="preserve">Example:</w:t>
            </w:r>
          </w:p>
          <w:p>
            <w:r>
              <w:rPr>
                <w:rFonts w:ascii="Arial" w:cs="Arial" w:eastAsia="Arial" w:hAnsi="Arial"/>
                <w:i/>
                <w:iCs/>
                <w:color w:val="333333"/>
                <w:sz w:val="18"/>
                <w:szCs w:val="18"/>
              </w:rPr>
              <w:t xml:space="preserve">A dashboard-feeding notebook fails during a scheduled run with a “AnalysisException: Column ambiguous” error after a recent table schema change upstream. The engineer pastes the error and the join logic into DHS Chat: “This PySpark join is throwing a column ambiguity error after a schema change. Here’s the code and the error. What’s the fix?” DHS Chat identifies the duplicate column name introduced by the schema change and suggests qualifying the column references with table aliases.</w:t>
            </w:r>
          </w:p>
        </w:tc>
      </w:tr>
    </w:tbl>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4. Documentation Drafting</w:t>
            </w:r>
          </w:p>
        </w:tc>
        <w:tc>
          <w:tcPr>
            <w:tcW w:type="dxa" w:w="1600"/>
            <w:tcBorders>
              <w:top w:val="none"/>
              <w:left w:val="none"/>
              <w:bottom w:val="none"/>
              <w:right w:val="none"/>
            </w:tcBorders>
            <w:vAlign w:val="center"/>
          </w:tcPr>
          <w:p>
            <w:pPr>
              <w:jc w:val="center"/>
            </w:pPr>
            <w:r>
              <w:rPr>
                <w:rFonts w:ascii="Arial" w:cs="Arial" w:eastAsia="Arial" w:hAnsi="Arial"/>
                <w:b/>
                <w:bCs/>
                <w:color w:val="388E3C"/>
                <w:sz w:val="16"/>
                <w:szCs w:val="16"/>
              </w:rPr>
              <w:t xml:space="preserve">✅ Current Use</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data engineers and analysts spend significant time writing documentation for notebooks, pipelines, models, and processes. Much of this documentation follows predictable structures. Engineers currently paste code and notes into DHS Chat to generate first drafts, saving hours per document while ensuring documentation doesn’t fall behind development.</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pastes code snippets, notebook descriptions, or bullet-point notes into DHS Chat with a documentation prompt. DHS Chat generates a structured draft including purpose, data sources, methodology, inputs/outputs, and known limitations. Input: rough notes, code comments, or pipeline descriptions. Output: formatted documentation draft ready for review and editing.</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Data engineers generate first-draft documentation at the end of each sprint. Technical writers use AI drafts as starting points. Compliance reviewers receive more complete documentation because the barrier to writing it is 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left w:val="none"/>
              <w:bottom w:val="none"/>
              <w:right w:val="none"/>
            </w:tcBorders>
            <w:shd w:fill="666666" w:val="clear"/>
          </w:tcPr>
          <w:p>
            <w:r>
              <w:rPr>
                <w:sz w:val="4"/>
                <w:szCs w:val="4"/>
              </w:rPr>
              <w:t xml:space="preserve"/>
            </w:r>
          </w:p>
        </w:tc>
        <w:tc>
          <w:tcPr>
            <w:tcW w:type="dxa" w:w="9260"/>
            <w:tcBorders>
              <w:top w:val="none"/>
              <w:left w:val="none"/>
              <w:bottom w:val="none"/>
              <w:right w:val="none"/>
            </w:tcBorders>
            <w:shd w:fill="F5F5F5" w:val="clear"/>
            <w:tcMar>
              <w:top w:type="dxa" w:w="80"/>
              <w:left w:type="dxa" w:w="140"/>
              <w:bottom w:type="dxa" w:w="80"/>
              <w:right w:type="dxa" w:w="100"/>
            </w:tcMar>
          </w:tcPr>
          <w:p>
            <w:pPr>
              <w:spacing w:after="30"/>
            </w:pPr>
            <w:r>
              <w:rPr>
                <w:rFonts w:ascii="Arial" w:cs="Arial" w:eastAsia="Arial" w:hAnsi="Arial"/>
                <w:b/>
                <w:bCs/>
                <w:color w:val="666666"/>
                <w:sz w:val="18"/>
                <w:szCs w:val="18"/>
              </w:rPr>
              <w:t xml:space="preserve">Example:</w:t>
            </w:r>
          </w:p>
          <w:p>
            <w:r>
              <w:rPr>
                <w:rFonts w:ascii="Arial" w:cs="Arial" w:eastAsia="Arial" w:hAnsi="Arial"/>
                <w:i/>
                <w:iCs/>
                <w:color w:val="333333"/>
                <w:sz w:val="18"/>
                <w:szCs w:val="18"/>
              </w:rPr>
              <w:t xml:space="preserve">An engineer finishes building a new ETL pipeline that ingests CLAIMS data. They paste the notebook’s key cells and their sprint notes into DHS Chat: “Generate technical documentation for this pipeline following this template: Purpose, Data Sources, Transformations, Output Tables, Schedule, Error Handling, Known Limitations.” The draft is returned in 2 minutes; the engineer spends 15 minutes editing rather than 2 hours writing from scratch.</w:t>
            </w:r>
          </w:p>
        </w:tc>
      </w:tr>
    </w:tbl>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5. Prompt Optimizer and Prompt Library</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Most OPQ staff write DHS Chat prompts from scratch every time, resulting in inconsistent quality. A prompt optimizer refines rough prompts into effective ones, and a shared library of tested templates for common tasks (summarization, code review, data analysis) standardizes quality across the team. New employees get productive with AI immediately instead of learning through trial and error.</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For the optimizer: user enters a rough prompt or task description, and it returns a restructured version using proven patterns (role assignment, step-by-step instructions, output format). For the library: OPQ maintains a shared collection of tested prompt templates by task type. Input: draft prompt or task selection. Output: optimized prompt or populated template.</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Staff consult the library before starting common DHS Chat tasks. Team leads contribute new templates when they discover effective prompts. The library becomes OPQ’s institutional knowledge for AI usage, reducing the learning curve and improving output consistency across all teams.</w:t>
      </w:r>
    </w:p>
    <w:p>
      <w:pPr>
        <w:pBdr>
          <w:bottom w:val="single" w:color="E0E0E0" w:sz="2" w:space="4"/>
        </w:pBdr>
        <w:spacing w:before="60" w:after="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FF3E0" w:val="clear"/>
            <w:tcMar>
              <w:top w:type="dxa" w:w="80"/>
              <w:left w:type="dxa" w:w="160"/>
              <w:bottom w:type="dxa" w:w="80"/>
              <w:right w:type="dxa" w:w="120"/>
            </w:tcMar>
          </w:tcPr>
          <w:p>
            <w:r>
              <w:rPr>
                <w:rFonts w:ascii="Arial" w:cs="Arial" w:eastAsia="Arial" w:hAnsi="Arial"/>
                <w:b/>
                <w:bCs/>
                <w:color w:val="FF6F00"/>
                <w:sz w:val="24"/>
                <w:szCs w:val="24"/>
              </w:rPr>
              <w:t xml:space="preserve">Databricks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6. AI-Assisted Unit Test Generation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Test coverage across OPQ’s notebooks and ETL pipelines is inconsistent. Writing tests manually is deprioritized during sprints. Low coverage means pipeline bugs reach production dashboards. Databricks Assistant can generate test scaffolding directly from existing code, increasing coverage with minimal effort.</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opens a notebook and uses Databricks Assistant to generate unit tests. The assistant analyzes the code and produces test cases covering expected outputs, edge cases, null handling, and type validation. Input: existing notebook/Python code. Output: test scripts ready to add to the test suite. Tests run against sample data, not production PII.</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Engineers run the assistant on new code before committing. Sprint leads track test coverage as a quality metric. The automated test suite catches regressions on every commit via CI/CD, preventing production incidents.</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7. Experiment Tracking and Model Cataloging</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When team members rotate contracts, knowledge of what models exist and what was tried disappears. MLflow experiment tracking preserves institutional knowledge. Model Registry provides a single catalog of all AI/ML models. Together they prevent redundant work and produce the AI inventory federal reporting requires.</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During model development, MLflow captures: training datasets, hyperparameters, evaluation metrics, and model artifacts. Model Registry stores approved models with metadata: owner, use case, data sources, version history, and status. Input: experiment parameters logged during development. Output: searchable experiment history and model catalog.</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Data scientists check history before starting new work to avoid duplicating efforts. AIGB reviewers reference the catalog for governance. OPQ leadership uses it for the annual AI use case inventory. New team members use it to understand the existing model landscape.</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8. Cost Tracking and DBU Monitoring</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Databricks compute costs are growing and OPQ has limited visibility into what’s driving spend. Without cost attribution by team, pipeline, or use case, budget conversations rely on guesswork. Querying system tables enables real-time monitoring and prevents budget overruns.</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System Tables (system.billing.usage) provide granular DBU consumption per cluster, job, notebook, and endpoint. Scheduled queries aggregate into daily/weekly/monthly summaries by team and use case. Anomaly detection flags unexpected spikes. Input: System Tables usage logs. Output: cost attribution dashboards, trend reports, and anomaly alerts.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OPQ leadership reviews cost dashboards for budget management. Engineers receive alerts when jobs exceed expected costs. Finance uses the data to forecast quarterly spend. Directly addresses the concern about running out of DBU budget early.</w:t>
      </w:r>
    </w:p>
    <w:p>
      <w:pPr>
        <w:pBdr>
          <w:bottom w:val="single" w:color="E0E0E0" w:sz="2" w:space="4"/>
        </w:pBdr>
        <w:spacing w:before="60" w:after="40"/>
      </w:pPr>
    </w:p>
    <w:p>
      <w:r>
        <w:br w:type="page"/>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796B" w:val="clear"/>
            <w:vAlign w:val="center"/>
          </w:tcPr>
          <w:p>
            <w:r>
              <w:rPr>
                <w:sz w:val="4"/>
                <w:szCs w:val="4"/>
              </w:rPr>
              <w:t xml:space="preserve"/>
            </w:r>
          </w:p>
        </w:tc>
        <w:tc>
          <w:tcPr>
            <w:tcW w:type="dxa" w:w="9240"/>
            <w:tcBorders>
              <w:top w:val="none"/>
              <w:left w:val="none"/>
              <w:bottom w:val="none"/>
              <w:right w:val="none"/>
            </w:tcBorders>
            <w:shd w:fill="E0F2F1" w:val="clear"/>
            <w:tcMar>
              <w:top w:type="dxa" w:w="140"/>
              <w:left w:type="dxa" w:w="200"/>
              <w:bottom w:type="dxa" w:w="140"/>
              <w:right w:type="dxa" w:w="120"/>
            </w:tcMar>
          </w:tcPr>
          <w:p>
            <w:r>
              <w:rPr>
                <w:rFonts w:ascii="Arial" w:cs="Arial" w:eastAsia="Arial" w:hAnsi="Arial"/>
                <w:b/>
                <w:bCs/>
                <w:color w:val="00796B"/>
                <w:sz w:val="28"/>
                <w:szCs w:val="28"/>
              </w:rPr>
              <w:t xml:space="preserve">Business Value</w:t>
            </w:r>
          </w:p>
          <w:p>
            <w:pPr>
              <w:spacing w:before="40"/>
            </w:pPr>
            <w:r>
              <w:rPr>
                <w:rFonts w:ascii="Arial" w:cs="Arial" w:eastAsia="Arial" w:hAnsi="Arial"/>
                <w:i/>
                <w:iCs/>
                <w:color w:val="666666"/>
                <w:sz w:val="19"/>
                <w:szCs w:val="19"/>
              </w:rPr>
              <w:t xml:space="preserve">Using AI to deliver direct operational value — faster answers, better decisions, less manual work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8EAF6" w:val="clear"/>
            <w:tcMar>
              <w:top w:type="dxa" w:w="80"/>
              <w:left w:type="dxa" w:w="160"/>
              <w:bottom w:type="dxa" w:w="80"/>
              <w:right w:type="dxa" w:w="120"/>
            </w:tcMar>
          </w:tcPr>
          <w:p>
            <w:r>
              <w:rPr>
                <w:rFonts w:ascii="Arial" w:cs="Arial" w:eastAsia="Arial" w:hAnsi="Arial"/>
                <w:b/>
                <w:bCs/>
                <w:color w:val="1A237E"/>
                <w:sz w:val="24"/>
                <w:szCs w:val="24"/>
              </w:rPr>
              <w:t xml:space="preserve">DHS Chat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9. Policy Document Summarization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leadership regularly digests lengthy policy documents, audit reports, OMB memoranda, and directives. Reading a 50-100 page document takes hours. DHS Chat generates a structured summary in minutes, letting leadership focus on the sections that matter most.</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User uploads a PDF or pastes text into DHS Chat with a summarization prompt. DHS Chat produces: key findings, action items for OPQ, deadlines, and open questions. Input: policy document, audit report, or directive. Output: 1-2 page structured summary with section references.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Leadership uses summaries for briefing prep, reading full sections only where the summary flags critical implications. Policy analysts use summaries as starting points. All summaries are clearly labeled as AI-generated drafts — the original document remains authoritative.</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10. Meeting Notes and Action Item Extraction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staff attend numerous meetings weekly. Notes are inconsistent, action items get lost, and follow-up falls through the cracks. Pasting raw notes into DHS Chat to extract structured action items saves time and improves accountability.</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After a meeting, the note-taker pastes raw notes into DHS Chat with an extraction prompt. DHS Chat returns: structured summary, decisions made, action items with owners and due dates, and open questions. Input: unstructured meeting notes. Output: formatted summary with tagged action items.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Project managers distribute AI-generated summaries to attendees for review. Action items feed into sprint planning. Meeting follow-through improves because nothing gets buried in unstructured notes.</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11. Email and Communication Drafting</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Staff draft status updates, stakeholder communications, and inter-office memos regularly. These follow predictable structures but take time to compose. DHS Chat generates first drafts from brief instructions, letting the author focus on substance rather than structure.</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User provides key points, audience, and tone. DHS Chat produces a draft email, memo, or status update in the appropriate voice and format. Input: bullet points or brief instructions. Output: formatted draft ready for editing.</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Staff use it for routine communications, editing the draft rather than writing from scratch. Particularly valuable for professional government writing conventions. Saves 15-30 minutes per complex communication.</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12. Technical Concept Translation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frequently explains technical data engineering concepts to non-technical stakeholders. Bridging this gap is time-consuming and often results in oversimplification or confusion. DHS Chat can rewrite technical content for the target audience in seconds.</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pastes technical content (model results, pipeline descriptions, error explanations) into DHS Chat with audience instructions. DHS Chat rewrites at the appropriate level. Input: technical content + audience. Output: plain-language version.</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Data engineers use it before sending updates to non-technical stakeholders. Leadership uses it to understand technical briefings. Improves cross-functional communication without requiring engineers to craft executive-friendly language manually.</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13. Research and Policy Q&amp;A</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1A237E"/>
                <w:sz w:val="18"/>
                <w:szCs w:val="18"/>
              </w:rPr>
              <w:t xml:space="preserve">DHS Chat</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analysts research policy questions, compare regulatory frameworks, and investigate best practices. DHS Chat provides rapid initial synthesis, helping analysts identify areas to investigate further rather than starting from a blank search.</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Analyst asks a research question. DHS Chat provides a synthesized response with key points, caveats, and suggested follow-up areas. Input: research question. Output: structured starting-point response.</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Analysts use responses as starting points for deeper research, not final answers. Useful for getting oriented on unfamiliar topics before diving into primary sources. Saves hours of initial policy review per task.</w:t>
      </w:r>
    </w:p>
    <w:p>
      <w:pPr>
        <w:pBdr>
          <w:bottom w:val="single" w:color="E0E0E0" w:sz="2" w:space="4"/>
        </w:pBdr>
        <w:spacing w:before="60" w:after="4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FF3E0" w:val="clear"/>
            <w:tcMar>
              <w:top w:type="dxa" w:w="80"/>
              <w:left w:type="dxa" w:w="160"/>
              <w:bottom w:type="dxa" w:w="80"/>
              <w:right w:type="dxa" w:w="120"/>
            </w:tcMar>
          </w:tcPr>
          <w:p>
            <w:r>
              <w:rPr>
                <w:rFonts w:ascii="Arial" w:cs="Arial" w:eastAsia="Arial" w:hAnsi="Arial"/>
                <w:b/>
                <w:bCs/>
                <w:color w:val="FF6F00"/>
                <w:sz w:val="24"/>
                <w:szCs w:val="24"/>
              </w:rPr>
              <w:t xml:space="preserve">Databricks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14. Natural Language Data Queries</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Analysts frequently need quick answers from data tables: distinct counts, date ranges, record volumes, field distributions. Every question currently requires SQL knowledge or a request to a data engineer. AI Playground and Databricks Assistant let analysts ask questions in plain English, eliminating the bottleneck. Enabling Databricks Genie would make this even more powerful by providing a persistent, context-aware data assistant that understands OPQ’s tables and schemas natively — no copy-paste required.</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Analyst opens AI Playground, Databricks Assistant, or Genie (if enabled), connects to an OPQ analytical table, and asks a question in natural language. The AI generates and executes the SQL, returning results. Input: natural language question + connected table. Output: query results plus the generated SQL for transparency.</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Analysts get answers in seconds instead of waiting for engineering support. Data engineers are freed from ad hoc requests that consume an estimated 20-30% of bandwidth. The generated SQL is visible, so analysts learn SQL patterns over time. Access is restricted to non-sensitive analytical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left w:val="none"/>
              <w:bottom w:val="none"/>
              <w:right w:val="none"/>
            </w:tcBorders>
            <w:shd w:fill="666666" w:val="clear"/>
          </w:tcPr>
          <w:p>
            <w:r>
              <w:rPr>
                <w:sz w:val="4"/>
                <w:szCs w:val="4"/>
              </w:rPr>
              <w:t xml:space="preserve"/>
            </w:r>
          </w:p>
        </w:tc>
        <w:tc>
          <w:tcPr>
            <w:tcW w:type="dxa" w:w="9260"/>
            <w:tcBorders>
              <w:top w:val="none"/>
              <w:left w:val="none"/>
              <w:bottom w:val="none"/>
              <w:right w:val="none"/>
            </w:tcBorders>
            <w:shd w:fill="F5F5F5" w:val="clear"/>
            <w:tcMar>
              <w:top w:type="dxa" w:w="80"/>
              <w:left w:type="dxa" w:w="140"/>
              <w:bottom w:type="dxa" w:w="80"/>
              <w:right w:type="dxa" w:w="100"/>
            </w:tcMar>
          </w:tcPr>
          <w:p>
            <w:pPr>
              <w:spacing w:after="30"/>
            </w:pPr>
            <w:r>
              <w:rPr>
                <w:rFonts w:ascii="Arial" w:cs="Arial" w:eastAsia="Arial" w:hAnsi="Arial"/>
                <w:b/>
                <w:bCs/>
                <w:color w:val="666666"/>
                <w:sz w:val="18"/>
                <w:szCs w:val="18"/>
              </w:rPr>
              <w:t xml:space="preserve">Example:</w:t>
            </w:r>
          </w:p>
          <w:p>
            <w:r>
              <w:rPr>
                <w:rFonts w:ascii="Arial" w:cs="Arial" w:eastAsia="Arial" w:hAnsi="Arial"/>
                <w:i/>
                <w:iCs/>
                <w:color w:val="333333"/>
                <w:sz w:val="18"/>
                <w:szCs w:val="18"/>
              </w:rPr>
              <w:t xml:space="preserve">An OPQ analyst needs to know how many distinct receipt numbers exist in a processing table for a quarterly report. Instead of writing SQL or filing a request, they type into the AI Playground: “What is the distinct count of receipt_number in this table, broken out by form_type, for records created in Q3 2025?” The result is returned in seconds with the SQL shown for verification.</w:t>
            </w:r>
          </w:p>
        </w:tc>
      </w:tr>
    </w:tbl>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15. Data Profiling and Exploration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When OPQ receives a new data source or needs to understand an unfamiliar table, engineers spend hours profiling it manually. Databricks Assistant automates profiling, producing a comprehensive summary in minutes.</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Engineer points Databricks Assistant at a table and asks for a profile. The assistant generates and runs profiling queries: row counts, column types, null percentages, distinct values, min/max for numeric and date fields, and sample values. Input: table reference. Output: structured data profile.</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Engineers use profiles when onboarding new data sources, cutting exploration from hours to minutes. Analysts reference profiles before building queries or dashboards. Quality discussions with upstream data owners become more productive with specific, quantified observations.</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16. Dashboard SQL Acceleration</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builds Tableau dashboards backed by SQL queries against Databricks. Writing and optimizing complex queries (joins, window functions, aggregations) is time-consuming. Databricks Assistant generates and optimizes SQL directly in the notebook.</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Developer describes the metric needed or pastes a slow query. The assistant generates optimized SQL or rewrites with performance improvements. Input: metric description or draft SQL. Output: production-ready SQL with optimizations and explanations.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Dashboard developers accelerate the query-writing phase. Particularly valuable for complex queries with multiple joins or window functions. The assistant explains its optimizations, helping junior developers learn efficient patterns.</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17. Automated Data Quality Checks</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OPQ analytics depend on data feeds from USCIS operational systems. Bad data in dashboards is typically discovered first by leadership. Automated monitoring catches problems at ingestion before they reach production.</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Delta Live Tables expectations validate data at each pipeline stage: schema conformance, null rate thresholds, value range checks, row count comparisons. Input: raw data feeds from operational systems (ELIS, CLAIMS). Output: quality scorecards, quarantined records, automated alerts.</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Engineers fix quality issues before bad data reaches production. Leadership receives weekly quality summaries. Dashboard consumers see freshness indicators. Patterns inform conversations with upstream data owners about systemic issues.</w:t>
      </w:r>
    </w:p>
    <w:p>
      <w:pPr>
        <w:pBdr>
          <w:bottom w:val="single" w:color="E0E0E0" w:sz="2" w:space="4"/>
        </w:pBd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1600"/>
        <w:gridCol w:w="1600"/>
      </w:tblGrid>
      <w:tr>
        <w:tc>
          <w:tcPr>
            <w:tcW w:type="dxa" w:w="6160"/>
            <w:tcBorders>
              <w:top w:val="none"/>
              <w:left w:val="none"/>
              <w:bottom w:val="none"/>
              <w:right w:val="none"/>
            </w:tcBorders>
            <w:vAlign w:val="center"/>
          </w:tcPr>
          <w:p>
            <w:pPr>
              <w:spacing w:before="220"/>
            </w:pPr>
            <w:r>
              <w:rPr>
                <w:rFonts w:ascii="Arial" w:cs="Arial" w:eastAsia="Arial" w:hAnsi="Arial"/>
                <w:b/>
                <w:bCs/>
                <w:color w:val="1B3A5C"/>
                <w:sz w:val="23"/>
                <w:szCs w:val="23"/>
              </w:rPr>
              <w:t xml:space="preserve">18. Predictive Volume Forecasting</w:t>
            </w:r>
          </w:p>
        </w:tc>
        <w:tc>
          <w:tcPr>
            <w:tcW w:type="dxa" w:w="1600"/>
            <w:tcBorders>
              <w:top w:val="none"/>
              <w:left w:val="none"/>
              <w:bottom w:val="none"/>
              <w:right w:val="none"/>
            </w:tcBorders>
            <w:vAlign w:val="center"/>
          </w:tcPr>
          <w:p>
            <w:pPr>
              <w:jc w:val="center"/>
            </w:pPr>
            <w:r>
              <w:rPr>
                <w:rFonts w:ascii="Arial" w:cs="Arial" w:eastAsia="Arial" w:hAnsi="Arial"/>
                <w:b/>
                <w:bCs/>
                <w:color w:val="1976D2"/>
                <w:sz w:val="16"/>
                <w:szCs w:val="16"/>
              </w:rPr>
              <w:t xml:space="preserve">▶ Proposed</w:t>
            </w:r>
          </w:p>
        </w:tc>
        <w:tc>
          <w:tcPr>
            <w:tcW w:type="dxa" w:w="1600"/>
            <w:tcBorders>
              <w:top w:val="none"/>
              <w:left w:val="none"/>
              <w:bottom w:val="none"/>
              <w:right w:val="none"/>
            </w:tcBorders>
            <w:vAlign w:val="center"/>
          </w:tcPr>
          <w:p>
            <w:pPr>
              <w:jc w:val="right"/>
            </w:pPr>
            <w:r>
              <w:rPr>
                <w:rFonts w:ascii="Arial" w:cs="Arial" w:eastAsia="Arial" w:hAnsi="Arial"/>
                <w:b/>
                <w:bCs/>
                <w:color w:val="FF6F00"/>
                <w:sz w:val="18"/>
                <w:szCs w:val="18"/>
              </w:rPr>
              <w:t xml:space="preserve">Databricks</w:t>
            </w:r>
          </w:p>
        </w:tc>
      </w:tr>
    </w:tbl>
    <w:p>
      <w:pPr>
        <w:spacing w:before="80" w:after="50"/>
      </w:pPr>
      <w:r>
        <w:rPr>
          <w:rFonts w:ascii="Arial" w:cs="Arial" w:eastAsia="Arial" w:hAnsi="Arial"/>
          <w:b/>
          <w:bCs/>
          <w:color w:val="1B5E20"/>
          <w:sz w:val="20"/>
          <w:szCs w:val="20"/>
        </w:rPr>
        <w:t xml:space="preserve">Business Case: </w:t>
      </w:r>
      <w:r>
        <w:rPr>
          <w:rFonts w:ascii="Arial" w:cs="Arial" w:eastAsia="Arial" w:hAnsi="Arial"/>
          <w:color w:val="333333"/>
          <w:sz w:val="20"/>
          <w:szCs w:val="20"/>
        </w:rPr>
        <w:t xml:space="preserve">USCIS receipt volumes fluctuate by form type, season, and policy change. Resource allocation is largely reactive. Forecasting models enable proactive staffing decisions weeks in advance, improving processing time targets and reducing overtime.</w:t>
      </w:r>
    </w:p>
    <w:p>
      <w:pPr>
        <w:spacing w:after="50"/>
      </w:pPr>
      <w:r>
        <w:rPr>
          <w:rFonts w:ascii="Arial" w:cs="Arial" w:eastAsia="Arial" w:hAnsi="Arial"/>
          <w:b/>
          <w:bCs/>
          <w:color w:val="0D47A1"/>
          <w:sz w:val="20"/>
          <w:szCs w:val="20"/>
        </w:rPr>
        <w:t xml:space="preserve">Data Flow: </w:t>
      </w:r>
      <w:r>
        <w:rPr>
          <w:rFonts w:ascii="Arial" w:cs="Arial" w:eastAsia="Arial" w:hAnsi="Arial"/>
          <w:color w:val="333333"/>
          <w:sz w:val="20"/>
          <w:szCs w:val="20"/>
        </w:rPr>
        <w:t xml:space="preserve">Historical receipt volume data feeds time-series models built with Spark ML, tracked in MLflow. Models incorporate seasonal patterns and policy impacts. Input: historical operational data. Output: 30/60/90-day forecasts by form type and service center with confidence intervals, visualized in Tableau.</w:t>
      </w:r>
    </w:p>
    <w:p>
      <w:pPr>
        <w:spacing w:after="50"/>
      </w:pPr>
      <w:r>
        <w:rPr>
          <w:rFonts w:ascii="Arial" w:cs="Arial" w:eastAsia="Arial" w:hAnsi="Arial"/>
          <w:b/>
          <w:bCs/>
          <w:color w:val="BF360C"/>
          <w:sz w:val="20"/>
          <w:szCs w:val="20"/>
        </w:rPr>
        <w:t xml:space="preserve">How It Will Be Used: </w:t>
      </w:r>
      <w:r>
        <w:rPr>
          <w:rFonts w:ascii="Arial" w:cs="Arial" w:eastAsia="Arial" w:hAnsi="Arial"/>
          <w:color w:val="333333"/>
          <w:sz w:val="20"/>
          <w:szCs w:val="20"/>
        </w:rPr>
        <w:t xml:space="preserve">Leadership presents forecasts during resource planning. Service center directors use them for staffing. Budget analysts project processing costs. Forecasts are labeled as decision-support estimates with confidence intervals, not deterministic projections.</w:t>
      </w:r>
    </w:p>
    <w:p>
      <w:pPr>
        <w:pBdr>
          <w:bottom w:val="single" w:color="E0E0E0" w:sz="2" w:space="4"/>
        </w:pBdr>
        <w:spacing w:before="60" w:after="40"/>
      </w:pPr>
    </w:p>
    <w:p>
      <w:r>
        <w:br w:type="page"/>
      </w:r>
    </w:p>
    <w:p>
      <w:pPr>
        <w:spacing w:before="200" w:after="200"/>
      </w:pPr>
      <w:r>
        <w:rPr>
          <w:rFonts w:ascii="Arial" w:cs="Arial" w:eastAsia="Arial" w:hAnsi="Arial"/>
          <w:b/>
          <w:bCs/>
          <w:color w:val="1B3A5C"/>
          <w:sz w:val="28"/>
          <w:szCs w:val="28"/>
        </w:rPr>
        <w:t xml:space="preserve">Summary: All Use Cases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3100"/>
        <w:gridCol w:w="1500"/>
        <w:gridCol w:w="1300"/>
        <w:gridCol w:w="1100"/>
        <w:gridCol w:w="2010"/>
      </w:tblGrid>
      <w:tr>
        <w:tc>
          <w:tcPr>
            <w:tcW w:type="dxa" w:w="35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w:t>
            </w:r>
          </w:p>
        </w:tc>
        <w:tc>
          <w:tcPr>
            <w:tcW w:type="dxa" w:w="310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Use Case</w:t>
            </w:r>
          </w:p>
        </w:tc>
        <w:tc>
          <w:tcPr>
            <w:tcW w:type="dxa" w:w="150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Category</w:t>
            </w:r>
          </w:p>
        </w:tc>
        <w:tc>
          <w:tcPr>
            <w:tcW w:type="dxa" w:w="130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Platform</w:t>
            </w:r>
          </w:p>
        </w:tc>
        <w:tc>
          <w:tcPr>
            <w:tcW w:type="dxa" w:w="110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Status</w:t>
            </w:r>
          </w:p>
        </w:tc>
        <w:tc>
          <w:tcPr>
            <w:tcW w:type="dxa" w:w="2010"/>
            <w:tcBorders>
              <w:top w:val="single" w:color="CCCCCC" w:sz="1"/>
              <w:left w:val="single" w:color="CCCCCC" w:sz="1"/>
              <w:bottom w:val="single" w:color="CCCCCC" w:sz="1"/>
              <w:right w:val="single" w:color="CCCCCC" w:sz="1"/>
            </w:tcBorders>
            <w:shd w:fill="1B3A5C" w:val="clear"/>
            <w:tcMar>
              <w:top w:type="dxa" w:w="50"/>
              <w:left w:type="dxa" w:w="50"/>
              <w:bottom w:type="dxa" w:w="50"/>
              <w:right w:type="dxa" w:w="50"/>
            </w:tcMar>
          </w:tcPr>
          <w:p>
            <w:r>
              <w:rPr>
                <w:rFonts w:ascii="Arial" w:cs="Arial" w:eastAsia="Arial" w:hAnsi="Arial"/>
                <w:b/>
                <w:bCs/>
                <w:color w:val="FFFFFF"/>
                <w:sz w:val="15"/>
                <w:szCs w:val="15"/>
              </w:rPr>
              <w:t xml:space="preserve">Security Ask</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Code Language Conversion</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2F0E8"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Current</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2</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Code Explanation</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2F0E8"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Current</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3</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Code Optimization &amp; Debugging</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2F0E8"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Current</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4</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Documentation Drafting</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2F0E8"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Current</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5</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Prompt Optimizer &amp; Library</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6</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Unit Test Generation</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 Assistant</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7</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Experiment Tracking</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MLflow (built-in)</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8</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Cost Tracking &amp; Monitoring</w:t>
            </w:r>
          </w:p>
        </w:tc>
        <w:tc>
          <w:tcPr>
            <w:tcW w:type="dxa" w:w="1500"/>
            <w:tcBorders>
              <w:top w:val="single" w:color="CCCCCC" w:sz="1"/>
              <w:left w:val="single" w:color="CCCCCC" w:sz="1"/>
              <w:bottom w:val="single" w:color="CCCCCC" w:sz="1"/>
              <w:right w:val="single" w:color="CCCCCC" w:sz="1"/>
            </w:tcBorders>
            <w:shd w:fill="D5E8F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Impl.</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System Tables access</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9</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Policy Summarization</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10</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Meeting Notes &amp; Actions</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11</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Email &amp; Comm Drafting</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12</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Technical Translation</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13</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Research &amp; Policy Q&amp;A</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E8EAF6"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DHS Chat</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None</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14</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Natural Language Queries</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AI Playground / Genie</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15</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Data Profiling</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 Assistant</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16</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Dashboard SQL Acceleration</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 Assistant</w:t>
            </w:r>
          </w:p>
        </w:tc>
      </w:tr>
      <w:tr>
        <w:tc>
          <w:tcPr>
            <w:tcW w:type="dxa" w:w="35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17</w:t>
            </w:r>
          </w:p>
        </w:tc>
        <w:tc>
          <w:tcPr>
            <w:tcW w:type="dxa" w:w="310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bCs/>
                <w:color w:val="333333"/>
                <w:sz w:val="15"/>
                <w:szCs w:val="15"/>
              </w:rPr>
              <w:t xml:space="preserve">Data Quality Checks</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5F5F5"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Delta Live Tables</w:t>
            </w:r>
          </w:p>
        </w:tc>
      </w:tr>
      <w:tr>
        <w:tc>
          <w:tcPr>
            <w:tcW w:type="dxa" w:w="35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center"/>
            </w:pPr>
            <w:r>
              <w:rPr>
                <w:rFonts w:ascii="Arial" w:cs="Arial" w:eastAsia="Arial" w:hAnsi="Arial"/>
                <w:b/>
                <w:bCs/>
                <w:color w:val="333333"/>
                <w:sz w:val="15"/>
                <w:szCs w:val="15"/>
              </w:rPr>
              <w:t xml:space="preserve">18</w:t>
            </w:r>
          </w:p>
        </w:tc>
        <w:tc>
          <w:tcPr>
            <w:tcW w:type="dxa" w:w="310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bCs/>
                <w:color w:val="333333"/>
                <w:sz w:val="15"/>
                <w:szCs w:val="15"/>
              </w:rPr>
              <w:t xml:space="preserve">Volume Forecasting</w:t>
            </w:r>
          </w:p>
        </w:tc>
        <w:tc>
          <w:tcPr>
            <w:tcW w:type="dxa" w:w="1500"/>
            <w:tcBorders>
              <w:top w:val="single" w:color="CCCCCC" w:sz="1"/>
              <w:left w:val="single" w:color="CCCCCC" w:sz="1"/>
              <w:bottom w:val="single" w:color="CCCCCC" w:sz="1"/>
              <w:right w:val="single" w:color="CCCCCC" w:sz="1"/>
            </w:tcBorders>
            <w:shd w:fill="E0F2F1"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Biz Value</w:t>
            </w:r>
          </w:p>
        </w:tc>
        <w:tc>
          <w:tcPr>
            <w:tcW w:type="dxa" w:w="1300"/>
            <w:tcBorders>
              <w:top w:val="single" w:color="CCCCCC" w:sz="1"/>
              <w:left w:val="single" w:color="CCCCCC" w:sz="1"/>
              <w:bottom w:val="single" w:color="CCCCCC" w:sz="1"/>
              <w:right w:val="single" w:color="CCCCCC" w:sz="1"/>
            </w:tcBorders>
            <w:shd w:fill="FFF3E0"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Databricks</w:t>
            </w:r>
          </w:p>
        </w:tc>
        <w:tc>
          <w:tcPr>
            <w:tcW w:type="dxa" w:w="1100"/>
            <w:tcBorders>
              <w:top w:val="single" w:color="CCCCCC" w:sz="1"/>
              <w:left w:val="single" w:color="CCCCCC" w:sz="1"/>
              <w:bottom w:val="single" w:color="CCCCCC" w:sz="1"/>
              <w:right w:val="single" w:color="CCCCCC" w:sz="1"/>
            </w:tcBorders>
            <w:shd w:fill="E3F2FD" w:val="clear"/>
            <w:tcMar>
              <w:top w:type="dxa" w:w="35"/>
              <w:left w:type="dxa" w:w="50"/>
              <w:bottom w:type="dxa" w:w="35"/>
              <w:right w:type="dxa" w:w="50"/>
            </w:tcMar>
          </w:tcPr>
          <w:p>
            <w:pPr>
              <w:jc w:val="center"/>
            </w:pPr>
            <w:r>
              <w:rPr>
                <w:rFonts w:ascii="Arial" w:cs="Arial" w:eastAsia="Arial" w:hAnsi="Arial"/>
                <w:b w:val="false"/>
                <w:bCs w:val="false"/>
                <w:color w:val="333333"/>
                <w:sz w:val="15"/>
                <w:szCs w:val="15"/>
              </w:rPr>
              <w:t xml:space="preserve">Proposed</w:t>
            </w:r>
          </w:p>
        </w:tc>
        <w:tc>
          <w:tcPr>
            <w:tcW w:type="dxa" w:w="2010"/>
            <w:tcBorders>
              <w:top w:val="single" w:color="CCCCCC" w:sz="1"/>
              <w:left w:val="single" w:color="CCCCCC" w:sz="1"/>
              <w:bottom w:val="single" w:color="CCCCCC" w:sz="1"/>
              <w:right w:val="single" w:color="CCCCCC" w:sz="1"/>
            </w:tcBorders>
            <w:shd w:fill="FFFFFF" w:val="clear"/>
            <w:tcMar>
              <w:top w:type="dxa" w:w="35"/>
              <w:left w:type="dxa" w:w="50"/>
              <w:bottom w:type="dxa" w:w="35"/>
              <w:right w:type="dxa" w:w="50"/>
            </w:tcMar>
          </w:tcPr>
          <w:p>
            <w:pPr>
              <w:jc w:val="left"/>
            </w:pPr>
            <w:r>
              <w:rPr>
                <w:rFonts w:ascii="Arial" w:cs="Arial" w:eastAsia="Arial" w:hAnsi="Arial"/>
                <w:b w:val="false"/>
                <w:bCs w:val="false"/>
                <w:color w:val="333333"/>
                <w:sz w:val="15"/>
                <w:szCs w:val="15"/>
              </w:rPr>
              <w:t xml:space="preserve">Spark ML (built-in)</w:t>
            </w:r>
          </w:p>
        </w:tc>
      </w:tr>
    </w:tbl>
    <w:p>
      <w:pPr>
        <w:spacing w:before="200" w:after="60"/>
      </w:pPr>
      <w:r>
        <w:rPr>
          <w:rFonts w:ascii="Arial" w:cs="Arial" w:eastAsia="Arial" w:hAnsi="Arial"/>
          <w:b/>
          <w:bCs/>
          <w:color w:val="1B3A5C"/>
          <w:sz w:val="22"/>
          <w:szCs w:val="22"/>
        </w:rPr>
        <w:t xml:space="preserve">Key Takeaways</w:t>
      </w:r>
    </w:p>
    <w:p>
      <w:pPr>
        <w:pStyle w:val="ListParagraph"/>
        <w:numPr>
          <w:ilvl w:val="0"/>
          <w:numId w:val="2"/>
        </w:numPr>
        <w:spacing w:after="40"/>
      </w:pPr>
      <w:r>
        <w:rPr>
          <w:rFonts w:ascii="Arial" w:cs="Arial" w:eastAsia="Arial" w:hAnsi="Arial"/>
          <w:b/>
          <w:bCs/>
          <w:color w:val="333333"/>
          <w:sz w:val="19"/>
          <w:szCs w:val="19"/>
        </w:rPr>
        <w:t xml:space="preserve">4 of 18 use cases are already in active use today</w:t>
      </w:r>
      <w:r>
        <w:rPr>
          <w:rFonts w:ascii="Arial" w:cs="Arial" w:eastAsia="Arial" w:hAnsi="Arial"/>
          <w:color w:val="333333"/>
          <w:sz w:val="19"/>
          <w:szCs w:val="19"/>
        </w:rPr>
        <w:t xml:space="preserve"> — OPQ engineers are already using DHS Chat for code conversion, code explanation, debugging, and documentation. These represent proven demand, not theoretical value.</w:t>
      </w:r>
    </w:p>
    <w:p>
      <w:pPr>
        <w:pStyle w:val="ListParagraph"/>
        <w:numPr>
          <w:ilvl w:val="0"/>
          <w:numId w:val="2"/>
        </w:numPr>
        <w:spacing w:after="40"/>
      </w:pPr>
      <w:r>
        <w:rPr>
          <w:rFonts w:ascii="Arial" w:cs="Arial" w:eastAsia="Arial" w:hAnsi="Arial"/>
          <w:b/>
          <w:bCs/>
          <w:color w:val="333333"/>
          <w:sz w:val="19"/>
          <w:szCs w:val="19"/>
        </w:rPr>
        <w:t xml:space="preserve">11 of 18 use cases require zero additional security asks</w:t>
      </w:r>
      <w:r>
        <w:rPr>
          <w:rFonts w:ascii="Arial" w:cs="Arial" w:eastAsia="Arial" w:hAnsi="Arial"/>
          <w:color w:val="333333"/>
          <w:sz w:val="19"/>
          <w:szCs w:val="19"/>
        </w:rPr>
        <w:t xml:space="preserve"> — they work within DHS Chat and existing Databricks features.</w:t>
      </w:r>
    </w:p>
    <w:p>
      <w:pPr>
        <w:pStyle w:val="ListParagraph"/>
        <w:numPr>
          <w:ilvl w:val="0"/>
          <w:numId w:val="2"/>
        </w:numPr>
        <w:spacing w:after="40"/>
      </w:pPr>
      <w:r>
        <w:rPr>
          <w:rFonts w:ascii="Arial" w:cs="Arial" w:eastAsia="Arial" w:hAnsi="Arial"/>
          <w:b/>
          <w:bCs/>
          <w:color w:val="333333"/>
          <w:sz w:val="19"/>
          <w:szCs w:val="19"/>
        </w:rPr>
        <w:t xml:space="preserve">The remaining 7 require only feature enablement within Databricks</w:t>
      </w:r>
      <w:r>
        <w:rPr>
          <w:rFonts w:ascii="Arial" w:cs="Arial" w:eastAsia="Arial" w:hAnsi="Arial"/>
          <w:color w:val="333333"/>
          <w:sz w:val="19"/>
          <w:szCs w:val="19"/>
        </w:rPr>
        <w:t xml:space="preserve"> (a platform USCIS already owns), not new procurement or ATO processes.</w:t>
      </w:r>
    </w:p>
    <w:p>
      <w:pPr>
        <w:pStyle w:val="ListParagraph"/>
        <w:numPr>
          <w:ilvl w:val="0"/>
          <w:numId w:val="2"/>
        </w:numPr>
        <w:spacing w:after="40"/>
      </w:pPr>
      <w:r>
        <w:rPr>
          <w:rFonts w:ascii="Arial" w:cs="Arial" w:eastAsia="Arial" w:hAnsi="Arial"/>
          <w:b/>
          <w:bCs/>
          <w:color w:val="333333"/>
          <w:sz w:val="19"/>
          <w:szCs w:val="19"/>
        </w:rPr>
        <w:t xml:space="preserve">Enabling Databricks Genie</w:t>
      </w:r>
      <w:r>
        <w:rPr>
          <w:rFonts w:ascii="Arial" w:cs="Arial" w:eastAsia="Arial" w:hAnsi="Arial"/>
          <w:color w:val="333333"/>
          <w:sz w:val="19"/>
          <w:szCs w:val="19"/>
        </w:rPr>
        <w:t xml:space="preserve"> would consolidate several DHS Chat workarounds (code review, debugging, data queries) into a native experience with direct access to OPQ data, schemas, and notebook context — eliminating copy-paste friction and improving accuracy.</w:t>
      </w:r>
    </w:p>
    <w:p>
      <w:pPr>
        <w:spacing w:before="360" w:after="120"/>
      </w:pPr>
      <w:r>
        <w:rPr>
          <w:rFonts w:ascii="Arial" w:cs="Arial" w:eastAsia="Arial" w:hAnsi="Arial"/>
          <w:b/>
          <w:bCs/>
          <w:color w:val="1B3A5C"/>
          <w:sz w:val="24"/>
          <w:szCs w:val="24"/>
        </w:rPr>
        <w:t xml:space="preserve">References</w:t>
      </w:r>
    </w:p>
    <w:p>
      <w:pPr>
        <w:pStyle w:val="ListParagraph"/>
        <w:numPr>
          <w:ilvl w:val="0"/>
          <w:numId w:val="2"/>
        </w:numPr>
        <w:spacing w:after="40"/>
      </w:pPr>
      <w:r>
        <w:rPr>
          <w:rFonts w:ascii="Arial" w:cs="Arial" w:eastAsia="Arial" w:hAnsi="Arial"/>
          <w:color w:val="333333"/>
          <w:sz w:val="19"/>
          <w:szCs w:val="19"/>
        </w:rPr>
        <w:t xml:space="preserve">Executive Order 14179 – Removing Barriers to American Leadership in Artificial Intelligence (Jan 23, 2025)</w:t>
      </w:r>
    </w:p>
    <w:p>
      <w:pPr>
        <w:pStyle w:val="ListParagraph"/>
        <w:numPr>
          <w:ilvl w:val="0"/>
          <w:numId w:val="2"/>
        </w:numPr>
        <w:spacing w:after="40"/>
      </w:pPr>
      <w:r>
        <w:rPr>
          <w:rFonts w:ascii="Arial" w:cs="Arial" w:eastAsia="Arial" w:hAnsi="Arial"/>
          <w:color w:val="333333"/>
          <w:sz w:val="19"/>
          <w:szCs w:val="19"/>
        </w:rPr>
        <w:t xml:space="preserve">OMB M-25-21 – Accelerating Federal Use of AI through Innovation, Governance, and Public Trust (Apr 3, 2025)</w:t>
      </w:r>
    </w:p>
    <w:p>
      <w:pPr>
        <w:pStyle w:val="ListParagraph"/>
        <w:numPr>
          <w:ilvl w:val="0"/>
          <w:numId w:val="2"/>
        </w:numPr>
        <w:spacing w:after="40"/>
      </w:pPr>
      <w:r>
        <w:rPr>
          <w:rFonts w:ascii="Arial" w:cs="Arial" w:eastAsia="Arial" w:hAnsi="Arial"/>
          <w:color w:val="333333"/>
          <w:sz w:val="19"/>
          <w:szCs w:val="19"/>
        </w:rPr>
        <w:t xml:space="preserve">DHS Directive 139-08 – Artificial Intelligence Use and Acquisition (Jan 15, 2025)</w:t>
      </w:r>
    </w:p>
    <w:p>
      <w:pPr>
        <w:pStyle w:val="ListParagraph"/>
        <w:numPr>
          <w:ilvl w:val="0"/>
          <w:numId w:val="2"/>
        </w:numPr>
        <w:spacing w:after="40"/>
      </w:pPr>
      <w:r>
        <w:rPr>
          <w:rFonts w:ascii="Arial" w:cs="Arial" w:eastAsia="Arial" w:hAnsi="Arial"/>
          <w:color w:val="333333"/>
          <w:sz w:val="19"/>
          <w:szCs w:val="19"/>
        </w:rPr>
        <w:t xml:space="preserve">USCIS AI Governance Board (AIGB) Charter (Apr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2026-02-23T08:00:11.459Z</dcterms:created>
  <dcterms:modified xsi:type="dcterms:W3CDTF">2026-02-23T08:00:11.460Z</dcterms:modified>
</cp:coreProperties>
</file>

<file path=docProps/custom.xml><?xml version="1.0" encoding="utf-8"?>
<Properties xmlns="http://schemas.openxmlformats.org/officeDocument/2006/custom-properties" xmlns:vt="http://schemas.openxmlformats.org/officeDocument/2006/docPropsVTypes"/>
</file>