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9F1F" w14:textId="7B7C01DE" w:rsidR="006E1286" w:rsidRPr="00527D92" w:rsidRDefault="00C83072" w:rsidP="00C83072">
      <w:pPr>
        <w:jc w:val="center"/>
        <w:rPr>
          <w:sz w:val="36"/>
          <w:szCs w:val="36"/>
          <w:u w:val="single"/>
        </w:rPr>
      </w:pPr>
      <w:r w:rsidRPr="00527D92">
        <w:rPr>
          <w:sz w:val="36"/>
          <w:szCs w:val="36"/>
          <w:u w:val="single"/>
        </w:rPr>
        <w:t>Risk assessment</w:t>
      </w:r>
      <w:r w:rsidR="00292ADA" w:rsidRPr="00527D92">
        <w:rPr>
          <w:sz w:val="36"/>
          <w:szCs w:val="36"/>
          <w:u w:val="single"/>
        </w:rPr>
        <w:t xml:space="preserve"> guideline</w:t>
      </w:r>
      <w:r w:rsidRPr="00527D92">
        <w:rPr>
          <w:sz w:val="36"/>
          <w:szCs w:val="36"/>
          <w:u w:val="single"/>
        </w:rPr>
        <w:t xml:space="preserve"> for PCI DSS</w:t>
      </w:r>
    </w:p>
    <w:p w14:paraId="4531E187" w14:textId="52411CAB" w:rsidR="00C83072" w:rsidRDefault="00C83072" w:rsidP="00C83072"/>
    <w:p w14:paraId="26F5AE0E" w14:textId="75B450A8" w:rsidR="00527D92" w:rsidRDefault="00846D4F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Performing an annual risk assessment is mandatory according to the PCI DSS requirement 12.0. Therefore, a</w:t>
      </w:r>
      <w:r w:rsidR="00527D92" w:rsidRPr="00527D92">
        <w:rPr>
          <w:sz w:val="24"/>
          <w:szCs w:val="24"/>
        </w:rPr>
        <w:t xml:space="preserve"> risk assessment needed to be performed to analyze the possible threats for the critical assets regarding PCI DSS. Networks, Devices, </w:t>
      </w:r>
      <w:r w:rsidR="00527D92">
        <w:rPr>
          <w:sz w:val="24"/>
          <w:szCs w:val="24"/>
        </w:rPr>
        <w:t>Servers etc.</w:t>
      </w:r>
    </w:p>
    <w:p w14:paraId="218724E2" w14:textId="450162E9" w:rsidR="008E2D06" w:rsidRDefault="008E2D06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ISO 27005, OCTAVE or NIST SP 800-30 can be used to perform the risk assessment. In this toolkit the documents provided for the risk analysis are mainly based on OCTAVE allegro worksheets.</w:t>
      </w:r>
    </w:p>
    <w:p w14:paraId="1B34DB52" w14:textId="12A5F737" w:rsidR="00527D92" w:rsidRDefault="00527D92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The required documents for the risk assessment are provided with the toolkit.</w:t>
      </w:r>
    </w:p>
    <w:p w14:paraId="0409B6A7" w14:textId="03B0C497" w:rsidR="00527D92" w:rsidRDefault="00527D92" w:rsidP="0077081F">
      <w:pPr>
        <w:jc w:val="both"/>
        <w:rPr>
          <w:sz w:val="24"/>
          <w:szCs w:val="24"/>
        </w:rPr>
      </w:pPr>
    </w:p>
    <w:p w14:paraId="75E1BD9A" w14:textId="252B680F" w:rsidR="00527D92" w:rsidRDefault="00527D92" w:rsidP="0077081F">
      <w:pPr>
        <w:jc w:val="both"/>
        <w:rPr>
          <w:b/>
          <w:bCs/>
          <w:sz w:val="28"/>
          <w:szCs w:val="28"/>
          <w:u w:val="single"/>
        </w:rPr>
      </w:pPr>
      <w:r w:rsidRPr="00527D92">
        <w:rPr>
          <w:b/>
          <w:bCs/>
          <w:sz w:val="28"/>
          <w:szCs w:val="28"/>
          <w:u w:val="single"/>
        </w:rPr>
        <w:t>Risk Assessment steps</w:t>
      </w:r>
    </w:p>
    <w:p w14:paraId="0D43CF4F" w14:textId="77777777" w:rsidR="008E6E60" w:rsidRPr="00527D92" w:rsidRDefault="008E6E60" w:rsidP="0077081F">
      <w:pPr>
        <w:jc w:val="both"/>
        <w:rPr>
          <w:b/>
          <w:bCs/>
          <w:sz w:val="28"/>
          <w:szCs w:val="28"/>
          <w:u w:val="single"/>
        </w:rPr>
      </w:pPr>
    </w:p>
    <w:p w14:paraId="09A8F2B4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 the Asset registry and Asset inventory</w:t>
      </w:r>
      <w:r>
        <w:rPr>
          <w:sz w:val="24"/>
          <w:szCs w:val="24"/>
        </w:rPr>
        <w:t xml:space="preserve"> </w:t>
      </w:r>
    </w:p>
    <w:p w14:paraId="5F86A2F9" w14:textId="1FE75B5E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registry and asset inventory document</w:t>
      </w:r>
      <w:r>
        <w:rPr>
          <w:sz w:val="24"/>
          <w:szCs w:val="24"/>
        </w:rPr>
        <w:t>)</w:t>
      </w:r>
    </w:p>
    <w:p w14:paraId="1F790E32" w14:textId="77777777" w:rsidR="00527D92" w:rsidRP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77537D49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</w:t>
      </w:r>
      <w:r>
        <w:rPr>
          <w:sz w:val="24"/>
          <w:szCs w:val="24"/>
        </w:rPr>
        <w:t xml:space="preserve"> the</w:t>
      </w:r>
      <w:r w:rsidRPr="00527D92">
        <w:rPr>
          <w:sz w:val="24"/>
          <w:szCs w:val="24"/>
        </w:rPr>
        <w:t xml:space="preserve"> asset profiles </w:t>
      </w:r>
    </w:p>
    <w:p w14:paraId="62BDBE74" w14:textId="2D794145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profile document</w:t>
      </w:r>
      <w:r>
        <w:rPr>
          <w:sz w:val="24"/>
          <w:szCs w:val="24"/>
        </w:rPr>
        <w:t>)</w:t>
      </w:r>
    </w:p>
    <w:p w14:paraId="1FC9BE9F" w14:textId="77777777" w:rsid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2738CDAA" w14:textId="0C534996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each threat for the assets and create threat profiles for each threat</w:t>
      </w:r>
    </w:p>
    <w:p w14:paraId="723ABD9B" w14:textId="6C0E3739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Threat profile document</w:t>
      </w:r>
      <w:r>
        <w:rPr>
          <w:sz w:val="24"/>
          <w:szCs w:val="24"/>
        </w:rPr>
        <w:t>)</w:t>
      </w:r>
    </w:p>
    <w:p w14:paraId="786976FF" w14:textId="0107070E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05A665A7" w14:textId="512E7B66" w:rsidR="00530431" w:rsidRDefault="00530431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Define a Risk tolerance (appetite) level. (Risk tolerance/appetite value is the value of the minimum risk score that the organization can tolerate)</w:t>
      </w:r>
    </w:p>
    <w:p w14:paraId="7F40CBBF" w14:textId="73D55A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5AFC7FA4" w14:textId="662592B6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30431">
        <w:rPr>
          <w:color w:val="2F5496" w:themeColor="accent1" w:themeShade="BF"/>
          <w:sz w:val="24"/>
          <w:szCs w:val="24"/>
        </w:rPr>
        <w:t>threat profiles document</w:t>
      </w:r>
      <w:r>
        <w:rPr>
          <w:sz w:val="24"/>
          <w:szCs w:val="24"/>
        </w:rPr>
        <w:t>, template for an analysis for risk scores are provided. Calculate the relative risk scores.</w:t>
      </w:r>
    </w:p>
    <w:p w14:paraId="4A7A477A" w14:textId="77777777" w:rsidR="00D967E9" w:rsidRDefault="00D967E9" w:rsidP="00D967E9">
      <w:pPr>
        <w:pStyle w:val="ListParagraph"/>
        <w:jc w:val="both"/>
        <w:rPr>
          <w:sz w:val="24"/>
          <w:szCs w:val="24"/>
        </w:rPr>
      </w:pPr>
    </w:p>
    <w:p w14:paraId="57E1FAFC" w14:textId="4B81657B" w:rsidR="00D967E9" w:rsidRDefault="00D967E9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Evaluate the identified risks and prioritize risks.</w:t>
      </w:r>
    </w:p>
    <w:p w14:paraId="47BE7FAD" w14:textId="77777777" w:rsidR="009D4124" w:rsidRPr="009D4124" w:rsidRDefault="009D4124" w:rsidP="009D4124">
      <w:pPr>
        <w:pStyle w:val="ListParagraph"/>
        <w:rPr>
          <w:sz w:val="24"/>
          <w:szCs w:val="24"/>
        </w:rPr>
      </w:pPr>
    </w:p>
    <w:p w14:paraId="3E1F098F" w14:textId="392D1111" w:rsidR="009D4124" w:rsidRDefault="009D4124" w:rsidP="009D41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There are two methods that the risk evaluation needs to be performed.</w:t>
      </w:r>
    </w:p>
    <w:p w14:paraId="10F49EA2" w14:textId="115701E7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Qualitative</w:t>
      </w:r>
    </w:p>
    <w:p w14:paraId="51F0C087" w14:textId="4BB189E6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Quantitative</w:t>
      </w:r>
    </w:p>
    <w:p w14:paraId="750419EA" w14:textId="295466BD" w:rsidR="00DE4156" w:rsidRDefault="00DE4156" w:rsidP="00DE4156">
      <w:pPr>
        <w:jc w:val="both"/>
        <w:rPr>
          <w:sz w:val="24"/>
          <w:szCs w:val="24"/>
        </w:rPr>
      </w:pPr>
    </w:p>
    <w:p w14:paraId="25F630FC" w14:textId="77777777" w:rsidR="00DE4156" w:rsidRPr="00DE4156" w:rsidRDefault="00DE4156" w:rsidP="00DE4156">
      <w:pPr>
        <w:jc w:val="both"/>
        <w:rPr>
          <w:sz w:val="24"/>
          <w:szCs w:val="24"/>
        </w:rPr>
      </w:pPr>
    </w:p>
    <w:p w14:paraId="6F3D0F87" w14:textId="777777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6AE17916" w14:textId="1C50B00D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Identify threats that are above risk tolerance level and suggest mitigations according to the threat countermeasures section in </w:t>
      </w:r>
      <w:r w:rsidRPr="00530431">
        <w:rPr>
          <w:color w:val="2F5496" w:themeColor="accent1" w:themeShade="BF"/>
          <w:sz w:val="24"/>
          <w:szCs w:val="24"/>
        </w:rPr>
        <w:t>threat profiles and countermeasure document</w:t>
      </w:r>
      <w:r>
        <w:rPr>
          <w:sz w:val="24"/>
          <w:szCs w:val="24"/>
        </w:rPr>
        <w:t>.</w:t>
      </w:r>
    </w:p>
    <w:p w14:paraId="3BBC1886" w14:textId="77777777" w:rsidR="000F1757" w:rsidRPr="000F1757" w:rsidRDefault="000F1757" w:rsidP="0077081F">
      <w:pPr>
        <w:pStyle w:val="ListParagraph"/>
        <w:jc w:val="both"/>
        <w:rPr>
          <w:sz w:val="24"/>
          <w:szCs w:val="24"/>
        </w:rPr>
      </w:pPr>
    </w:p>
    <w:p w14:paraId="5E7EA63B" w14:textId="76E83784" w:rsidR="000F1757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Risk assessment is a cyclical process. Therefore, f</w:t>
      </w:r>
      <w:r w:rsidR="000F1757">
        <w:rPr>
          <w:sz w:val="24"/>
          <w:szCs w:val="24"/>
        </w:rPr>
        <w:t xml:space="preserve">or the mitigated threats, it is </w:t>
      </w:r>
      <w:r>
        <w:rPr>
          <w:sz w:val="24"/>
          <w:szCs w:val="24"/>
        </w:rPr>
        <w:t>recommended to perform the risk analysis again and calculate new relative risk score values.</w:t>
      </w:r>
    </w:p>
    <w:p w14:paraId="2B1AD5F3" w14:textId="77777777" w:rsidR="00BF698C" w:rsidRPr="00BF698C" w:rsidRDefault="00BF698C" w:rsidP="0077081F">
      <w:pPr>
        <w:pStyle w:val="ListParagraph"/>
        <w:jc w:val="both"/>
        <w:rPr>
          <w:sz w:val="24"/>
          <w:szCs w:val="24"/>
        </w:rPr>
      </w:pPr>
    </w:p>
    <w:p w14:paraId="45A6CD32" w14:textId="43AAAA37" w:rsidR="00BF698C" w:rsidRDefault="00BF698C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new values are still above the risk tolerance level, introduce and add new mitigations.</w:t>
      </w:r>
    </w:p>
    <w:p w14:paraId="5F6FE2DC" w14:textId="77777777" w:rsidR="000526CE" w:rsidRPr="000526CE" w:rsidRDefault="000526CE" w:rsidP="0077081F">
      <w:pPr>
        <w:pStyle w:val="ListParagraph"/>
        <w:jc w:val="both"/>
        <w:rPr>
          <w:sz w:val="24"/>
          <w:szCs w:val="24"/>
        </w:rPr>
      </w:pPr>
    </w:p>
    <w:p w14:paraId="527430C9" w14:textId="6E4DD5A8" w:rsidR="004F74B5" w:rsidRPr="00750FDD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process annually or </w:t>
      </w:r>
      <w:r w:rsidR="00F56075">
        <w:rPr>
          <w:sz w:val="24"/>
          <w:szCs w:val="24"/>
        </w:rPr>
        <w:t>quarterly</w:t>
      </w:r>
      <w:r>
        <w:rPr>
          <w:sz w:val="24"/>
          <w:szCs w:val="24"/>
        </w:rPr>
        <w:t>.</w:t>
      </w:r>
    </w:p>
    <w:sectPr w:rsidR="004F74B5" w:rsidRPr="00750F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50616" w14:textId="77777777" w:rsidR="000D1029" w:rsidRDefault="000D1029" w:rsidP="004F7E2C">
      <w:pPr>
        <w:spacing w:after="0" w:line="240" w:lineRule="auto"/>
      </w:pPr>
      <w:r>
        <w:separator/>
      </w:r>
    </w:p>
  </w:endnote>
  <w:endnote w:type="continuationSeparator" w:id="0">
    <w:p w14:paraId="15029C71" w14:textId="77777777" w:rsidR="000D1029" w:rsidRDefault="000D1029" w:rsidP="004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866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5041C" w14:textId="65A28CB9" w:rsidR="004F7E2C" w:rsidRDefault="004F7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53A82" w14:textId="77777777" w:rsidR="004F7E2C" w:rsidRDefault="004F7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34CA6" w14:textId="77777777" w:rsidR="000D1029" w:rsidRDefault="000D1029" w:rsidP="004F7E2C">
      <w:pPr>
        <w:spacing w:after="0" w:line="240" w:lineRule="auto"/>
      </w:pPr>
      <w:r>
        <w:separator/>
      </w:r>
    </w:p>
  </w:footnote>
  <w:footnote w:type="continuationSeparator" w:id="0">
    <w:p w14:paraId="65DCCBBD" w14:textId="77777777" w:rsidR="000D1029" w:rsidRDefault="000D1029" w:rsidP="004F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63218"/>
    <w:multiLevelType w:val="hybridMultilevel"/>
    <w:tmpl w:val="FD2C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2D5F12"/>
    <w:multiLevelType w:val="hybridMultilevel"/>
    <w:tmpl w:val="037C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30612">
    <w:abstractNumId w:val="1"/>
  </w:num>
  <w:num w:numId="2" w16cid:durableId="35515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1"/>
    <w:rsid w:val="000526CE"/>
    <w:rsid w:val="000D1029"/>
    <w:rsid w:val="000E3640"/>
    <w:rsid w:val="000F1757"/>
    <w:rsid w:val="00174C33"/>
    <w:rsid w:val="00203819"/>
    <w:rsid w:val="00292ADA"/>
    <w:rsid w:val="003A2242"/>
    <w:rsid w:val="004F74B5"/>
    <w:rsid w:val="004F7E2C"/>
    <w:rsid w:val="00527D92"/>
    <w:rsid w:val="00530431"/>
    <w:rsid w:val="00694601"/>
    <w:rsid w:val="006E1286"/>
    <w:rsid w:val="00750FDD"/>
    <w:rsid w:val="0077081F"/>
    <w:rsid w:val="007C1786"/>
    <w:rsid w:val="00835913"/>
    <w:rsid w:val="00846D4F"/>
    <w:rsid w:val="008E2D06"/>
    <w:rsid w:val="008E6E60"/>
    <w:rsid w:val="009D4124"/>
    <w:rsid w:val="00BF698C"/>
    <w:rsid w:val="00C313FE"/>
    <w:rsid w:val="00C83072"/>
    <w:rsid w:val="00D967E9"/>
    <w:rsid w:val="00DE4156"/>
    <w:rsid w:val="00EA0F4B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5072"/>
  <w15:chartTrackingRefBased/>
  <w15:docId w15:val="{BBCC30E5-D8AA-4531-A9CA-2AC5A4E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2C"/>
  </w:style>
  <w:style w:type="paragraph" w:styleId="Footer">
    <w:name w:val="footer"/>
    <w:basedOn w:val="Normal"/>
    <w:link w:val="Foot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Rajneesh G</cp:lastModifiedBy>
  <cp:revision>30</cp:revision>
  <dcterms:created xsi:type="dcterms:W3CDTF">2021-10-02T03:29:00Z</dcterms:created>
  <dcterms:modified xsi:type="dcterms:W3CDTF">2025-01-29T09:49:00Z</dcterms:modified>
</cp:coreProperties>
</file>