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GROWTH ENGINEERING</w:t>
      </w:r>
    </w:p>
    <w:p>
      <w:pPr>
        <w:spacing w:after="40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Strategic Initiative Validation for Scaling Organizations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THE FRAMEWORK: UNIFIED ACROSS SECTORS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 logic model for validating strategic initiatives is the same whether the organization measures impact in social outcomes or revenue growth. Different vocabulary, identical discipline.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NONPROFIT</w:t>
            </w:r>
          </w:p>
        </w:tc>
        <w:tc>
          <w:tcPr>
            <w:tcW w:type="dxa" w:w="3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Thesis</w:t>
            </w:r>
          </w:p>
        </w:tc>
        <w:tc>
          <w:tcPr>
            <w:tcW w:type="dxa" w:w="3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Theory of Change: Why we exist and what we believe will create impact</w:t>
            </w:r>
          </w:p>
        </w:tc>
        <w:tc>
          <w:tcPr>
            <w:tcW w:type="dxa" w:w="3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Strategic Thesis: Why this bet will create value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Portfolio</w:t>
            </w:r>
          </w:p>
        </w:tc>
        <w:tc>
          <w:tcPr>
            <w:tcW w:type="dxa" w:w="3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Programs: Discrete interventions toward population-level change</w:t>
            </w:r>
          </w:p>
        </w:tc>
        <w:tc>
          <w:tcPr>
            <w:tcW w:type="dxa" w:w="3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Offerings: Discrete products/services toward market position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Success</w:t>
            </w:r>
          </w:p>
        </w:tc>
        <w:tc>
          <w:tcPr>
            <w:tcW w:type="dxa" w:w="3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Outcomes: Observable change in condition, behavior, or status</w:t>
            </w:r>
          </w:p>
        </w:tc>
        <w:tc>
          <w:tcPr>
            <w:tcW w:type="dxa" w:w="3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Success Criteria: Observable change in market or capability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Experiments</w:t>
            </w:r>
          </w:p>
        </w:tc>
        <w:tc>
          <w:tcPr>
            <w:tcW w:type="dxa" w:w="3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Activities: What you deliver (services, events, training)</w:t>
            </w:r>
          </w:p>
        </w:tc>
        <w:tc>
          <w:tcPr>
            <w:tcW w:type="dxa" w:w="3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Pilots: What you ship (engagements, prototypes, campaigns)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Evidence</w:t>
            </w:r>
          </w:p>
        </w:tc>
        <w:tc>
          <w:tcPr>
            <w:tcW w:type="dxa" w:w="3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Indicators: Data points that evidence outcome movement</w:t>
            </w:r>
          </w:p>
        </w:tc>
        <w:tc>
          <w:tcPr>
            <w:tcW w:type="dxa" w:w="3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Signals: Data points that evidence product-market fit</w:t>
            </w:r>
          </w:p>
        </w:tc>
      </w:tr>
    </w:tbl>
    <w:p>
      <w:pPr>
        <w:spacing w:before="300" w:after="2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Evidence rolls up: Activity indicators aggregate to Outcome delta, which validates Program ROI, which confirms or challenges the Thesis. The same logic applies to business: Pilot signals validate Offering performance, which proves or disproves the Strategic Thesis.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THE DISCIPLINE GAP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Most organizations operate at the activity level and call it traction. Mature organizations operate at the evidence level and actually know if their initiatives work.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4a55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MOST ORGANIZATIONS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MATURE ORGANIZATIONS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Track activities (outputs)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Define expected change (outcomes)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Call it impact or traction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Assign indicators to evidence it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feedback loop to thesis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Measure delta over time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Validate by effort, not evidence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Validate by signal, not activity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"We did the thing"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"The thing moved the needle"</w:t>
            </w:r>
          </w:p>
        </w:tc>
      </w:tr>
    </w:tbl>
    <w:p>
      <w:pPr>
        <w:spacing w:before="400"/>
      </w:pPr>
    </w:p>
    <w:p>
      <w:pPr>
        <w:shd w:fill="1a365d" w:val="clear"/>
        <w:spacing w:after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GROWTH ENGINEERING = Closing this gap systematically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THE PRACTICE: FIVE STEPS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22"/>
          <w:szCs w:val="22"/>
        </w:rPr>
        <w:t xml:space="preserve">1. Anchor on Thesis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What do you believe? What is the strategic hypothesis that, if true, would justify this initiative?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22"/>
          <w:szCs w:val="22"/>
        </w:rPr>
        <w:t xml:space="preserve">2. Define Success Criteria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What would prove it? What observable changes would you expect to see if the thesis is correct?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22"/>
          <w:szCs w:val="22"/>
        </w:rPr>
        <w:t xml:space="preserve">3. Design Experiments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What is the smallest test? What is the minimum viable pilot that would generate evidence?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22"/>
          <w:szCs w:val="22"/>
        </w:rPr>
        <w:t xml:space="preserve">4. Assign Signals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What evidence would you accept? What specific indicators would validate or invalidate the hypothesis?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22"/>
          <w:szCs w:val="22"/>
        </w:rPr>
        <w:t xml:space="preserve">5. Measure and Iterate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Did you learn? Based on evidence, do you persist, pivot, or kill the initiative?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APPLICATION: AI ENABLEMENT AS GROWTH INITIATIVE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Consider an MSP selling AI enablement services. The traditional approach:</w:t>
      </w:r>
    </w:p>
    <w:p>
      <w:pPr>
        <w:spacing w:before="200" w:after="200"/>
        <w:ind w:left="7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Data Readiness Audit (sell pain)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→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Remediation (billable hours)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→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Managed Services Upsell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 Growth Engineering approach:</w:t>
      </w:r>
    </w:p>
    <w:p>
      <w:pPr>
        <w:spacing w:before="200" w:after="200"/>
        <w:ind w:left="720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Growth Initiative Enabled by AI (sell vision) </w:t>
      </w:r>
      <w:r>
        <w:rPr>
          <w:rFonts w:ascii="Arial" w:cs="Arial" w:eastAsia="Arial" w:hAnsi="Arial"/>
          <w:color w:val="1a365d"/>
          <w:sz w:val="22"/>
          <w:szCs w:val="22"/>
        </w:rPr>
        <w:t xml:space="preserve">→</w:t>
      </w: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 Data Gaps Revealed as Blockers </w:t>
      </w:r>
      <w:r>
        <w:rPr>
          <w:rFonts w:ascii="Arial" w:cs="Arial" w:eastAsia="Arial" w:hAnsi="Arial"/>
          <w:color w:val="1a365d"/>
          <w:sz w:val="22"/>
          <w:szCs w:val="22"/>
        </w:rPr>
        <w:t xml:space="preserve">→</w:t>
      </w: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 Remediation as Milestone </w:t>
      </w:r>
      <w:r>
        <w:rPr>
          <w:rFonts w:ascii="Arial" w:cs="Arial" w:eastAsia="Arial" w:hAnsi="Arial"/>
          <w:color w:val="1a365d"/>
          <w:sz w:val="22"/>
          <w:szCs w:val="22"/>
        </w:rPr>
        <w:t xml:space="preserve">→</w:t>
      </w: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 Managed Services as Sustainability Layer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 data hygiene work is identical. The client posture is completely different. They are not buying a cleanup. They are buying progress toward an outcome they actually want. The managed services contract is not an upsell. It is how you sustain the initiative they already bought into.</w:t>
      </w:r>
    </w:p>
    <w:p>
      <w:pPr>
        <w:spacing w:before="400"/>
      </w:pPr>
    </w:p>
    <w:p>
      <w:pPr>
        <w:shd w:fill="e2e8f0" w:val="clear"/>
        <w:spacing w:after="20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The Question Growth Engineering Forces: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1a365d"/>
          <w:sz w:val="26"/>
          <w:szCs w:val="26"/>
        </w:rPr>
        <w:t xml:space="preserve">What are you actually testing with each engagement? If you cannot name the signal, you are just doing work, not validating a thesis.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Joel Austin | Commit Digital Solutions | joel@commitimpact.com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40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2c5282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2026-02-09T15:49:05.428Z</dcterms:created>
  <dcterms:modified xsi:type="dcterms:W3CDTF">2026-02-09T15:49:05.429Z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