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56"/>
          <w:szCs w:val="56"/>
        </w:rPr>
        <w:t xml:space="preserve">Writing Evaluator Agent</w:t>
      </w:r>
    </w:p>
    <w:p>
      <w:pPr>
        <w:spacing w:after="80"/>
        <w:jc w:val="center"/>
      </w:pPr>
      <w:r>
        <w:rPr>
          <w:rFonts w:ascii="Arial" w:cs="Arial" w:eastAsia="Arial" w:hAnsi="Arial"/>
          <w:color w:val="2E5496"/>
          <w:sz w:val="36"/>
          <w:szCs w:val="36"/>
        </w:rPr>
        <w:t xml:space="preserve">Evaluation Scheme Report</w:t>
      </w:r>
    </w:p>
    <w:p>
      <w:pPr>
        <w:pBdr>
          <w:bottom w:val="single" w:color="1F3864" w:sz="8" w:space="4"/>
        </w:pBdr>
        <w:spacing w:after="320"/>
        <w:jc w:val="center"/>
      </w:pPr>
      <w:r>
        <w:rPr>
          <w:rFonts w:ascii="Arial" w:cs="Arial" w:eastAsia="Arial" w:hAnsi="Arial"/>
          <w:i/>
          <w:iCs/>
          <w:color w:val="555555"/>
          <w:sz w:val="24"/>
          <w:szCs w:val="24"/>
        </w:rPr>
        <w:t xml:space="preserve">Writing Type: Argumentative Paragraph  (Type 1)</w:t>
      </w:r>
    </w:p>
    <w:p>
      <w:pPr>
        <w:spacing w:after="80"/>
      </w:pPr>
      <w:r>
        <w:t xml:space="preserve"/>
      </w:r>
    </w:p>
    <w:p>
      <w:pPr>
        <w:pStyle w:val="Heading1"/>
        <w:spacing w:after="160" w:before="360"/>
      </w:pPr>
      <w:r>
        <w:rPr>
          <w:rFonts w:ascii="Arial" w:cs="Arial" w:eastAsia="Arial" w:hAnsi="Arial"/>
          <w:b/>
          <w:bCs/>
          <w:color w:val="1F3864"/>
          <w:sz w:val="32"/>
          <w:szCs w:val="32"/>
        </w:rPr>
        <w:t xml:space="preserve">1. Overview of the Evaluation Scheme</w:t>
      </w:r>
    </w:p>
    <w:p>
      <w:pPr>
        <w:spacing w:after="160"/>
      </w:pPr>
      <w:r>
        <w:rPr>
          <w:rFonts w:ascii="Arial" w:cs="Arial" w:eastAsia="Arial" w:hAnsi="Arial"/>
          <w:sz w:val="24"/>
          <w:szCs w:val="24"/>
        </w:rPr>
        <w:t xml:space="preserve">This evaluator assesses argumentative paragraphs against seven precisely defined criteria—four that are specific to the argumentative form and three that apply to any piece of academic writing. Each criterion is scored out of 5, giving a maximum total of 35 marks.</w:t>
      </w:r>
    </w:p>
    <w:p>
      <w:pPr>
        <w:spacing w:after="160"/>
      </w:pPr>
      <w:r>
        <w:rPr>
          <w:rFonts w:ascii="Arial" w:cs="Arial" w:eastAsia="Arial" w:hAnsi="Arial"/>
          <w:sz w:val="24"/>
          <w:szCs w:val="24"/>
        </w:rPr>
        <w:t xml:space="preserve">The scheme is grounded in the structural and rhetorical conventions of argumentative writing as taught in class. A paragraph earns its score not by length or vocabulary sophistication alone, but by how effectively it advances a debatable claim through evidence, counterargument, and logical cohesion.</w:t>
      </w:r>
    </w:p>
    <w:p>
      <w:pPr>
        <w:spacing w:after="80"/>
      </w:pPr>
      <w:r>
        <w:t xml:space="preserve"/>
      </w:r>
    </w:p>
    <w:p>
      <w:pPr>
        <w:pStyle w:val="Heading2"/>
        <w:spacing w:after="120" w:before="280"/>
      </w:pPr>
      <w:r>
        <w:rPr>
          <w:rFonts w:ascii="Arial" w:cs="Arial" w:eastAsia="Arial" w:hAnsi="Arial"/>
          <w:b/>
          <w:bCs/>
          <w:color w:val="2E5496"/>
          <w:sz w:val="28"/>
          <w:szCs w:val="28"/>
        </w:rP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Criterion</w:t>
            </w:r>
          </w:p>
        </w:tc>
        <w:tc>
          <w:tcPr>
            <w:tcW w:type="dxa" w:w="33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Category</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Marks</w:t>
            </w:r>
          </w:p>
        </w:tc>
      </w:tr>
      <w:tr>
        <w:tc>
          <w:tcPr>
            <w:tcW w:type="dxa" w:w="4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Topic Sentence / Claim</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Type-Specific</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Evidence &amp; Reasoning</w:t>
            </w:r>
          </w:p>
        </w:tc>
        <w:tc>
          <w:tcPr>
            <w:tcW w:type="dxa" w:w="336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Type-Specific</w:t>
            </w:r>
          </w:p>
        </w:tc>
        <w:tc>
          <w:tcPr>
            <w:tcW w:type="dxa" w:w="18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Counterargument &amp; Rebuttal</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Type-Specific</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Concluding Sentence</w:t>
            </w:r>
          </w:p>
        </w:tc>
        <w:tc>
          <w:tcPr>
            <w:tcW w:type="dxa" w:w="336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Type-Specific</w:t>
            </w:r>
          </w:p>
        </w:tc>
        <w:tc>
          <w:tcPr>
            <w:tcW w:type="dxa" w:w="18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Grammar &amp; Sentence Structure</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General</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Clarity &amp; Conciseness</w:t>
            </w:r>
          </w:p>
        </w:tc>
        <w:tc>
          <w:tcPr>
            <w:tcW w:type="dxa" w:w="336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General</w:t>
            </w:r>
          </w:p>
        </w:tc>
        <w:tc>
          <w:tcPr>
            <w:tcW w:type="dxa" w:w="1800"/>
            <w:tcBorders>
              <w:top w:val="single" w:color="B0C4DE" w:sz="1"/>
              <w:left w:val="single" w:color="B0C4DE" w:sz="1"/>
              <w:bottom w:val="single" w:color="B0C4DE" w:sz="1"/>
              <w:right w:val="single" w:color="B0C4DE" w:sz="1"/>
            </w:tcBorders>
            <w:shd w:fill="EE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Transitions &amp; Cohesion</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General</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 5</w:t>
            </w:r>
          </w:p>
        </w:tc>
      </w:tr>
      <w:tr>
        <w:tc>
          <w:tcPr>
            <w:tcW w:type="dxa" w:w="4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TOTAL</w:t>
            </w:r>
          </w:p>
        </w:tc>
        <w:tc>
          <w:tcPr>
            <w:tcW w:type="dxa" w:w="33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
            </w:r>
          </w:p>
        </w:tc>
        <w:tc>
          <w:tcPr>
            <w:tcW w:type="dxa" w:w="18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35 / 35</w:t>
            </w:r>
          </w:p>
        </w:tc>
      </w:tr>
    </w:tbl>
    <w:p>
      <w:pPr>
        <w:spacing w:after="80"/>
      </w:pPr>
      <w:r>
        <w:t xml:space="preserve"/>
      </w:r>
    </w:p>
    <w:p>
      <w:pPr>
        <w:spacing w:after="80"/>
      </w:pPr>
      <w:r>
        <w:t xml:space="preserve"/>
      </w:r>
    </w:p>
    <w:p>
      <w:pPr>
        <w:pStyle w:val="Heading1"/>
        <w:spacing w:after="160" w:before="360"/>
      </w:pPr>
      <w:r>
        <w:rPr>
          <w:rFonts w:ascii="Arial" w:cs="Arial" w:eastAsia="Arial" w:hAnsi="Arial"/>
          <w:b/>
          <w:bCs/>
          <w:color w:val="1F3864"/>
          <w:sz w:val="32"/>
          <w:szCs w:val="32"/>
        </w:rPr>
        <w:t xml:space="preserve">2. Criteria Definitions</w:t>
      </w:r>
    </w:p>
    <w:p>
      <w:pPr>
        <w:spacing w:after="160"/>
      </w:pPr>
      <w:r>
        <w:rPr>
          <w:rFonts w:ascii="Arial" w:cs="Arial" w:eastAsia="Arial" w:hAnsi="Arial"/>
          <w:sz w:val="24"/>
          <w:szCs w:val="24"/>
        </w:rPr>
        <w:t xml:space="preserve">Each criterion below specifies: what is being checked, why it matters for the argumentative paragraph form, and what distinguishes a high score from a low score.</w:t>
      </w:r>
    </w:p>
    <w:p>
      <w:pPr>
        <w:spacing w:after="80"/>
      </w:pPr>
      <w:r>
        <w:t xml:space="preserve"/>
      </w:r>
    </w:p>
    <w:p>
      <w:pPr>
        <w:pStyle w:val="Heading2"/>
        <w:spacing w:after="120" w:before="280"/>
      </w:pPr>
      <w:r>
        <w:rPr>
          <w:rFonts w:ascii="Arial" w:cs="Arial" w:eastAsia="Arial" w:hAnsi="Arial"/>
          <w:b/>
          <w:bCs/>
          <w:color w:val="2E5496"/>
          <w:sz w:val="28"/>
          <w:szCs w:val="28"/>
        </w:rPr>
        <w:t xml:space="preserve">C1. Topic Sentence / Claim  [Type-Specific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the paragraph opens with a single, specific, debatable claim that takes a clear stance.</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The topic sentence is the architectural keystone of an argumentative paragraph. Without a precise, arguable claim, there is no argument—only description or narration. Students must learn to distinguish a debatable position from a fact or a general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opening sentence states a clear, arguable position that could be disputed, is specific enough to direct the paragraph, and is placed first. Example: 'Schools should ban smartphones during class to improve academic focus.'</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paragraph begins with a fact ('Social media is widely used'), a question ('Should schools ban phones?'), or a vague statement ('Technology affects students'). Score of 0–1.</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C2. Evidence &amp; Reasoning  [Type-Specific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at least two distinct pieces of supporting evidence or reasoning are present, each followed by an explanation linking it to the claim.</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A claim without evidence is mere opinion. This criterion tests whether students can build a logical chain: Evidence → Explanation → Link to claim. The 'so-what' explanation is as important as the evidence itself; without it, the paragraph merely asserts.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Two or more clearly developed points with explanation. The writer spells out WHY each point supports the claim. Statistics, examples, and logical reasoning are all valid.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Only one point developed, or evidence is listed without explanation ('Studies show X. Also, Y is true. Therefore...'). Score: 0–2.</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C3. Counterargument &amp; Rebuttal  [Type-Specific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the paragraph acknowledges the opposing view and refutes it with a counter-reason or evidence.</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Engaging with the opposition is what separates argumentation from persuasion. It demonstrates critical thinking and strengthens the writer's credibility by showing they have considered alternative perspectives and found them wanting.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counterargument is stated fairly and specifically, then refuted with a clear reason or evidence. Phrases like 'While some argue that... this view overlooks...' signal this structure.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acknowledgment of the other side, or a token 'Some people disagree' with no rebuttal. Score: 0–1.</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C4. Concluding Sentence  [Type-Specific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the final sentence reinforces the original claim in new language and provides a sense of closure or broader implication.</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The conclusion should synthesise, not simply re-copy the topic sentence. It signals to the reader that the argument is complete and may gesture toward the wider significance of the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Clearly recognisable as a conclusion; restates the claim with fresh vocabulary; may broaden to implication ('Ultimately, equipping students with focus rather than distractions will shape better learners for life.').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Paragraph trails off, introduces new information, or literally repeats the opening sentence. Score: 0–2.</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C5. Grammar &amp; Sentence Structure  [General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sentences are grammatically correct and vary in structure and length.</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Grammatical errors damage the writer's credibility and can cause ambiguity that undermines the argument. Structural variety makes writing engaging and demonstrates linguistic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Zero or one minor grammatical errors; a mix of simple, compound, and complex sentences observed.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Multiple errors (subject-verb disagreement, tense shifts, run-on sentences, fragments) or robotic, uniform sentence structure. Score: 0–2.</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C6. Clarity &amp; Conciseness  [General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every sentence serves a clear purpose, free of padding, redundancy, or vague filler language.</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Arguments are weakened by verbosity. Phrases such as 'It is important to note that' or 'In today's modern society' consume space without advancing the claim. Academic writing prizes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Each sentence advances the argument with specific, direct language. No unnecessary repetition. Ideas are economically expressed.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Significant padding or vague pronouns ('it', 'this', 'they') without clear referents. Argument is difficult to follow. Score: 0–2.</w:t>
            </w:r>
          </w:p>
        </w:tc>
      </w:tr>
    </w:tbl>
    <w:p>
      <w:pPr>
        <w:spacing w:after="80"/>
      </w:pPr>
      <w:r>
        <w:t xml:space="preserve"/>
      </w:r>
    </w:p>
    <w:p>
      <w:pPr>
        <w:pStyle w:val="Heading2"/>
        <w:spacing w:after="120" w:before="280"/>
      </w:pPr>
      <w:r>
        <w:rPr>
          <w:rFonts w:ascii="Arial" w:cs="Arial" w:eastAsia="Arial" w:hAnsi="Arial"/>
          <w:b/>
          <w:bCs/>
          <w:color w:val="2E5496"/>
          <w:sz w:val="28"/>
          <w:szCs w:val="28"/>
        </w:rPr>
        <w:t xml:space="preserve">C7. Transitions &amp; Cohesion  [General — 5 marks]</w:t>
      </w:r>
    </w:p>
    <w:p>
      <w:pPr>
        <w:spacing w:after="120"/>
      </w:pPr>
      <w:r>
        <w:rPr>
          <w:rFonts w:ascii="Arial" w:cs="Arial" w:eastAsia="Arial" w:hAnsi="Arial"/>
          <w:b/>
          <w:bCs/>
          <w:sz w:val="24"/>
          <w:szCs w:val="24"/>
        </w:rPr>
        <w:t xml:space="preserve">What is being checked:  </w:t>
      </w:r>
      <w:r>
        <w:rPr>
          <w:rFonts w:ascii="Arial" w:cs="Arial" w:eastAsia="Arial" w:hAnsi="Arial"/>
          <w:sz w:val="24"/>
          <w:szCs w:val="24"/>
        </w:rPr>
        <w:t xml:space="preserve">Whether the paragraph uses appropriate signposting language to connect ideas and guide the reader through the argument logically.</w:t>
      </w:r>
    </w:p>
    <w:p>
      <w:pPr>
        <w:spacing w:after="120"/>
      </w:pPr>
      <w:r>
        <w:rPr>
          <w:rFonts w:ascii="Arial" w:cs="Arial" w:eastAsia="Arial" w:hAnsi="Arial"/>
          <w:b/>
          <w:bCs/>
          <w:sz w:val="24"/>
          <w:szCs w:val="24"/>
        </w:rPr>
        <w:t xml:space="preserve">Why it matters:  </w:t>
      </w:r>
      <w:r>
        <w:rPr>
          <w:rFonts w:ascii="Arial" w:cs="Arial" w:eastAsia="Arial" w:hAnsi="Arial"/>
          <w:sz w:val="24"/>
          <w:szCs w:val="24"/>
        </w:rPr>
        <w:t xml:space="preserve">Even strong ideas fail when they are not connected. Transitions ('Furthermore', 'However', 'This demonstrates that') show logical relationships between claims, evidence, and rebuttals—the scaffolding of argumentation.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81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Descriptor</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4–5</w:t>
            </w:r>
          </w:p>
        </w:tc>
        <w:tc>
          <w:tcPr>
            <w:tcW w:type="dxa" w:w="81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Transitions are used accurately and naturally at clause, sentence, and idea level. The reader never has to guess why the next sentence follows. Score: 4–5.</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0–2</w:t>
            </w:r>
          </w:p>
        </w:tc>
        <w:tc>
          <w:tcPr>
            <w:tcW w:type="dxa" w:w="81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Abrupt jumps between ideas with no signposting, or mechanical, repetitive use of 'Also, Also, Also'. Score: 0–2.</w:t>
            </w:r>
          </w:p>
        </w:tc>
      </w:tr>
    </w:tbl>
    <w:p>
      <w:pPr>
        <w:spacing w:after="80"/>
      </w:pPr>
      <w:r>
        <w:t xml:space="preserve"/>
      </w:r>
    </w:p>
    <w:p>
      <w:pPr>
        <w:pStyle w:val="Heading1"/>
        <w:spacing w:after="160" w:before="360"/>
      </w:pPr>
      <w:r>
        <w:rPr>
          <w:rFonts w:ascii="Arial" w:cs="Arial" w:eastAsia="Arial" w:hAnsi="Arial"/>
          <w:b/>
          <w:bCs/>
          <w:color w:val="1F3864"/>
          <w:sz w:val="32"/>
          <w:szCs w:val="32"/>
        </w:rPr>
        <w:t xml:space="preserve">3. Overall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Score</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Grade</w:t>
            </w:r>
          </w:p>
        </w:tc>
        <w:tc>
          <w:tcPr>
            <w:tcW w:type="dxa" w:w="6360"/>
            <w:tcBorders>
              <w:top w:val="single" w:color="B0C4DE" w:sz="1"/>
              <w:left w:val="single" w:color="B0C4DE" w:sz="1"/>
              <w:bottom w:val="single" w:color="B0C4DE" w:sz="1"/>
              <w:right w:val="single" w:color="B0C4DE"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What It Means</w:t>
            </w:r>
          </w:p>
        </w:tc>
      </w:tr>
      <w:tr>
        <w:tc>
          <w:tcPr>
            <w:tcW w:type="dxa" w:w="12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30–35</w:t>
            </w:r>
          </w:p>
        </w:tc>
        <w:tc>
          <w:tcPr>
            <w:tcW w:type="dxa" w:w="180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bCs/>
                <w:color w:val="000000"/>
                <w:sz w:val="22"/>
                <w:szCs w:val="22"/>
              </w:rPr>
              <w:t xml:space="preserve">Excellent</w:t>
            </w:r>
          </w:p>
        </w:tc>
        <w:tc>
          <w:tcPr>
            <w:tcW w:type="dxa" w:w="6360"/>
            <w:tcBorders>
              <w:top w:val="single" w:color="B0C4DE" w:sz="1"/>
              <w:left w:val="single" w:color="B0C4DE" w:sz="1"/>
              <w:bottom w:val="single" w:color="B0C4DE" w:sz="1"/>
              <w:right w:val="single" w:color="B0C4DE" w:sz="1"/>
            </w:tcBorders>
            <w:shd w:fill="D9EAD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Debatable claim, two or more developed arguments, counterargument refuted, strong conclusion. Virtually no grammatical errors, clear cohesion.</w:t>
            </w:r>
          </w:p>
        </w:tc>
      </w:tr>
      <w:tr>
        <w:tc>
          <w:tcPr>
            <w:tcW w:type="dxa" w:w="1200"/>
            <w:tcBorders>
              <w:top w:val="single" w:color="B0C4DE" w:sz="1"/>
              <w:left w:val="single" w:color="B0C4DE" w:sz="1"/>
              <w:bottom w:val="single" w:color="B0C4DE" w:sz="1"/>
              <w:right w:val="single" w:color="B0C4DE" w:sz="1"/>
            </w:tcBorders>
            <w:shd w:fill="EAF2D7"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25–29</w:t>
            </w:r>
          </w:p>
        </w:tc>
        <w:tc>
          <w:tcPr>
            <w:tcW w:type="dxa" w:w="1800"/>
            <w:tcBorders>
              <w:top w:val="single" w:color="B0C4DE" w:sz="1"/>
              <w:left w:val="single" w:color="B0C4DE" w:sz="1"/>
              <w:bottom w:val="single" w:color="B0C4DE" w:sz="1"/>
              <w:right w:val="single" w:color="B0C4DE" w:sz="1"/>
            </w:tcBorders>
            <w:shd w:fill="EAF2D7" w:val="clear"/>
            <w:tcMar>
              <w:top w:type="dxa" w:w="100"/>
              <w:left w:type="dxa" w:w="150"/>
              <w:bottom w:type="dxa" w:w="100"/>
              <w:right w:type="dxa" w:w="150"/>
            </w:tcMar>
            <w:vAlign w:val="center"/>
          </w:tcPr>
          <w:p>
            <w:pPr>
              <w:jc w:val="left"/>
            </w:pPr>
            <w:r>
              <w:rPr>
                <w:rFonts w:ascii="Arial" w:cs="Arial" w:eastAsia="Arial" w:hAnsi="Arial"/>
                <w:b/>
                <w:bCs/>
                <w:color w:val="000000"/>
                <w:sz w:val="22"/>
                <w:szCs w:val="22"/>
              </w:rPr>
              <w:t xml:space="preserve">Good</w:t>
            </w:r>
          </w:p>
        </w:tc>
        <w:tc>
          <w:tcPr>
            <w:tcW w:type="dxa" w:w="6360"/>
            <w:tcBorders>
              <w:top w:val="single" w:color="B0C4DE" w:sz="1"/>
              <w:left w:val="single" w:color="B0C4DE" w:sz="1"/>
              <w:bottom w:val="single" w:color="B0C4DE" w:sz="1"/>
              <w:right w:val="single" w:color="B0C4DE" w:sz="1"/>
            </w:tcBorders>
            <w:shd w:fill="EAF2D7"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All four structural elements present; evidence solid; minor weaknesses in rebuttal or conclusion. Grammar largely clean; transitions mostly effective.</w:t>
            </w:r>
          </w:p>
        </w:tc>
      </w:tr>
      <w:tr>
        <w:tc>
          <w:tcPr>
            <w:tcW w:type="dxa" w:w="1200"/>
            <w:tcBorders>
              <w:top w:val="single" w:color="B0C4DE" w:sz="1"/>
              <w:left w:val="single" w:color="B0C4DE" w:sz="1"/>
              <w:bottom w:val="single" w:color="B0C4DE" w:sz="1"/>
              <w:right w:val="single" w:color="B0C4DE" w:sz="1"/>
            </w:tcBorders>
            <w:shd w:fill="FFF2CC"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20–24</w:t>
            </w:r>
          </w:p>
        </w:tc>
        <w:tc>
          <w:tcPr>
            <w:tcW w:type="dxa" w:w="1800"/>
            <w:tcBorders>
              <w:top w:val="single" w:color="B0C4DE" w:sz="1"/>
              <w:left w:val="single" w:color="B0C4DE" w:sz="1"/>
              <w:bottom w:val="single" w:color="B0C4DE" w:sz="1"/>
              <w:right w:val="single" w:color="B0C4DE" w:sz="1"/>
            </w:tcBorders>
            <w:shd w:fill="FFF2CC" w:val="clear"/>
            <w:tcMar>
              <w:top w:type="dxa" w:w="100"/>
              <w:left w:type="dxa" w:w="150"/>
              <w:bottom w:type="dxa" w:w="100"/>
              <w:right w:type="dxa" w:w="150"/>
            </w:tcMar>
            <w:vAlign w:val="center"/>
          </w:tcPr>
          <w:p>
            <w:pPr>
              <w:jc w:val="left"/>
            </w:pPr>
            <w:r>
              <w:rPr>
                <w:rFonts w:ascii="Arial" w:cs="Arial" w:eastAsia="Arial" w:hAnsi="Arial"/>
                <w:b/>
                <w:bCs/>
                <w:color w:val="000000"/>
                <w:sz w:val="22"/>
                <w:szCs w:val="22"/>
              </w:rPr>
              <w:t xml:space="preserve">Satisfactory</w:t>
            </w:r>
          </w:p>
        </w:tc>
        <w:tc>
          <w:tcPr>
            <w:tcW w:type="dxa" w:w="6360"/>
            <w:tcBorders>
              <w:top w:val="single" w:color="B0C4DE" w:sz="1"/>
              <w:left w:val="single" w:color="B0C4DE" w:sz="1"/>
              <w:bottom w:val="single" w:color="B0C4DE" w:sz="1"/>
              <w:right w:val="single" w:color="B0C4DE" w:sz="1"/>
            </w:tcBorders>
            <w:shd w:fill="FFF2C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Claim present but may be vague; evidence provided but explanation thin; counterargument attempted. Some grammatical errors; transitions inconsistent.</w:t>
            </w:r>
          </w:p>
        </w:tc>
      </w:tr>
      <w:tr>
        <w:tc>
          <w:tcPr>
            <w:tcW w:type="dxa" w:w="12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15–19</w:t>
            </w:r>
          </w:p>
        </w:tc>
        <w:tc>
          <w:tcPr>
            <w:tcW w:type="dxa" w:w="180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bCs/>
                <w:color w:val="000000"/>
                <w:sz w:val="22"/>
                <w:szCs w:val="22"/>
              </w:rPr>
              <w:t xml:space="preserve">Needs Work</w:t>
            </w:r>
          </w:p>
        </w:tc>
        <w:tc>
          <w:tcPr>
            <w:tcW w:type="dxa" w:w="6360"/>
            <w:tcBorders>
              <w:top w:val="single" w:color="B0C4DE" w:sz="1"/>
              <w:left w:val="single" w:color="B0C4DE" w:sz="1"/>
              <w:bottom w:val="single" w:color="B0C4DE" w:sz="1"/>
              <w:right w:val="single" w:color="B0C4DE" w:sz="1"/>
            </w:tcBorders>
            <w:shd w:fill="FCE5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Claim weak or missing; evidence list-like without elaboration; no counterargument. Noticeable grammatical errors; cohesion poor.</w:t>
            </w:r>
          </w:p>
        </w:tc>
      </w:tr>
      <w:tr>
        <w:tc>
          <w:tcPr>
            <w:tcW w:type="dxa" w:w="1200"/>
            <w:tcBorders>
              <w:top w:val="single" w:color="B0C4DE" w:sz="1"/>
              <w:left w:val="single" w:color="B0C4DE" w:sz="1"/>
              <w:bottom w:val="single" w:color="B0C4DE" w:sz="1"/>
              <w:right w:val="single" w:color="B0C4DE" w:sz="1"/>
            </w:tcBorders>
            <w:shd w:fill="F4CCCC" w:val="clear"/>
            <w:tcMar>
              <w:top w:type="dxa" w:w="100"/>
              <w:left w:type="dxa" w:w="150"/>
              <w:bottom w:type="dxa" w:w="100"/>
              <w:right w:type="dxa" w:w="150"/>
            </w:tcMar>
            <w:vAlign w:val="center"/>
          </w:tcPr>
          <w:p>
            <w:pPr>
              <w:jc w:val="center"/>
            </w:pPr>
            <w:r>
              <w:rPr>
                <w:rFonts w:ascii="Arial" w:cs="Arial" w:eastAsia="Arial" w:hAnsi="Arial"/>
                <w:b/>
                <w:bCs/>
                <w:color w:val="000000"/>
                <w:sz w:val="22"/>
                <w:szCs w:val="22"/>
              </w:rPr>
              <w:t xml:space="preserve">0–14</w:t>
            </w:r>
          </w:p>
        </w:tc>
        <w:tc>
          <w:tcPr>
            <w:tcW w:type="dxa" w:w="1800"/>
            <w:tcBorders>
              <w:top w:val="single" w:color="B0C4DE" w:sz="1"/>
              <w:left w:val="single" w:color="B0C4DE" w:sz="1"/>
              <w:bottom w:val="single" w:color="B0C4DE" w:sz="1"/>
              <w:right w:val="single" w:color="B0C4DE" w:sz="1"/>
            </w:tcBorders>
            <w:shd w:fill="F4CCCC" w:val="clear"/>
            <w:tcMar>
              <w:top w:type="dxa" w:w="100"/>
              <w:left w:type="dxa" w:w="150"/>
              <w:bottom w:type="dxa" w:w="100"/>
              <w:right w:type="dxa" w:w="150"/>
            </w:tcMar>
            <w:vAlign w:val="center"/>
          </w:tcPr>
          <w:p>
            <w:pPr>
              <w:jc w:val="left"/>
            </w:pPr>
            <w:r>
              <w:rPr>
                <w:rFonts w:ascii="Arial" w:cs="Arial" w:eastAsia="Arial" w:hAnsi="Arial"/>
                <w:b/>
                <w:bCs/>
                <w:color w:val="000000"/>
                <w:sz w:val="22"/>
                <w:szCs w:val="22"/>
              </w:rPr>
              <w:t xml:space="preserve">Poor</w:t>
            </w:r>
          </w:p>
        </w:tc>
        <w:tc>
          <w:tcPr>
            <w:tcW w:type="dxa" w:w="6360"/>
            <w:tcBorders>
              <w:top w:val="single" w:color="B0C4DE" w:sz="1"/>
              <w:left w:val="single" w:color="B0C4DE" w:sz="1"/>
              <w:bottom w:val="single" w:color="B0C4DE" w:sz="1"/>
              <w:right w:val="single" w:color="B0C4DE" w:sz="1"/>
            </w:tcBorders>
            <w:shd w:fill="F4CCC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Little evidence of argumentative structure; significant grammatical issues making comprehension difficult.</w:t>
            </w:r>
          </w:p>
        </w:tc>
      </w:tr>
    </w:tbl>
    <w:p>
      <w:pPr>
        <w:spacing w:after="80"/>
      </w:pPr>
      <w:r>
        <w:t xml:space="preserve"/>
      </w:r>
    </w:p>
    <w:p>
      <w:pPr>
        <w:spacing w:after="80"/>
      </w:pPr>
      <w:r>
        <w:t xml:space="preserve"/>
      </w:r>
    </w:p>
    <w:p>
      <w:pPr>
        <w:pStyle w:val="Heading1"/>
        <w:spacing w:after="160" w:before="360"/>
      </w:pPr>
      <w:r>
        <w:rPr>
          <w:rFonts w:ascii="Arial" w:cs="Arial" w:eastAsia="Arial" w:hAnsi="Arial"/>
          <w:b/>
          <w:bCs/>
          <w:color w:val="1F3864"/>
          <w:sz w:val="32"/>
          <w:szCs w:val="32"/>
        </w:rPr>
        <w:t xml:space="preserve">4. Design Rationale</w:t>
      </w:r>
    </w:p>
    <w:p>
      <w:pPr>
        <w:spacing w:after="160"/>
      </w:pPr>
      <w:r>
        <w:rPr>
          <w:rFonts w:ascii="Arial" w:cs="Arial" w:eastAsia="Arial" w:hAnsi="Arial"/>
          <w:sz w:val="24"/>
          <w:szCs w:val="24"/>
        </w:rPr>
        <w:t xml:space="preserve">The four type-specific criteria (C1–C4) map directly to the canonical structure of an argumentative paragraph: claim → evidence → counterargument → conclusion. This is not arbitrary; removing any element produces a text that is structurally incomplete as an argument. A paragraph with evidence but no claim is a list of observations; one with a claim but no counterargument fails to engage critically with the discourse.</w:t>
      </w:r>
    </w:p>
    <w:p>
      <w:pPr>
        <w:spacing w:after="160"/>
      </w:pPr>
      <w:r>
        <w:rPr>
          <w:rFonts w:ascii="Arial" w:cs="Arial" w:eastAsia="Arial" w:hAnsi="Arial"/>
          <w:sz w:val="24"/>
          <w:szCs w:val="24"/>
        </w:rPr>
        <w:t xml:space="preserve">The three general criteria (C5–C7) were selected because they represent the most common failure modes in student argumentative writing beyond structural issues. Grammar errors undermine credibility, vague language obscures logical force, and absent transitions prevent the reader from following the chain of reasoning—even when that chain exists.</w:t>
      </w:r>
    </w:p>
    <w:p>
      <w:pPr>
        <w:spacing w:after="160"/>
      </w:pPr>
      <w:r>
        <w:rPr>
          <w:rFonts w:ascii="Arial" w:cs="Arial" w:eastAsia="Arial" w:hAnsi="Arial"/>
          <w:sz w:val="24"/>
          <w:szCs w:val="24"/>
        </w:rPr>
        <w:t xml:space="preserve">Points are equally distributed (5 per criterion) to signal that no single element dominates. A flawless claim with no evidence still scores at most 5/35. This prevents students from gaming the rubric by excelling at one dimension while neglecting others.</w:t>
      </w:r>
    </w:p>
    <w:p>
      <w:pPr>
        <w:spacing w:after="80"/>
      </w:pPr>
      <w:r>
        <w:t xml:space="preserve"/>
      </w:r>
    </w:p>
    <w:p>
      <w:pPr>
        <w:pStyle w:val="Heading1"/>
        <w:spacing w:after="160" w:before="360"/>
      </w:pPr>
      <w:r>
        <w:rPr>
          <w:rFonts w:ascii="Arial" w:cs="Arial" w:eastAsia="Arial" w:hAnsi="Arial"/>
          <w:b/>
          <w:bCs/>
          <w:color w:val="1F3864"/>
          <w:sz w:val="32"/>
          <w:szCs w:val="32"/>
        </w:rPr>
        <w:t xml:space="preserve">5. How the Evaluator Produces Its Output</w:t>
      </w:r>
    </w:p>
    <w:p>
      <w:pPr>
        <w:spacing w:after="160"/>
      </w:pPr>
      <w:r>
        <w:rPr>
          <w:rFonts w:ascii="Arial" w:cs="Arial" w:eastAsia="Arial" w:hAnsi="Arial"/>
          <w:sz w:val="24"/>
          <w:szCs w:val="24"/>
        </w:rPr>
        <w:t xml:space="preserve">The evaluator follows a five-step pipeline:</w:t>
      </w:r>
    </w:p>
    <w:p>
      <w:pPr>
        <w:pStyle w:val="ListParagraph"/>
        <w:numPr>
          <w:ilvl w:val="0"/>
          <w:numId w:val="2"/>
        </w:numPr>
        <w:spacing w:after="100"/>
      </w:pPr>
      <w:r>
        <w:rPr>
          <w:rFonts w:ascii="Arial" w:cs="Arial" w:eastAsia="Arial" w:hAnsi="Arial"/>
          <w:sz w:val="24"/>
          <w:szCs w:val="24"/>
        </w:rPr>
        <w:t xml:space="preserve">The user pastes a writing sample at the terminal prompt.</w:t>
      </w:r>
    </w:p>
    <w:p>
      <w:pPr>
        <w:pStyle w:val="ListParagraph"/>
        <w:numPr>
          <w:ilvl w:val="0"/>
          <w:numId w:val="2"/>
        </w:numPr>
        <w:spacing w:after="100"/>
      </w:pPr>
      <w:r>
        <w:rPr>
          <w:rFonts w:ascii="Arial" w:cs="Arial" w:eastAsia="Arial" w:hAnsi="Arial"/>
          <w:sz w:val="24"/>
          <w:szCs w:val="24"/>
        </w:rPr>
        <w:t xml:space="preserve">A structured prompt is constructed that embeds the full rubric with per-score descriptors for all seven criteria.</w:t>
      </w:r>
    </w:p>
    <w:p>
      <w:pPr>
        <w:pStyle w:val="ListParagraph"/>
        <w:numPr>
          <w:ilvl w:val="0"/>
          <w:numId w:val="2"/>
        </w:numPr>
        <w:spacing w:after="100"/>
      </w:pPr>
      <w:r>
        <w:rPr>
          <w:rFonts w:ascii="Arial" w:cs="Arial" w:eastAsia="Arial" w:hAnsi="Arial"/>
          <w:sz w:val="24"/>
          <w:szCs w:val="24"/>
        </w:rPr>
        <w:t xml:space="preserve">The Gemini 1.5 Flash model is called via the Gemini API. The prompt explicitly instructs the model to return only valid JSON—no markdown, no preamble.</w:t>
      </w:r>
    </w:p>
    <w:p>
      <w:pPr>
        <w:pStyle w:val="ListParagraph"/>
        <w:numPr>
          <w:ilvl w:val="0"/>
          <w:numId w:val="2"/>
        </w:numPr>
        <w:spacing w:after="100"/>
      </w:pPr>
      <w:r>
        <w:rPr>
          <w:rFonts w:ascii="Arial" w:cs="Arial" w:eastAsia="Arial" w:hAnsi="Arial"/>
          <w:sz w:val="24"/>
          <w:szCs w:val="24"/>
        </w:rPr>
        <w:t xml:space="preserve">The response is parsed. A regex fallback strips any accidental code fences before JSON parsing. Individual scores are extracted programmatically and summed to compute the overall mark.</w:t>
      </w:r>
    </w:p>
    <w:p>
      <w:pPr>
        <w:pStyle w:val="ListParagraph"/>
        <w:numPr>
          <w:ilvl w:val="0"/>
          <w:numId w:val="2"/>
        </w:numPr>
        <w:spacing w:after="100"/>
      </w:pPr>
      <w:r>
        <w:rPr>
          <w:rFonts w:ascii="Arial" w:cs="Arial" w:eastAsia="Arial" w:hAnsi="Arial"/>
          <w:sz w:val="24"/>
          <w:szCs w:val="24"/>
        </w:rPr>
        <w:t xml:space="preserve">Results are displayed in a colour-coded terminal output: green for high scores, yellow for mid-range, red for low scores, plus an overall progress bar, grade band, and a concrete rewrite suggestion for the weakest sentence.</w:t>
      </w:r>
    </w:p>
    <w:p>
      <w:pPr>
        <w:spacing w:after="80"/>
      </w:pPr>
      <w:r>
        <w:t xml:space="preserve"/>
      </w:r>
    </w:p>
    <w:p>
      <w:pPr>
        <w:spacing w:after="160"/>
      </w:pPr>
      <w:r>
        <w:rPr>
          <w:rFonts w:ascii="Arial" w:cs="Arial" w:eastAsia="Arial" w:hAnsi="Arial"/>
          <w:sz w:val="24"/>
          <w:szCs w:val="24"/>
        </w:rPr>
        <w:t xml:space="preserve">The prompt is engineered to force structured output by (a) specifying exact JSON field names, (b) providing rubric anchors at each score level so the model can self-calibrate, and (c) separating 'what was done well' from 'what to improve' to ensure feedback is always constructive rather than merely critical.</w:t>
      </w:r>
    </w:p>
    <w:p>
      <w:pPr>
        <w:spacing w:after="80"/>
      </w:pPr>
      <w:r>
        <w:t xml:space="preserve"/>
      </w:r>
    </w:p>
    <w:p>
      <w:pPr>
        <w:pStyle w:val="Heading1"/>
        <w:spacing w:after="160" w:before="360"/>
      </w:pPr>
      <w:r>
        <w:rPr>
          <w:rFonts w:ascii="Arial" w:cs="Arial" w:eastAsia="Arial" w:hAnsi="Arial"/>
          <w:b/>
          <w:bCs/>
          <w:color w:val="1F3864"/>
          <w:sz w:val="32"/>
          <w:szCs w:val="32"/>
        </w:rPr>
        <w:t xml:space="preserve">6. Limitations &amp; Honest Assessment</w:t>
      </w:r>
    </w:p>
    <w:p>
      <w:pPr>
        <w:spacing w:after="160"/>
      </w:pPr>
      <w:r>
        <w:rPr>
          <w:rFonts w:ascii="Arial" w:cs="Arial" w:eastAsia="Arial" w:hAnsi="Arial"/>
          <w:sz w:val="24"/>
          <w:szCs w:val="24"/>
        </w:rPr>
        <w:t xml:space="preserve">No automated evaluator perfectly replicates expert human judgement. The model may occasionally award inflated scores for fluent but structurally hollow writing, or penalise unconventional but valid argumentative moves. The rubric mitigates this by demanding textual evidence in every feedback field—evaluators that cannot point to specific sentences are more likely to hallucinate scores.</w:t>
      </w:r>
    </w:p>
    <w:p>
      <w:pPr>
        <w:spacing w:after="160"/>
      </w:pPr>
      <w:r>
        <w:rPr>
          <w:rFonts w:ascii="Arial" w:cs="Arial" w:eastAsia="Arial" w:hAnsi="Arial"/>
          <w:sz w:val="24"/>
          <w:szCs w:val="24"/>
        </w:rPr>
        <w:t xml:space="preserve">The counterargument criterion (C3) is the most difficult for the model to assess reliably because it requires understanding the semantic relationship between two opposing positions, not just pattern-matching for 'However' or 'Some argue'. Groups should treat C3 scores with particular scrutiny during the live demo.</w:t>
      </w:r>
    </w:p>
    <w:p>
      <w:pPr>
        <w:spacing w:after="80"/>
      </w:pPr>
      <w:r>
        <w:t xml:space="preserve"/>
      </w:r>
    </w:p>
    <w:p>
      <w:pPr>
        <w:pBdr>
          <w:top w:val="single" w:color="1F3864" w:sz="4" w:space="4"/>
        </w:pBdr>
        <w:spacing w:after="0" w:before="24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spacing w:before="120"/>
    </w:pPr>
    <w:r>
      <w:rPr>
        <w:rFonts w:ascii="Arial" w:cs="Arial" w:eastAsia="Arial" w:hAnsi="Arial"/>
        <w:color w:val="888888"/>
        <w:sz w:val="18"/>
        <w:szCs w:val="18"/>
      </w:rPr>
      <w:t xml:space="preserve">Confidential — For Assessment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1F3864"/>
        <w:sz w:val="18"/>
        <w:szCs w:val="18"/>
      </w:rPr>
      <w:t xml:space="preserve">Writing Evaluator — Argumentative Paragraph  |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2026-04-04T05:49:42.522Z</dcterms:created>
  <dcterms:modified xsi:type="dcterms:W3CDTF">2026-04-04T05:49:42.523Z</dcterms:modified>
</cp:coreProperties>
</file>

<file path=docProps/custom.xml><?xml version="1.0" encoding="utf-8"?>
<Properties xmlns="http://schemas.openxmlformats.org/officeDocument/2006/custom-properties" xmlns:vt="http://schemas.openxmlformats.org/officeDocument/2006/docPropsVTypes"/>
</file>