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4BF7" w14:textId="77777777" w:rsidR="007829DC" w:rsidRDefault="007829DC"/>
    <w:p w14:paraId="170DEAE5" w14:textId="2CA1F85C" w:rsidR="007829DC" w:rsidRPr="00D70852" w:rsidRDefault="00D70852">
      <w:pPr>
        <w:rPr>
          <w:b/>
          <w:bCs/>
          <w:u w:val="single"/>
        </w:rPr>
      </w:pPr>
      <w:r w:rsidRPr="00D70852">
        <w:rPr>
          <w:b/>
          <w:bCs/>
          <w:u w:val="single"/>
        </w:rPr>
        <w:t xml:space="preserve">The Indian Penal Code- </w:t>
      </w:r>
    </w:p>
    <w:p w14:paraId="0BF91475" w14:textId="29AB2744" w:rsidR="007829DC" w:rsidRDefault="007829DC">
      <w:pPr>
        <w:rPr>
          <w:rFonts w:ascii="Segoe UI" w:eastAsia="Times New Roman" w:hAnsi="Segoe UI" w:cs="Segoe UI"/>
          <w:color w:val="202122"/>
          <w:shd w:val="clear" w:color="auto" w:fill="FFFFFF"/>
        </w:rPr>
      </w:pPr>
      <w:r>
        <w:rPr>
          <w:rFonts w:ascii="Segoe UI" w:eastAsia="Times New Roman" w:hAnsi="Segoe UI" w:cs="Segoe UI"/>
          <w:color w:val="202122"/>
          <w:shd w:val="clear" w:color="auto" w:fill="FFFFFF"/>
        </w:rPr>
        <w:t>The </w:t>
      </w:r>
      <w:r>
        <w:rPr>
          <w:rFonts w:ascii="Segoe UI" w:eastAsia="Times New Roman" w:hAnsi="Segoe UI" w:cs="Segoe UI"/>
          <w:b/>
          <w:bCs/>
          <w:color w:val="202122"/>
          <w:bdr w:val="none" w:sz="0" w:space="0" w:color="auto" w:frame="1"/>
          <w:shd w:val="clear" w:color="auto" w:fill="FFFFFF"/>
        </w:rPr>
        <w:t>Indian Penal Code</w:t>
      </w:r>
      <w:r>
        <w:rPr>
          <w:rFonts w:ascii="Segoe UI" w:eastAsia="Times New Roman" w:hAnsi="Segoe UI" w:cs="Segoe UI"/>
          <w:color w:val="202122"/>
          <w:shd w:val="clear" w:color="auto" w:fill="FFFFFF"/>
        </w:rPr>
        <w:t> (</w:t>
      </w:r>
      <w:r>
        <w:rPr>
          <w:rFonts w:ascii="Segoe UI" w:eastAsia="Times New Roman" w:hAnsi="Segoe UI" w:cs="Segoe UI"/>
          <w:b/>
          <w:bCs/>
          <w:color w:val="202122"/>
          <w:bdr w:val="none" w:sz="0" w:space="0" w:color="auto" w:frame="1"/>
          <w:shd w:val="clear" w:color="auto" w:fill="FFFFFF"/>
        </w:rPr>
        <w:t>IPC</w:t>
      </w:r>
      <w:r>
        <w:rPr>
          <w:rFonts w:ascii="Segoe UI" w:eastAsia="Times New Roman" w:hAnsi="Segoe UI" w:cs="Segoe UI"/>
          <w:color w:val="202122"/>
          <w:shd w:val="clear" w:color="auto" w:fill="FFFFFF"/>
        </w:rPr>
        <w:t>) is the official </w:t>
      </w:r>
      <w:hyperlink r:id="rId4" w:tooltip="Criminal code" w:history="1">
        <w:r>
          <w:rPr>
            <w:rStyle w:val="Hyperlink"/>
            <w:rFonts w:ascii="Segoe UI" w:eastAsia="Times New Roman" w:hAnsi="Segoe UI" w:cs="Segoe UI"/>
            <w:color w:val="3366CC"/>
            <w:bdr w:val="none" w:sz="0" w:space="0" w:color="auto" w:frame="1"/>
            <w:shd w:val="clear" w:color="auto" w:fill="FFFFFF"/>
          </w:rPr>
          <w:t>criminal code</w:t>
        </w:r>
      </w:hyperlink>
      <w:r>
        <w:rPr>
          <w:rFonts w:ascii="Segoe UI" w:eastAsia="Times New Roman" w:hAnsi="Segoe UI" w:cs="Segoe UI"/>
          <w:color w:val="202122"/>
          <w:shd w:val="clear" w:color="auto" w:fill="FFFFFF"/>
        </w:rPr>
        <w:t> of </w:t>
      </w:r>
      <w:hyperlink r:id="rId5" w:tooltip="India" w:history="1">
        <w:r>
          <w:rPr>
            <w:rStyle w:val="Hyperlink"/>
            <w:rFonts w:ascii="Segoe UI" w:eastAsia="Times New Roman" w:hAnsi="Segoe UI" w:cs="Segoe UI"/>
            <w:color w:val="3366CC"/>
            <w:bdr w:val="none" w:sz="0" w:space="0" w:color="auto" w:frame="1"/>
            <w:shd w:val="clear" w:color="auto" w:fill="FFFFFF"/>
          </w:rPr>
          <w:t>India</w:t>
        </w:r>
      </w:hyperlink>
      <w:r>
        <w:rPr>
          <w:rFonts w:ascii="Segoe UI" w:eastAsia="Times New Roman" w:hAnsi="Segoe UI" w:cs="Segoe UI"/>
          <w:color w:val="202122"/>
          <w:shd w:val="clear" w:color="auto" w:fill="FFFFFF"/>
        </w:rPr>
        <w:t>. It is a comprehensive code intended to cover all substantive aspects of </w:t>
      </w:r>
      <w:hyperlink r:id="rId6" w:tooltip="Criminal law" w:history="1">
        <w:r>
          <w:rPr>
            <w:rStyle w:val="Hyperlink"/>
            <w:rFonts w:ascii="Segoe UI" w:eastAsia="Times New Roman" w:hAnsi="Segoe UI" w:cs="Segoe UI"/>
            <w:color w:val="3366CC"/>
            <w:bdr w:val="none" w:sz="0" w:space="0" w:color="auto" w:frame="1"/>
            <w:shd w:val="clear" w:color="auto" w:fill="FFFFFF"/>
          </w:rPr>
          <w:t>criminal law</w:t>
        </w:r>
      </w:hyperlink>
      <w:r>
        <w:rPr>
          <w:rFonts w:ascii="Segoe UI" w:eastAsia="Times New Roman" w:hAnsi="Segoe UI" w:cs="Segoe UI"/>
          <w:color w:val="202122"/>
          <w:shd w:val="clear" w:color="auto" w:fill="FFFFFF"/>
        </w:rPr>
        <w:t>. The code was drafted on the recommendations of first law commission of India established in 1834 under the </w:t>
      </w:r>
      <w:hyperlink r:id="rId7" w:tooltip="Charter Act of 1833" w:history="1">
        <w:r>
          <w:rPr>
            <w:rStyle w:val="Hyperlink"/>
            <w:rFonts w:ascii="Segoe UI" w:eastAsia="Times New Roman" w:hAnsi="Segoe UI" w:cs="Segoe UI"/>
            <w:color w:val="3366CC"/>
            <w:bdr w:val="none" w:sz="0" w:space="0" w:color="auto" w:frame="1"/>
            <w:shd w:val="clear" w:color="auto" w:fill="FFFFFF"/>
          </w:rPr>
          <w:t>Charter Act of 1833</w:t>
        </w:r>
      </w:hyperlink>
      <w:r>
        <w:rPr>
          <w:rFonts w:ascii="Segoe UI" w:eastAsia="Times New Roman" w:hAnsi="Segoe UI" w:cs="Segoe UI"/>
          <w:color w:val="202122"/>
          <w:shd w:val="clear" w:color="auto" w:fill="FFFFFF"/>
        </w:rPr>
        <w:t> under the Chairmanship of </w:t>
      </w:r>
      <w:hyperlink r:id="rId8" w:tooltip="Lord" w:history="1">
        <w:r>
          <w:rPr>
            <w:rStyle w:val="Hyperlink"/>
            <w:rFonts w:ascii="Segoe UI" w:eastAsia="Times New Roman" w:hAnsi="Segoe UI" w:cs="Segoe UI"/>
            <w:color w:val="3366CC"/>
            <w:bdr w:val="none" w:sz="0" w:space="0" w:color="auto" w:frame="1"/>
            <w:shd w:val="clear" w:color="auto" w:fill="FFFFFF"/>
          </w:rPr>
          <w:t>Lord</w:t>
        </w:r>
      </w:hyperlink>
      <w:r>
        <w:rPr>
          <w:rFonts w:ascii="Segoe UI" w:eastAsia="Times New Roman" w:hAnsi="Segoe UI" w:cs="Segoe UI"/>
          <w:color w:val="202122"/>
          <w:shd w:val="clear" w:color="auto" w:fill="FFFFFF"/>
        </w:rPr>
        <w:t> </w:t>
      </w:r>
      <w:hyperlink r:id="rId9" w:tooltip="Thomas Babington Macaulay" w:history="1">
        <w:r>
          <w:rPr>
            <w:rStyle w:val="Hyperlink"/>
            <w:rFonts w:ascii="Segoe UI" w:eastAsia="Times New Roman" w:hAnsi="Segoe UI" w:cs="Segoe UI"/>
            <w:color w:val="3366CC"/>
            <w:bdr w:val="none" w:sz="0" w:space="0" w:color="auto" w:frame="1"/>
            <w:shd w:val="clear" w:color="auto" w:fill="FFFFFF"/>
          </w:rPr>
          <w:t>Thomas Babington Macaulay</w:t>
        </w:r>
      </w:hyperlink>
      <w:r>
        <w:rPr>
          <w:rFonts w:ascii="Segoe UI" w:eastAsia="Times New Roman" w:hAnsi="Segoe UI" w:cs="Segoe UI"/>
          <w:color w:val="202122"/>
          <w:shd w:val="clear" w:color="auto" w:fill="FFFFFF"/>
        </w:rPr>
        <w:t>. It came into force in </w:t>
      </w:r>
      <w:hyperlink r:id="rId10" w:tooltip="British India" w:history="1">
        <w:r>
          <w:rPr>
            <w:rStyle w:val="Hyperlink"/>
            <w:rFonts w:ascii="Segoe UI" w:eastAsia="Times New Roman" w:hAnsi="Segoe UI" w:cs="Segoe UI"/>
            <w:color w:val="3366CC"/>
            <w:bdr w:val="none" w:sz="0" w:space="0" w:color="auto" w:frame="1"/>
            <w:shd w:val="clear" w:color="auto" w:fill="FFFFFF"/>
          </w:rPr>
          <w:t>British India</w:t>
        </w:r>
      </w:hyperlink>
      <w:r>
        <w:rPr>
          <w:rFonts w:ascii="Segoe UI" w:eastAsia="Times New Roman" w:hAnsi="Segoe UI" w:cs="Segoe UI"/>
          <w:color w:val="202122"/>
          <w:shd w:val="clear" w:color="auto" w:fill="FFFFFF"/>
        </w:rPr>
        <w:t> during the early </w:t>
      </w:r>
      <w:hyperlink r:id="rId11" w:tooltip="British Raj" w:history="1">
        <w:r>
          <w:rPr>
            <w:rStyle w:val="Hyperlink"/>
            <w:rFonts w:ascii="Segoe UI" w:eastAsia="Times New Roman" w:hAnsi="Segoe UI" w:cs="Segoe UI"/>
            <w:color w:val="3366CC"/>
            <w:bdr w:val="none" w:sz="0" w:space="0" w:color="auto" w:frame="1"/>
            <w:shd w:val="clear" w:color="auto" w:fill="FFFFFF"/>
          </w:rPr>
          <w:t>British Raj</w:t>
        </w:r>
      </w:hyperlink>
      <w:r>
        <w:rPr>
          <w:rFonts w:ascii="Segoe UI" w:eastAsia="Times New Roman" w:hAnsi="Segoe UI" w:cs="Segoe UI"/>
          <w:color w:val="202122"/>
          <w:shd w:val="clear" w:color="auto" w:fill="FFFFFF"/>
        </w:rPr>
        <w:t> period in 1862. However, it did not apply automatically in the </w:t>
      </w:r>
      <w:hyperlink r:id="rId12" w:tooltip="Princely states" w:history="1">
        <w:r>
          <w:rPr>
            <w:rStyle w:val="Hyperlink"/>
            <w:rFonts w:ascii="Segoe UI" w:eastAsia="Times New Roman" w:hAnsi="Segoe UI" w:cs="Segoe UI"/>
            <w:color w:val="3366CC"/>
            <w:bdr w:val="none" w:sz="0" w:space="0" w:color="auto" w:frame="1"/>
            <w:shd w:val="clear" w:color="auto" w:fill="FFFFFF"/>
          </w:rPr>
          <w:t>Princely states</w:t>
        </w:r>
      </w:hyperlink>
      <w:r>
        <w:rPr>
          <w:rFonts w:ascii="Segoe UI" w:eastAsia="Times New Roman" w:hAnsi="Segoe UI" w:cs="Segoe UI"/>
          <w:color w:val="202122"/>
          <w:shd w:val="clear" w:color="auto" w:fill="FFFFFF"/>
        </w:rPr>
        <w:t>, which had their own courts and </w:t>
      </w:r>
      <w:hyperlink r:id="rId13" w:tooltip="Legal system" w:history="1">
        <w:r>
          <w:rPr>
            <w:rStyle w:val="Hyperlink"/>
            <w:rFonts w:ascii="Segoe UI" w:eastAsia="Times New Roman" w:hAnsi="Segoe UI" w:cs="Segoe UI"/>
            <w:color w:val="3366CC"/>
            <w:bdr w:val="none" w:sz="0" w:space="0" w:color="auto" w:frame="1"/>
            <w:shd w:val="clear" w:color="auto" w:fill="FFFFFF"/>
          </w:rPr>
          <w:t>legal systems</w:t>
        </w:r>
      </w:hyperlink>
      <w:r>
        <w:rPr>
          <w:rFonts w:ascii="Segoe UI" w:eastAsia="Times New Roman" w:hAnsi="Segoe UI" w:cs="Segoe UI"/>
          <w:color w:val="202122"/>
          <w:shd w:val="clear" w:color="auto" w:fill="FFFFFF"/>
        </w:rPr>
        <w:t> until the 1940s. The Code has since been amended several times and is now supplemented by other criminal provisions.</w:t>
      </w:r>
    </w:p>
    <w:p w14:paraId="6D9287FF" w14:textId="0D7483F3" w:rsidR="007829DC" w:rsidRDefault="001D0373">
      <w:pPr>
        <w:rPr>
          <w:rFonts w:ascii="Segoe UI" w:eastAsia="Times New Roman" w:hAnsi="Segoe UI" w:cs="Segoe UI"/>
          <w:color w:val="202122"/>
          <w:shd w:val="clear" w:color="auto" w:fill="FFFFFF"/>
        </w:rPr>
      </w:pPr>
      <w:r>
        <w:rPr>
          <w:rFonts w:ascii="Segoe UI" w:eastAsia="Times New Roman" w:hAnsi="Segoe UI" w:cs="Segoe UI"/>
          <w:color w:val="202122"/>
          <w:shd w:val="clear" w:color="auto" w:fill="FFFFFF"/>
        </w:rPr>
        <w:t>After the </w:t>
      </w:r>
      <w:hyperlink r:id="rId14" w:tooltip="Partition of India" w:history="1">
        <w:r>
          <w:rPr>
            <w:rStyle w:val="Hyperlink"/>
            <w:rFonts w:ascii="Segoe UI" w:eastAsia="Times New Roman" w:hAnsi="Segoe UI" w:cs="Segoe UI"/>
            <w:color w:val="3366CC"/>
            <w:bdr w:val="none" w:sz="0" w:space="0" w:color="auto" w:frame="1"/>
            <w:shd w:val="clear" w:color="auto" w:fill="FFFFFF"/>
          </w:rPr>
          <w:t>partition of the British Indian Empire</w:t>
        </w:r>
      </w:hyperlink>
      <w:r>
        <w:rPr>
          <w:rFonts w:ascii="Segoe UI" w:eastAsia="Times New Roman" w:hAnsi="Segoe UI" w:cs="Segoe UI"/>
          <w:color w:val="202122"/>
          <w:shd w:val="clear" w:color="auto" w:fill="FFFFFF"/>
        </w:rPr>
        <w:t>, the Indian Penal Code was inherited by its successor states, the </w:t>
      </w:r>
      <w:hyperlink r:id="rId15" w:tooltip="Dominion of India" w:history="1">
        <w:r>
          <w:rPr>
            <w:rStyle w:val="Hyperlink"/>
            <w:rFonts w:ascii="Segoe UI" w:eastAsia="Times New Roman" w:hAnsi="Segoe UI" w:cs="Segoe UI"/>
            <w:color w:val="3366CC"/>
            <w:bdr w:val="none" w:sz="0" w:space="0" w:color="auto" w:frame="1"/>
            <w:shd w:val="clear" w:color="auto" w:fill="FFFFFF"/>
          </w:rPr>
          <w:t>Dominion of India</w:t>
        </w:r>
      </w:hyperlink>
      <w:r>
        <w:rPr>
          <w:rFonts w:ascii="Segoe UI" w:eastAsia="Times New Roman" w:hAnsi="Segoe UI" w:cs="Segoe UI"/>
          <w:color w:val="202122"/>
          <w:shd w:val="clear" w:color="auto" w:fill="FFFFFF"/>
        </w:rPr>
        <w:t> and the </w:t>
      </w:r>
      <w:hyperlink r:id="rId16" w:tooltip="Dominion of Pakistan" w:history="1">
        <w:r>
          <w:rPr>
            <w:rStyle w:val="Hyperlink"/>
            <w:rFonts w:ascii="Segoe UI" w:eastAsia="Times New Roman" w:hAnsi="Segoe UI" w:cs="Segoe UI"/>
            <w:color w:val="3366CC"/>
            <w:bdr w:val="none" w:sz="0" w:space="0" w:color="auto" w:frame="1"/>
            <w:shd w:val="clear" w:color="auto" w:fill="FFFFFF"/>
          </w:rPr>
          <w:t>Dominion of Pakistan</w:t>
        </w:r>
      </w:hyperlink>
      <w:r>
        <w:rPr>
          <w:rFonts w:ascii="Segoe UI" w:eastAsia="Times New Roman" w:hAnsi="Segoe UI" w:cs="Segoe UI"/>
          <w:color w:val="202122"/>
          <w:shd w:val="clear" w:color="auto" w:fill="FFFFFF"/>
        </w:rPr>
        <w:t>, where it continues independently as the </w:t>
      </w:r>
      <w:hyperlink r:id="rId17" w:tooltip="Pakistan Penal Code" w:history="1">
        <w:r>
          <w:rPr>
            <w:rStyle w:val="Hyperlink"/>
            <w:rFonts w:ascii="Segoe UI" w:eastAsia="Times New Roman" w:hAnsi="Segoe UI" w:cs="Segoe UI"/>
            <w:color w:val="3366CC"/>
            <w:bdr w:val="none" w:sz="0" w:space="0" w:color="auto" w:frame="1"/>
            <w:shd w:val="clear" w:color="auto" w:fill="FFFFFF"/>
          </w:rPr>
          <w:t>Pakistan Penal Code</w:t>
        </w:r>
      </w:hyperlink>
      <w:r>
        <w:rPr>
          <w:rFonts w:ascii="Segoe UI" w:eastAsia="Times New Roman" w:hAnsi="Segoe UI" w:cs="Segoe UI"/>
          <w:color w:val="202122"/>
          <w:shd w:val="clear" w:color="auto" w:fill="FFFFFF"/>
        </w:rPr>
        <w:t>. After the separation of </w:t>
      </w:r>
      <w:hyperlink r:id="rId18" w:tooltip="Bangladesh" w:history="1">
        <w:r>
          <w:rPr>
            <w:rStyle w:val="Hyperlink"/>
            <w:rFonts w:ascii="Segoe UI" w:eastAsia="Times New Roman" w:hAnsi="Segoe UI" w:cs="Segoe UI"/>
            <w:color w:val="3366CC"/>
            <w:bdr w:val="none" w:sz="0" w:space="0" w:color="auto" w:frame="1"/>
            <w:shd w:val="clear" w:color="auto" w:fill="FFFFFF"/>
          </w:rPr>
          <w:t>Bangladesh</w:t>
        </w:r>
      </w:hyperlink>
      <w:r>
        <w:rPr>
          <w:rFonts w:ascii="Segoe UI" w:eastAsia="Times New Roman" w:hAnsi="Segoe UI" w:cs="Segoe UI"/>
          <w:color w:val="202122"/>
          <w:shd w:val="clear" w:color="auto" w:fill="FFFFFF"/>
        </w:rPr>
        <w:t> from Pakistan, the code </w:t>
      </w:r>
      <w:hyperlink r:id="rId19" w:tooltip="The Penal Code, 1860 (Bangladesh)" w:history="1">
        <w:r>
          <w:rPr>
            <w:rStyle w:val="Hyperlink"/>
            <w:rFonts w:ascii="Segoe UI" w:eastAsia="Times New Roman" w:hAnsi="Segoe UI" w:cs="Segoe UI"/>
            <w:color w:val="3366CC"/>
            <w:bdr w:val="none" w:sz="0" w:space="0" w:color="auto" w:frame="1"/>
            <w:shd w:val="clear" w:color="auto" w:fill="FFFFFF"/>
          </w:rPr>
          <w:t>continued in force there</w:t>
        </w:r>
      </w:hyperlink>
      <w:r>
        <w:rPr>
          <w:rFonts w:ascii="Segoe UI" w:eastAsia="Times New Roman" w:hAnsi="Segoe UI" w:cs="Segoe UI"/>
          <w:color w:val="202122"/>
          <w:shd w:val="clear" w:color="auto" w:fill="FFFFFF"/>
        </w:rPr>
        <w:t>. The Code was also adopted by the British colonial authorities in </w:t>
      </w:r>
      <w:hyperlink r:id="rId20" w:tooltip="Colonial Burma" w:history="1">
        <w:r>
          <w:rPr>
            <w:rStyle w:val="Hyperlink"/>
            <w:rFonts w:ascii="Segoe UI" w:eastAsia="Times New Roman" w:hAnsi="Segoe UI" w:cs="Segoe UI"/>
            <w:color w:val="3366CC"/>
            <w:bdr w:val="none" w:sz="0" w:space="0" w:color="auto" w:frame="1"/>
            <w:shd w:val="clear" w:color="auto" w:fill="FFFFFF"/>
          </w:rPr>
          <w:t>Colonial Burma</w:t>
        </w:r>
      </w:hyperlink>
      <w:r>
        <w:rPr>
          <w:rFonts w:ascii="Segoe UI" w:eastAsia="Times New Roman" w:hAnsi="Segoe UI" w:cs="Segoe UI"/>
          <w:color w:val="202122"/>
          <w:shd w:val="clear" w:color="auto" w:fill="FFFFFF"/>
        </w:rPr>
        <w:t>, </w:t>
      </w:r>
      <w:hyperlink r:id="rId21" w:tooltip="Ceylon" w:history="1">
        <w:r>
          <w:rPr>
            <w:rStyle w:val="Hyperlink"/>
            <w:rFonts w:ascii="Segoe UI" w:eastAsia="Times New Roman" w:hAnsi="Segoe UI" w:cs="Segoe UI"/>
            <w:color w:val="3366CC"/>
            <w:bdr w:val="none" w:sz="0" w:space="0" w:color="auto" w:frame="1"/>
            <w:shd w:val="clear" w:color="auto" w:fill="FFFFFF"/>
          </w:rPr>
          <w:t>Ceylon</w:t>
        </w:r>
      </w:hyperlink>
      <w:r>
        <w:rPr>
          <w:rFonts w:ascii="Segoe UI" w:eastAsia="Times New Roman" w:hAnsi="Segoe UI" w:cs="Segoe UI"/>
          <w:color w:val="202122"/>
          <w:shd w:val="clear" w:color="auto" w:fill="FFFFFF"/>
        </w:rPr>
        <w:t> (modern Sri Lanka), the </w:t>
      </w:r>
      <w:hyperlink r:id="rId22" w:tooltip="Straits Settlements" w:history="1">
        <w:r>
          <w:rPr>
            <w:rStyle w:val="Hyperlink"/>
            <w:rFonts w:ascii="Segoe UI" w:eastAsia="Times New Roman" w:hAnsi="Segoe UI" w:cs="Segoe UI"/>
            <w:color w:val="3366CC"/>
            <w:bdr w:val="none" w:sz="0" w:space="0" w:color="auto" w:frame="1"/>
            <w:shd w:val="clear" w:color="auto" w:fill="FFFFFF"/>
          </w:rPr>
          <w:t>Straits Settlements</w:t>
        </w:r>
      </w:hyperlink>
      <w:r>
        <w:rPr>
          <w:rFonts w:ascii="Segoe UI" w:eastAsia="Times New Roman" w:hAnsi="Segoe UI" w:cs="Segoe UI"/>
          <w:color w:val="202122"/>
          <w:shd w:val="clear" w:color="auto" w:fill="FFFFFF"/>
        </w:rPr>
        <w:t> (now part of Malaysia), </w:t>
      </w:r>
      <w:hyperlink r:id="rId23" w:tooltip="Singapore in the Straits Settlements" w:history="1">
        <w:r>
          <w:rPr>
            <w:rStyle w:val="Hyperlink"/>
            <w:rFonts w:ascii="Segoe UI" w:eastAsia="Times New Roman" w:hAnsi="Segoe UI" w:cs="Segoe UI"/>
            <w:color w:val="3366CC"/>
            <w:bdr w:val="none" w:sz="0" w:space="0" w:color="auto" w:frame="1"/>
            <w:shd w:val="clear" w:color="auto" w:fill="FFFFFF"/>
          </w:rPr>
          <w:t>Singapore</w:t>
        </w:r>
      </w:hyperlink>
      <w:r>
        <w:rPr>
          <w:rFonts w:ascii="Segoe UI" w:eastAsia="Times New Roman" w:hAnsi="Segoe UI" w:cs="Segoe UI"/>
          <w:color w:val="202122"/>
          <w:shd w:val="clear" w:color="auto" w:fill="FFFFFF"/>
        </w:rPr>
        <w:t> and </w:t>
      </w:r>
      <w:hyperlink r:id="rId24" w:tooltip="Brunei" w:history="1">
        <w:r>
          <w:rPr>
            <w:rStyle w:val="Hyperlink"/>
            <w:rFonts w:ascii="Segoe UI" w:eastAsia="Times New Roman" w:hAnsi="Segoe UI" w:cs="Segoe UI"/>
            <w:color w:val="3366CC"/>
            <w:bdr w:val="none" w:sz="0" w:space="0" w:color="auto" w:frame="1"/>
            <w:shd w:val="clear" w:color="auto" w:fill="FFFFFF"/>
          </w:rPr>
          <w:t>Brunei</w:t>
        </w:r>
      </w:hyperlink>
      <w:r>
        <w:rPr>
          <w:rFonts w:ascii="Segoe UI" w:eastAsia="Times New Roman" w:hAnsi="Segoe UI" w:cs="Segoe UI"/>
          <w:color w:val="202122"/>
          <w:shd w:val="clear" w:color="auto" w:fill="FFFFFF"/>
        </w:rPr>
        <w:t>, and remains the basis of the criminal codes in those countries.</w:t>
      </w:r>
    </w:p>
    <w:p w14:paraId="4BCD214B" w14:textId="77777777" w:rsidR="00931BD0" w:rsidRDefault="00931BD0">
      <w:pPr>
        <w:rPr>
          <w:rFonts w:ascii="Segoe UI" w:eastAsia="Times New Roman" w:hAnsi="Segoe UI" w:cs="Segoe UI"/>
          <w:color w:val="202122"/>
          <w:shd w:val="clear" w:color="auto" w:fill="FFFFFF"/>
        </w:rPr>
      </w:pPr>
      <w:r w:rsidRPr="00073BAD">
        <w:rPr>
          <w:rFonts w:ascii="Segoe UI" w:eastAsia="Times New Roman" w:hAnsi="Segoe UI" w:cs="Segoe UI"/>
          <w:b/>
          <w:bCs/>
          <w:color w:val="202122"/>
          <w:shd w:val="clear" w:color="auto" w:fill="FFFFFF"/>
        </w:rPr>
        <w:t>History</w:t>
      </w:r>
      <w:r>
        <w:rPr>
          <w:rFonts w:ascii="Segoe UI" w:eastAsia="Times New Roman" w:hAnsi="Segoe UI" w:cs="Segoe UI"/>
          <w:color w:val="202122"/>
          <w:shd w:val="clear" w:color="auto" w:fill="FFFFFF"/>
        </w:rPr>
        <w:t>-</w:t>
      </w:r>
    </w:p>
    <w:p w14:paraId="2B8F6B32" w14:textId="334C1F8B" w:rsidR="001D0373" w:rsidRDefault="00931BD0">
      <w:pPr>
        <w:rPr>
          <w:rFonts w:ascii="Segoe UI" w:eastAsia="Times New Roman" w:hAnsi="Segoe UI" w:cs="Segoe UI"/>
          <w:color w:val="202122"/>
          <w:sz w:val="18"/>
          <w:szCs w:val="18"/>
          <w:bdr w:val="none" w:sz="0" w:space="0" w:color="auto" w:frame="1"/>
          <w:shd w:val="clear" w:color="auto" w:fill="FFFFFF"/>
          <w:vertAlign w:val="superscript"/>
        </w:rPr>
      </w:pPr>
      <w:r>
        <w:rPr>
          <w:rFonts w:ascii="Segoe UI" w:eastAsia="Times New Roman" w:hAnsi="Segoe UI" w:cs="Segoe UI"/>
          <w:color w:val="202122"/>
          <w:shd w:val="clear" w:color="auto" w:fill="FFFFFF"/>
        </w:rPr>
        <w:t>The draft of the Indian Penal Code was prepared by the First Law Commission, chaired by </w:t>
      </w:r>
      <w:hyperlink r:id="rId25" w:tooltip="Thomas Babington Macaulay" w:history="1">
        <w:r>
          <w:rPr>
            <w:rStyle w:val="Hyperlink"/>
            <w:rFonts w:ascii="Segoe UI" w:eastAsia="Times New Roman" w:hAnsi="Segoe UI" w:cs="Segoe UI"/>
            <w:color w:val="3366CC"/>
            <w:bdr w:val="none" w:sz="0" w:space="0" w:color="auto" w:frame="1"/>
            <w:shd w:val="clear" w:color="auto" w:fill="FFFFFF"/>
          </w:rPr>
          <w:t>Thomas Babington Macaulay</w:t>
        </w:r>
      </w:hyperlink>
      <w:r>
        <w:rPr>
          <w:rFonts w:ascii="Segoe UI" w:eastAsia="Times New Roman" w:hAnsi="Segoe UI" w:cs="Segoe UI"/>
          <w:color w:val="202122"/>
          <w:shd w:val="clear" w:color="auto" w:fill="FFFFFF"/>
        </w:rPr>
        <w:t> in 1834 and was submitted to Governor-General of India Council in 1835. Based on a simplified codification of the law of England at the time, elements were also derived from the </w:t>
      </w:r>
      <w:hyperlink r:id="rId26" w:tooltip="Napoleonic Code" w:history="1">
        <w:r>
          <w:rPr>
            <w:rStyle w:val="Hyperlink"/>
            <w:rFonts w:ascii="Segoe UI" w:eastAsia="Times New Roman" w:hAnsi="Segoe UI" w:cs="Segoe UI"/>
            <w:color w:val="3366CC"/>
            <w:bdr w:val="none" w:sz="0" w:space="0" w:color="auto" w:frame="1"/>
            <w:shd w:val="clear" w:color="auto" w:fill="FFFFFF"/>
          </w:rPr>
          <w:t>Napoleonic Code</w:t>
        </w:r>
      </w:hyperlink>
      <w:r>
        <w:rPr>
          <w:rFonts w:ascii="Segoe UI" w:eastAsia="Times New Roman" w:hAnsi="Segoe UI" w:cs="Segoe UI"/>
          <w:color w:val="202122"/>
          <w:shd w:val="clear" w:color="auto" w:fill="FFFFFF"/>
        </w:rPr>
        <w:t> and from </w:t>
      </w:r>
      <w:hyperlink r:id="rId27" w:tooltip="Edward Livingston" w:history="1">
        <w:r>
          <w:rPr>
            <w:rStyle w:val="Hyperlink"/>
            <w:rFonts w:ascii="Segoe UI" w:eastAsia="Times New Roman" w:hAnsi="Segoe UI" w:cs="Segoe UI"/>
            <w:color w:val="3366CC"/>
            <w:bdr w:val="none" w:sz="0" w:space="0" w:color="auto" w:frame="1"/>
            <w:shd w:val="clear" w:color="auto" w:fill="FFFFFF"/>
          </w:rPr>
          <w:t>Edward Livingston</w:t>
        </w:r>
      </w:hyperlink>
      <w:r>
        <w:rPr>
          <w:rFonts w:ascii="Segoe UI" w:eastAsia="Times New Roman" w:hAnsi="Segoe UI" w:cs="Segoe UI"/>
          <w:color w:val="202122"/>
          <w:shd w:val="clear" w:color="auto" w:fill="FFFFFF"/>
        </w:rPr>
        <w:t>'s </w:t>
      </w:r>
      <w:hyperlink r:id="rId28" w:tooltip="Louisiana Civil Code" w:history="1">
        <w:r>
          <w:rPr>
            <w:rStyle w:val="Hyperlink"/>
            <w:rFonts w:ascii="Segoe UI" w:eastAsia="Times New Roman" w:hAnsi="Segoe UI" w:cs="Segoe UI"/>
            <w:color w:val="3366CC"/>
            <w:bdr w:val="none" w:sz="0" w:space="0" w:color="auto" w:frame="1"/>
            <w:shd w:val="clear" w:color="auto" w:fill="FFFFFF"/>
          </w:rPr>
          <w:t>Louisiana Civil Code</w:t>
        </w:r>
      </w:hyperlink>
      <w:r>
        <w:rPr>
          <w:rFonts w:ascii="Segoe UI" w:eastAsia="Times New Roman" w:hAnsi="Segoe UI" w:cs="Segoe UI"/>
          <w:color w:val="202122"/>
          <w:shd w:val="clear" w:color="auto" w:fill="FFFFFF"/>
        </w:rPr>
        <w:t> of 1825. The first final draft of the Indian Penal Code was submitted to the Governor-General of India in Council in 1837, but the draft was again revised. The drafting was completed in 1850 and the Code was presented to the Legislative Council in 1856, but it did not take its place on the statute book of British India until a generation later, following the </w:t>
      </w:r>
      <w:hyperlink r:id="rId29" w:tooltip="Indian Rebellion of 1857" w:history="1">
        <w:r>
          <w:rPr>
            <w:rStyle w:val="Hyperlink"/>
            <w:rFonts w:ascii="Segoe UI" w:eastAsia="Times New Roman" w:hAnsi="Segoe UI" w:cs="Segoe UI"/>
            <w:color w:val="3366CC"/>
            <w:bdr w:val="none" w:sz="0" w:space="0" w:color="auto" w:frame="1"/>
            <w:shd w:val="clear" w:color="auto" w:fill="FFFFFF"/>
          </w:rPr>
          <w:t>Indian Rebellion of 1857</w:t>
        </w:r>
      </w:hyperlink>
      <w:r>
        <w:rPr>
          <w:rFonts w:ascii="Segoe UI" w:eastAsia="Times New Roman" w:hAnsi="Segoe UI" w:cs="Segoe UI"/>
          <w:color w:val="202122"/>
          <w:shd w:val="clear" w:color="auto" w:fill="FFFFFF"/>
        </w:rPr>
        <w:t>. The draft then underwent a very careful revision at the hands of </w:t>
      </w:r>
      <w:hyperlink r:id="rId30" w:tooltip="Barnes Peacock" w:history="1">
        <w:r>
          <w:rPr>
            <w:rStyle w:val="Hyperlink"/>
            <w:rFonts w:ascii="Segoe UI" w:eastAsia="Times New Roman" w:hAnsi="Segoe UI" w:cs="Segoe UI"/>
            <w:color w:val="3366CC"/>
            <w:bdr w:val="none" w:sz="0" w:space="0" w:color="auto" w:frame="1"/>
            <w:shd w:val="clear" w:color="auto" w:fill="FFFFFF"/>
          </w:rPr>
          <w:t>Barnes Peacock</w:t>
        </w:r>
      </w:hyperlink>
      <w:r>
        <w:rPr>
          <w:rFonts w:ascii="Segoe UI" w:eastAsia="Times New Roman" w:hAnsi="Segoe UI" w:cs="Segoe UI"/>
          <w:color w:val="202122"/>
          <w:shd w:val="clear" w:color="auto" w:fill="FFFFFF"/>
        </w:rPr>
        <w:t>, who later became the first Chief Justice of the </w:t>
      </w:r>
      <w:hyperlink r:id="rId31" w:tooltip="Calcutta High Court" w:history="1">
        <w:r>
          <w:rPr>
            <w:rStyle w:val="Hyperlink"/>
            <w:rFonts w:ascii="Segoe UI" w:eastAsia="Times New Roman" w:hAnsi="Segoe UI" w:cs="Segoe UI"/>
            <w:color w:val="3366CC"/>
            <w:bdr w:val="none" w:sz="0" w:space="0" w:color="auto" w:frame="1"/>
            <w:shd w:val="clear" w:color="auto" w:fill="FFFFFF"/>
          </w:rPr>
          <w:t>Calcutta High Court</w:t>
        </w:r>
      </w:hyperlink>
      <w:r>
        <w:rPr>
          <w:rFonts w:ascii="Segoe UI" w:eastAsia="Times New Roman" w:hAnsi="Segoe UI" w:cs="Segoe UI"/>
          <w:color w:val="202122"/>
          <w:shd w:val="clear" w:color="auto" w:fill="FFFFFF"/>
        </w:rPr>
        <w:t>, and the future </w:t>
      </w:r>
      <w:proofErr w:type="spellStart"/>
      <w:r>
        <w:rPr>
          <w:rFonts w:eastAsia="Times New Roman"/>
        </w:rPr>
        <w:fldChar w:fldCharType="begin"/>
      </w:r>
      <w:r>
        <w:rPr>
          <w:rFonts w:eastAsia="Times New Roman"/>
        </w:rPr>
        <w:instrText xml:space="preserve"> HYPERLINK "https://en.m.wikipedia.org/wiki/Puisne_Judge" \o "Puisne Judge" </w:instrText>
      </w:r>
      <w:r>
        <w:rPr>
          <w:rFonts w:eastAsia="Times New Roman"/>
        </w:rPr>
        <w:fldChar w:fldCharType="separate"/>
      </w:r>
      <w:r>
        <w:rPr>
          <w:rStyle w:val="Hyperlink"/>
          <w:rFonts w:ascii="Segoe UI" w:eastAsia="Times New Roman" w:hAnsi="Segoe UI" w:cs="Segoe UI"/>
          <w:color w:val="3366CC"/>
          <w:bdr w:val="none" w:sz="0" w:space="0" w:color="auto" w:frame="1"/>
          <w:shd w:val="clear" w:color="auto" w:fill="FFFFFF"/>
        </w:rPr>
        <w:t>puisne</w:t>
      </w:r>
      <w:proofErr w:type="spellEnd"/>
      <w:r>
        <w:rPr>
          <w:rStyle w:val="Hyperlink"/>
          <w:rFonts w:ascii="Segoe UI" w:eastAsia="Times New Roman" w:hAnsi="Segoe UI" w:cs="Segoe UI"/>
          <w:color w:val="3366CC"/>
          <w:bdr w:val="none" w:sz="0" w:space="0" w:color="auto" w:frame="1"/>
          <w:shd w:val="clear" w:color="auto" w:fill="FFFFFF"/>
        </w:rPr>
        <w:t xml:space="preserve"> judges</w:t>
      </w:r>
      <w:r>
        <w:rPr>
          <w:rFonts w:eastAsia="Times New Roman"/>
        </w:rPr>
        <w:fldChar w:fldCharType="end"/>
      </w:r>
      <w:r>
        <w:rPr>
          <w:rFonts w:ascii="Segoe UI" w:eastAsia="Times New Roman" w:hAnsi="Segoe UI" w:cs="Segoe UI"/>
          <w:color w:val="202122"/>
          <w:shd w:val="clear" w:color="auto" w:fill="FFFFFF"/>
        </w:rPr>
        <w:t> of the Calcutta High Court, who were members of the Legislative Council, and was passed into law on 6 October 1860</w:t>
      </w:r>
      <w:r w:rsidR="00D70852">
        <w:rPr>
          <w:rFonts w:ascii="Segoe UI" w:eastAsia="Times New Roman" w:hAnsi="Segoe UI" w:cs="Segoe UI"/>
          <w:color w:val="202122"/>
          <w:shd w:val="clear" w:color="auto" w:fill="FFFFFF"/>
        </w:rPr>
        <w:t>.</w:t>
      </w:r>
      <w:r>
        <w:rPr>
          <w:rFonts w:ascii="Segoe UI" w:eastAsia="Times New Roman" w:hAnsi="Segoe UI" w:cs="Segoe UI"/>
          <w:color w:val="202122"/>
          <w:shd w:val="clear" w:color="auto" w:fill="FFFFFF"/>
        </w:rPr>
        <w:t> The Code came into operation on 1 January 1862. Macaulay did not survive to see the penal code he wrote come into force, having died near the end of 1859. The code came into force in Jammu and Kashmir on 31 October 2019, by virtue of the </w:t>
      </w:r>
      <w:hyperlink r:id="rId32" w:tooltip="Jammu and Kashmir Reorganisation Act, 2019" w:history="1">
        <w:r>
          <w:rPr>
            <w:rStyle w:val="Hyperlink"/>
            <w:rFonts w:ascii="Segoe UI" w:eastAsia="Times New Roman" w:hAnsi="Segoe UI" w:cs="Segoe UI"/>
            <w:color w:val="3366CC"/>
            <w:bdr w:val="none" w:sz="0" w:space="0" w:color="auto" w:frame="1"/>
            <w:shd w:val="clear" w:color="auto" w:fill="FFFFFF"/>
          </w:rPr>
          <w:t>Jammu and Kashmir Reorganisation Act, 2019</w:t>
        </w:r>
      </w:hyperlink>
      <w:r>
        <w:rPr>
          <w:rFonts w:ascii="Segoe UI" w:eastAsia="Times New Roman" w:hAnsi="Segoe UI" w:cs="Segoe UI"/>
          <w:color w:val="202122"/>
          <w:shd w:val="clear" w:color="auto" w:fill="FFFFFF"/>
        </w:rPr>
        <w:t>, and replaced the state's </w:t>
      </w:r>
      <w:proofErr w:type="spellStart"/>
      <w:r>
        <w:rPr>
          <w:rFonts w:eastAsia="Times New Roman"/>
        </w:rPr>
        <w:fldChar w:fldCharType="begin"/>
      </w:r>
      <w:r>
        <w:rPr>
          <w:rFonts w:eastAsia="Times New Roman"/>
        </w:rPr>
        <w:instrText xml:space="preserve"> HYPERLINK "https://en.m.wikipedia.org/wiki/Ranbir_Penal_Code" \o "Ranbir Penal Code" </w:instrText>
      </w:r>
      <w:r>
        <w:rPr>
          <w:rFonts w:eastAsia="Times New Roman"/>
        </w:rPr>
        <w:fldChar w:fldCharType="separate"/>
      </w:r>
      <w:r>
        <w:rPr>
          <w:rStyle w:val="Hyperlink"/>
          <w:rFonts w:ascii="Segoe UI" w:eastAsia="Times New Roman" w:hAnsi="Segoe UI" w:cs="Segoe UI"/>
          <w:color w:val="3366CC"/>
          <w:bdr w:val="none" w:sz="0" w:space="0" w:color="auto" w:frame="1"/>
          <w:shd w:val="clear" w:color="auto" w:fill="FFFFFF"/>
        </w:rPr>
        <w:t>Ranbir</w:t>
      </w:r>
      <w:proofErr w:type="spellEnd"/>
      <w:r>
        <w:rPr>
          <w:rStyle w:val="Hyperlink"/>
          <w:rFonts w:ascii="Segoe UI" w:eastAsia="Times New Roman" w:hAnsi="Segoe UI" w:cs="Segoe UI"/>
          <w:color w:val="3366CC"/>
          <w:bdr w:val="none" w:sz="0" w:space="0" w:color="auto" w:frame="1"/>
          <w:shd w:val="clear" w:color="auto" w:fill="FFFFFF"/>
        </w:rPr>
        <w:t xml:space="preserve"> Penal Code</w:t>
      </w:r>
      <w:r>
        <w:rPr>
          <w:rFonts w:eastAsia="Times New Roman"/>
        </w:rPr>
        <w:fldChar w:fldCharType="end"/>
      </w:r>
      <w:r>
        <w:rPr>
          <w:rFonts w:ascii="Segoe UI" w:eastAsia="Times New Roman" w:hAnsi="Segoe UI" w:cs="Segoe UI"/>
          <w:color w:val="202122"/>
          <w:shd w:val="clear" w:color="auto" w:fill="FFFFFF"/>
        </w:rPr>
        <w:t>.</w:t>
      </w:r>
      <w:r w:rsidR="00D70852">
        <w:rPr>
          <w:rFonts w:ascii="Segoe UI" w:eastAsia="Times New Roman" w:hAnsi="Segoe UI" w:cs="Segoe UI"/>
          <w:color w:val="202122"/>
          <w:sz w:val="18"/>
          <w:szCs w:val="18"/>
          <w:bdr w:val="none" w:sz="0" w:space="0" w:color="auto" w:frame="1"/>
          <w:shd w:val="clear" w:color="auto" w:fill="FFFFFF"/>
          <w:vertAlign w:val="superscript"/>
        </w:rPr>
        <w:t xml:space="preserve"> </w:t>
      </w:r>
    </w:p>
    <w:p w14:paraId="4728F3B9" w14:textId="206C60B4" w:rsidR="00D425FB" w:rsidRPr="00073BAD" w:rsidRDefault="00D425FB">
      <w:pPr>
        <w:rPr>
          <w:rFonts w:ascii="Segoe UI" w:eastAsia="Times New Roman" w:hAnsi="Segoe UI" w:cs="Segoe UI"/>
          <w:b/>
          <w:bCs/>
          <w:color w:val="202122"/>
          <w:sz w:val="18"/>
          <w:szCs w:val="18"/>
          <w:bdr w:val="none" w:sz="0" w:space="0" w:color="auto" w:frame="1"/>
          <w:shd w:val="clear" w:color="auto" w:fill="FFFFFF"/>
          <w:vertAlign w:val="superscript"/>
        </w:rPr>
      </w:pPr>
      <w:r w:rsidRPr="00073BAD">
        <w:rPr>
          <w:rFonts w:ascii="Segoe UI" w:eastAsia="Times New Roman" w:hAnsi="Segoe UI" w:cs="Segoe UI"/>
          <w:b/>
          <w:bCs/>
          <w:color w:val="202122"/>
          <w:sz w:val="28"/>
          <w:szCs w:val="28"/>
          <w:bdr w:val="none" w:sz="0" w:space="0" w:color="auto" w:frame="1"/>
          <w:shd w:val="clear" w:color="auto" w:fill="FFFFFF"/>
          <w:vertAlign w:val="superscript"/>
        </w:rPr>
        <w:t>Objective</w:t>
      </w:r>
      <w:r w:rsidRPr="00073BAD">
        <w:rPr>
          <w:rFonts w:ascii="Segoe UI" w:eastAsia="Times New Roman" w:hAnsi="Segoe UI" w:cs="Segoe UI"/>
          <w:b/>
          <w:bCs/>
          <w:color w:val="202122"/>
          <w:sz w:val="18"/>
          <w:szCs w:val="18"/>
          <w:bdr w:val="none" w:sz="0" w:space="0" w:color="auto" w:frame="1"/>
          <w:shd w:val="clear" w:color="auto" w:fill="FFFFFF"/>
          <w:vertAlign w:val="superscript"/>
        </w:rPr>
        <w:t xml:space="preserve"> </w:t>
      </w:r>
    </w:p>
    <w:p w14:paraId="568A28AA" w14:textId="057A3D1A" w:rsidR="00676F03" w:rsidRPr="00931BD0" w:rsidRDefault="00D425FB">
      <w:pPr>
        <w:rPr>
          <w:rFonts w:ascii="Segoe UI" w:eastAsia="Times New Roman" w:hAnsi="Segoe UI" w:cs="Segoe UI"/>
          <w:color w:val="202122"/>
          <w:shd w:val="clear" w:color="auto" w:fill="FFFFFF"/>
        </w:rPr>
      </w:pPr>
      <w:r>
        <w:rPr>
          <w:rFonts w:ascii="Segoe UI" w:eastAsia="Times New Roman" w:hAnsi="Segoe UI" w:cs="Segoe UI"/>
          <w:color w:val="202122"/>
          <w:shd w:val="clear" w:color="auto" w:fill="FFFFFF"/>
        </w:rPr>
        <w:t>The objective of this Act is to provide a general </w:t>
      </w:r>
      <w:hyperlink r:id="rId33" w:tooltip="Penal law" w:history="1">
        <w:r>
          <w:rPr>
            <w:rStyle w:val="Hyperlink"/>
            <w:rFonts w:ascii="Segoe UI" w:eastAsia="Times New Roman" w:hAnsi="Segoe UI" w:cs="Segoe UI"/>
            <w:color w:val="3366CC"/>
            <w:bdr w:val="none" w:sz="0" w:space="0" w:color="auto" w:frame="1"/>
            <w:shd w:val="clear" w:color="auto" w:fill="FFFFFF"/>
          </w:rPr>
          <w:t>penal code</w:t>
        </w:r>
      </w:hyperlink>
      <w:r>
        <w:rPr>
          <w:rFonts w:ascii="Segoe UI" w:eastAsia="Times New Roman" w:hAnsi="Segoe UI" w:cs="Segoe UI"/>
          <w:color w:val="202122"/>
          <w:shd w:val="clear" w:color="auto" w:fill="FFFFFF"/>
        </w:rPr>
        <w:t> for India</w:t>
      </w:r>
      <w:r w:rsidR="00073BAD">
        <w:rPr>
          <w:rFonts w:ascii="Segoe UI" w:eastAsia="Times New Roman" w:hAnsi="Segoe UI" w:cs="Segoe UI"/>
          <w:color w:val="202122"/>
          <w:shd w:val="clear" w:color="auto" w:fill="FFFFFF"/>
        </w:rPr>
        <w:t>.</w:t>
      </w:r>
      <w:r>
        <w:rPr>
          <w:rFonts w:ascii="Segoe UI" w:eastAsia="Times New Roman" w:hAnsi="Segoe UI" w:cs="Segoe UI"/>
          <w:color w:val="202122"/>
          <w:shd w:val="clear" w:color="auto" w:fill="FFFFFF"/>
        </w:rPr>
        <w:t> Though not the initial objective, the Act does not repeal the penal laws which were in force at the time of coming into force in India. This was done because the Code does not contain all the offences and it was possible that some offences might have still been left out of the Code, which were not intended to be exempted from penal consequences. Though this Code consolidates the whole of the law on the subject and is exhaustive on the matters in respect of which it declares the law, many more penal statutes governing various offences have been created in addition to the code</w:t>
      </w:r>
    </w:p>
    <w:sectPr w:rsidR="00676F03" w:rsidRPr="00931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DC"/>
    <w:rsid w:val="00073BAD"/>
    <w:rsid w:val="001D0373"/>
    <w:rsid w:val="00676F03"/>
    <w:rsid w:val="007829DC"/>
    <w:rsid w:val="00931BD0"/>
    <w:rsid w:val="00D425FB"/>
    <w:rsid w:val="00D70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CD35FE"/>
  <w15:chartTrackingRefBased/>
  <w15:docId w15:val="{88E29AE0-8AB5-E345-B2E4-E8E54E36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29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Lord" TargetMode="External" /><Relationship Id="rId13" Type="http://schemas.openxmlformats.org/officeDocument/2006/relationships/hyperlink" Target="https://en.m.wikipedia.org/wiki/Legal_system" TargetMode="External" /><Relationship Id="rId18" Type="http://schemas.openxmlformats.org/officeDocument/2006/relationships/hyperlink" Target="https://en.m.wikipedia.org/wiki/Bangladesh" TargetMode="External" /><Relationship Id="rId26" Type="http://schemas.openxmlformats.org/officeDocument/2006/relationships/hyperlink" Target="https://en.m.wikipedia.org/wiki/Napoleonic_Code" TargetMode="External" /><Relationship Id="rId3" Type="http://schemas.openxmlformats.org/officeDocument/2006/relationships/webSettings" Target="webSettings.xml" /><Relationship Id="rId21" Type="http://schemas.openxmlformats.org/officeDocument/2006/relationships/hyperlink" Target="https://en.m.wikipedia.org/wiki/Ceylon" TargetMode="External" /><Relationship Id="rId34" Type="http://schemas.openxmlformats.org/officeDocument/2006/relationships/fontTable" Target="fontTable.xml" /><Relationship Id="rId7" Type="http://schemas.openxmlformats.org/officeDocument/2006/relationships/hyperlink" Target="https://en.m.wikipedia.org/wiki/Charter_Act_of_1833" TargetMode="External" /><Relationship Id="rId12" Type="http://schemas.openxmlformats.org/officeDocument/2006/relationships/hyperlink" Target="https://en.m.wikipedia.org/wiki/Princely_states" TargetMode="External" /><Relationship Id="rId17" Type="http://schemas.openxmlformats.org/officeDocument/2006/relationships/hyperlink" Target="https://en.m.wikipedia.org/wiki/Pakistan_Penal_Code" TargetMode="External" /><Relationship Id="rId25" Type="http://schemas.openxmlformats.org/officeDocument/2006/relationships/hyperlink" Target="https://en.m.wikipedia.org/wiki/Thomas_Babington_Macaulay" TargetMode="External" /><Relationship Id="rId33" Type="http://schemas.openxmlformats.org/officeDocument/2006/relationships/hyperlink" Target="https://en.m.wikipedia.org/wiki/Penal_law" TargetMode="External" /><Relationship Id="rId2" Type="http://schemas.openxmlformats.org/officeDocument/2006/relationships/settings" Target="settings.xml" /><Relationship Id="rId16" Type="http://schemas.openxmlformats.org/officeDocument/2006/relationships/hyperlink" Target="https://en.m.wikipedia.org/wiki/Dominion_of_Pakistan" TargetMode="External" /><Relationship Id="rId20" Type="http://schemas.openxmlformats.org/officeDocument/2006/relationships/hyperlink" Target="https://en.m.wikipedia.org/wiki/Colonial_Burma" TargetMode="External" /><Relationship Id="rId29" Type="http://schemas.openxmlformats.org/officeDocument/2006/relationships/hyperlink" Target="https://en.m.wikipedia.org/wiki/Indian_Rebellion_of_1857" TargetMode="External" /><Relationship Id="rId1" Type="http://schemas.openxmlformats.org/officeDocument/2006/relationships/styles" Target="styles.xml" /><Relationship Id="rId6" Type="http://schemas.openxmlformats.org/officeDocument/2006/relationships/hyperlink" Target="https://en.m.wikipedia.org/wiki/Criminal_law" TargetMode="External" /><Relationship Id="rId11" Type="http://schemas.openxmlformats.org/officeDocument/2006/relationships/hyperlink" Target="https://en.m.wikipedia.org/wiki/British_Raj" TargetMode="External" /><Relationship Id="rId24" Type="http://schemas.openxmlformats.org/officeDocument/2006/relationships/hyperlink" Target="https://en.m.wikipedia.org/wiki/Brunei" TargetMode="External" /><Relationship Id="rId32" Type="http://schemas.openxmlformats.org/officeDocument/2006/relationships/hyperlink" Target="https://en.m.wikipedia.org/wiki/Jammu_and_Kashmir_Reorganisation_Act,_2019" TargetMode="External" /><Relationship Id="rId5" Type="http://schemas.openxmlformats.org/officeDocument/2006/relationships/hyperlink" Target="https://en.m.wikipedia.org/wiki/India" TargetMode="External" /><Relationship Id="rId15" Type="http://schemas.openxmlformats.org/officeDocument/2006/relationships/hyperlink" Target="https://en.m.wikipedia.org/wiki/Dominion_of_India" TargetMode="External" /><Relationship Id="rId23" Type="http://schemas.openxmlformats.org/officeDocument/2006/relationships/hyperlink" Target="https://en.m.wikipedia.org/wiki/Singapore_in_the_Straits_Settlements" TargetMode="External" /><Relationship Id="rId28" Type="http://schemas.openxmlformats.org/officeDocument/2006/relationships/hyperlink" Target="https://en.m.wikipedia.org/wiki/Louisiana_Civil_Code" TargetMode="External" /><Relationship Id="rId10" Type="http://schemas.openxmlformats.org/officeDocument/2006/relationships/hyperlink" Target="https://en.m.wikipedia.org/wiki/British_India" TargetMode="External" /><Relationship Id="rId19" Type="http://schemas.openxmlformats.org/officeDocument/2006/relationships/hyperlink" Target="https://en.m.wikipedia.org/wiki/The_Penal_Code,_1860_(Bangladesh)" TargetMode="External" /><Relationship Id="rId31" Type="http://schemas.openxmlformats.org/officeDocument/2006/relationships/hyperlink" Target="https://en.m.wikipedia.org/wiki/Calcutta_High_Court" TargetMode="External" /><Relationship Id="rId4" Type="http://schemas.openxmlformats.org/officeDocument/2006/relationships/hyperlink" Target="https://en.m.wikipedia.org/wiki/Criminal_code" TargetMode="External" /><Relationship Id="rId9" Type="http://schemas.openxmlformats.org/officeDocument/2006/relationships/hyperlink" Target="https://en.m.wikipedia.org/wiki/Thomas_Babington_Macaulay" TargetMode="External" /><Relationship Id="rId14" Type="http://schemas.openxmlformats.org/officeDocument/2006/relationships/hyperlink" Target="https://en.m.wikipedia.org/wiki/Partition_of_India" TargetMode="External" /><Relationship Id="rId22" Type="http://schemas.openxmlformats.org/officeDocument/2006/relationships/hyperlink" Target="https://en.m.wikipedia.org/wiki/Straits_Settlements" TargetMode="External" /><Relationship Id="rId27" Type="http://schemas.openxmlformats.org/officeDocument/2006/relationships/hyperlink" Target="https://en.m.wikipedia.org/wiki/Edward_Livingston" TargetMode="External" /><Relationship Id="rId30" Type="http://schemas.openxmlformats.org/officeDocument/2006/relationships/hyperlink" Target="https://en.m.wikipedia.org/wiki/Barnes_Peacock" TargetMode="Externa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2021-09-29T06:45:00Z</dcterms:created>
  <dcterms:modified xsi:type="dcterms:W3CDTF">2021-09-29T06:45:00Z</dcterms:modified>
</cp:coreProperties>
</file>