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35D625">
      <w:pPr>
        <w:pStyle w:val="4"/>
        <w:keepNext w:val="0"/>
        <w:keepLines w:val="0"/>
        <w:widowControl/>
        <w:numPr>
          <w:ilvl w:val="0"/>
          <w:numId w:val="1"/>
        </w:numPr>
        <w:suppressLineNumbers w:val="0"/>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rPr>
        <w:t>研究设计与研究队列</w:t>
      </w:r>
    </w:p>
    <w:p w14:paraId="6BC65670">
      <w:pPr>
        <w:pStyle w:val="4"/>
        <w:keepNext w:val="0"/>
        <w:keepLines w:val="0"/>
        <w:widowControl/>
        <w:numPr>
          <w:ilvl w:val="0"/>
          <w:numId w:val="0"/>
        </w:numPr>
        <w:suppressLineNumbers w:val="0"/>
        <w:ind w:right="0" w:rightChars="0"/>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rPr>
        <w:t>本研究为单中心回顾性队列研究。研究对象为</w:t>
      </w:r>
      <w:r>
        <w:rPr>
          <w:rStyle w:val="7"/>
          <w:rFonts w:hint="eastAsia" w:asciiTheme="minorEastAsia" w:hAnsiTheme="minorEastAsia" w:eastAsiaTheme="minorEastAsia" w:cstheme="minorEastAsia"/>
          <w:b w:val="0"/>
          <w:bCs w:val="0"/>
          <w:color w:val="auto"/>
          <w:sz w:val="24"/>
          <w:szCs w:val="24"/>
        </w:rPr>
        <w:t>2021年3月至2024年6月</w:t>
      </w:r>
      <w:r>
        <w:rPr>
          <w:rFonts w:hint="eastAsia" w:asciiTheme="minorEastAsia" w:hAnsiTheme="minorEastAsia" w:eastAsiaTheme="minorEastAsia" w:cstheme="minorEastAsia"/>
          <w:b w:val="0"/>
          <w:bCs w:val="0"/>
          <w:color w:val="auto"/>
          <w:sz w:val="24"/>
          <w:szCs w:val="24"/>
        </w:rPr>
        <w:t>在</w:t>
      </w:r>
      <w:r>
        <w:rPr>
          <w:rStyle w:val="7"/>
          <w:rFonts w:hint="eastAsia" w:asciiTheme="minorEastAsia" w:hAnsiTheme="minorEastAsia" w:eastAsiaTheme="minorEastAsia" w:cstheme="minorEastAsia"/>
          <w:b w:val="0"/>
          <w:bCs w:val="0"/>
          <w:color w:val="auto"/>
          <w:sz w:val="24"/>
          <w:szCs w:val="24"/>
        </w:rPr>
        <w:t>天津医科大学总医院</w:t>
      </w:r>
      <w:r>
        <w:rPr>
          <w:rFonts w:hint="eastAsia" w:asciiTheme="minorEastAsia" w:hAnsiTheme="minorEastAsia" w:eastAsiaTheme="minorEastAsia" w:cstheme="minorEastAsia"/>
          <w:b w:val="0"/>
          <w:bCs w:val="0"/>
          <w:color w:val="auto"/>
          <w:sz w:val="24"/>
          <w:szCs w:val="24"/>
        </w:rPr>
        <w:t>接受放射性</w:t>
      </w:r>
      <w:r>
        <w:rPr>
          <w:rFonts w:hint="eastAsia" w:asciiTheme="minorEastAsia" w:hAnsiTheme="minorEastAsia" w:cstheme="minorEastAsia"/>
          <w:b w:val="0"/>
          <w:bCs w:val="0"/>
          <w:color w:val="auto"/>
          <w:sz w:val="24"/>
          <w:szCs w:val="24"/>
          <w:lang w:val="en-US" w:eastAsia="zh-CN"/>
        </w:rPr>
        <w:t>131</w:t>
      </w:r>
      <w:r>
        <w:rPr>
          <w:rFonts w:hint="eastAsia" w:asciiTheme="minorEastAsia" w:hAnsiTheme="minorEastAsia" w:eastAsiaTheme="minorEastAsia" w:cstheme="minorEastAsia"/>
          <w:b w:val="0"/>
          <w:bCs w:val="0"/>
          <w:color w:val="auto"/>
          <w:sz w:val="24"/>
          <w:szCs w:val="24"/>
        </w:rPr>
        <w:t xml:space="preserve">碘治疗（radioactive iodine，RAI）的格雷夫斯甲状腺功能亢进症患者。所有患者均按照常规临床流程进行随访，随访时间节点包括：基线（0月）、以及治疗后 </w:t>
      </w:r>
      <w:r>
        <w:rPr>
          <w:rStyle w:val="7"/>
          <w:rFonts w:hint="eastAsia" w:asciiTheme="minorEastAsia" w:hAnsiTheme="minorEastAsia" w:eastAsiaTheme="minorEastAsia" w:cstheme="minorEastAsia"/>
          <w:b w:val="0"/>
          <w:bCs w:val="0"/>
          <w:color w:val="auto"/>
          <w:sz w:val="24"/>
          <w:szCs w:val="24"/>
        </w:rPr>
        <w:t>1、3、6、12、18和24个月</w:t>
      </w:r>
      <w:r>
        <w:rPr>
          <w:rFonts w:hint="eastAsia" w:asciiTheme="minorEastAsia" w:hAnsiTheme="minorEastAsia" w:eastAsiaTheme="minorEastAsia" w:cstheme="minorEastAsia"/>
          <w:b w:val="0"/>
          <w:bCs w:val="0"/>
          <w:color w:val="auto"/>
          <w:sz w:val="24"/>
          <w:szCs w:val="24"/>
        </w:rPr>
        <w:t>。</w:t>
      </w:r>
    </w:p>
    <w:p w14:paraId="410788EF">
      <w:pPr>
        <w:jc w:val="left"/>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rPr>
        <w:t>纳入符合以下条件的患者：</w:t>
      </w:r>
      <w:r>
        <w:rPr>
          <w:rFonts w:hint="eastAsia" w:asciiTheme="minorEastAsia" w:hAnsiTheme="minorEastAsia" w:eastAsiaTheme="minorEastAsia" w:cstheme="minorEastAsia"/>
          <w:b w:val="0"/>
          <w:bCs w:val="0"/>
          <w:i w:val="0"/>
          <w:iCs w:val="0"/>
          <w:caps w:val="0"/>
          <w:color w:val="auto"/>
          <w:spacing w:val="0"/>
          <w:sz w:val="24"/>
          <w:szCs w:val="24"/>
          <w:highlight w:val="none"/>
          <w:shd w:val="clear" w:fill="FFFFFF"/>
          <w:lang w:val="en-US" w:eastAsia="zh-CN"/>
        </w:rPr>
        <w:t>1.符合《¹³¹I治疗格雷夫斯甲亢指南（2021版）》诊断标准；2.首次接受¹³¹I治疗；3.治疗前停用抗甲状腺药物（ATD）至少1周；4.具有完整的随访资料</w:t>
      </w:r>
      <w:r>
        <w:rPr>
          <w:rFonts w:hint="eastAsia" w:asciiTheme="minorEastAsia" w:hAnsiTheme="minorEastAsia" w:eastAsiaTheme="minorEastAsia" w:cstheme="minorEastAsia"/>
          <w:b w:val="0"/>
          <w:bCs w:val="0"/>
          <w:color w:val="auto"/>
          <w:sz w:val="24"/>
          <w:szCs w:val="24"/>
        </w:rPr>
        <w:t>且治疗后随访时间不少于6个月。排除符合以下任一条件的患者：</w:t>
      </w:r>
      <w:r>
        <w:rPr>
          <w:rFonts w:hint="eastAsia" w:asciiTheme="minorEastAsia" w:hAnsiTheme="minorEastAsia" w:eastAsiaTheme="minorEastAsia" w:cstheme="minorEastAsia"/>
          <w:b w:val="0"/>
          <w:bCs w:val="0"/>
          <w:i w:val="0"/>
          <w:iCs w:val="0"/>
          <w:caps w:val="0"/>
          <w:color w:val="auto"/>
          <w:spacing w:val="0"/>
          <w:sz w:val="24"/>
          <w:szCs w:val="24"/>
          <w:highlight w:val="none"/>
          <w:shd w:val="clear" w:fill="FFFFFF"/>
          <w:lang w:val="en-US" w:eastAsia="zh-CN"/>
        </w:rPr>
        <w:t>1.合并可疑恶性甲状腺结节或甲状腺恶性肿瘤；2.既往接受过¹³¹I治疗；3.既往行甲状腺切除术或颈部放射治疗；4.失访或</w:t>
      </w:r>
      <w:r>
        <w:rPr>
          <w:rFonts w:hint="eastAsia" w:asciiTheme="minorEastAsia" w:hAnsiTheme="minorEastAsia" w:eastAsiaTheme="minorEastAsia" w:cstheme="minorEastAsia"/>
          <w:b w:val="0"/>
          <w:bCs w:val="0"/>
          <w:color w:val="auto"/>
          <w:sz w:val="24"/>
          <w:szCs w:val="24"/>
        </w:rPr>
        <w:t>随访资料不完整</w:t>
      </w:r>
      <w:r>
        <w:rPr>
          <w:rFonts w:hint="eastAsia" w:asciiTheme="minorEastAsia" w:hAnsiTheme="minorEastAsia" w:eastAsiaTheme="minorEastAsia" w:cstheme="minorEastAsia"/>
          <w:b w:val="0"/>
          <w:bCs w:val="0"/>
          <w:color w:val="auto"/>
          <w:sz w:val="24"/>
          <w:szCs w:val="24"/>
          <w:lang w:val="en-US" w:eastAsia="zh-CN"/>
        </w:rPr>
        <w:t>5.</w:t>
      </w:r>
      <w:r>
        <w:rPr>
          <w:rFonts w:hint="eastAsia" w:asciiTheme="minorEastAsia" w:hAnsiTheme="minorEastAsia" w:eastAsiaTheme="minorEastAsia" w:cstheme="minorEastAsia"/>
          <w:b w:val="0"/>
          <w:bCs w:val="0"/>
          <w:color w:val="auto"/>
          <w:sz w:val="24"/>
          <w:szCs w:val="24"/>
        </w:rPr>
        <w:t>治疗后再次使用抗甲状腺药物（ATD）</w:t>
      </w:r>
      <w:r>
        <w:rPr>
          <w:rFonts w:hint="eastAsia" w:asciiTheme="minorEastAsia" w:hAnsiTheme="minorEastAsia" w:eastAsiaTheme="minorEastAsia" w:cstheme="minorEastAsia"/>
          <w:b w:val="0"/>
          <w:bCs w:val="0"/>
          <w:color w:val="auto"/>
          <w:sz w:val="24"/>
          <w:szCs w:val="24"/>
          <w:lang w:eastAsia="zh-CN"/>
        </w:rPr>
        <w:t>。</w:t>
      </w:r>
      <w:r>
        <w:rPr>
          <w:rFonts w:hint="eastAsia" w:asciiTheme="minorEastAsia" w:hAnsiTheme="minorEastAsia" w:eastAsiaTheme="minorEastAsia" w:cstheme="minorEastAsia"/>
          <w:b w:val="0"/>
          <w:bCs w:val="0"/>
          <w:color w:val="auto"/>
          <w:sz w:val="24"/>
          <w:szCs w:val="24"/>
        </w:rPr>
        <w:t>经筛选后，共</w:t>
      </w:r>
      <w:r>
        <w:rPr>
          <w:rStyle w:val="7"/>
          <w:rFonts w:hint="eastAsia" w:asciiTheme="minorEastAsia" w:hAnsiTheme="minorEastAsia" w:eastAsiaTheme="minorEastAsia" w:cstheme="minorEastAsia"/>
          <w:b w:val="0"/>
          <w:bCs w:val="0"/>
          <w:color w:val="auto"/>
          <w:sz w:val="24"/>
          <w:szCs w:val="24"/>
        </w:rPr>
        <w:t>1003例患者</w:t>
      </w:r>
      <w:r>
        <w:rPr>
          <w:rFonts w:hint="eastAsia" w:asciiTheme="minorEastAsia" w:hAnsiTheme="minorEastAsia" w:eastAsiaTheme="minorEastAsia" w:cstheme="minorEastAsia"/>
          <w:b w:val="0"/>
          <w:bCs w:val="0"/>
          <w:color w:val="auto"/>
          <w:sz w:val="24"/>
          <w:szCs w:val="24"/>
        </w:rPr>
        <w:t>纳入最终分析。本研究经</w:t>
      </w:r>
      <w:r>
        <w:rPr>
          <w:rStyle w:val="7"/>
          <w:rFonts w:hint="eastAsia" w:asciiTheme="minorEastAsia" w:hAnsiTheme="minorEastAsia" w:eastAsiaTheme="minorEastAsia" w:cstheme="minorEastAsia"/>
          <w:b w:val="0"/>
          <w:bCs w:val="0"/>
          <w:color w:val="auto"/>
          <w:sz w:val="24"/>
          <w:szCs w:val="24"/>
        </w:rPr>
        <w:t>天津医科大学总医院伦理委员会批准</w:t>
      </w:r>
      <w:r>
        <w:rPr>
          <w:rFonts w:hint="eastAsia" w:asciiTheme="minorEastAsia" w:hAnsiTheme="minorEastAsia" w:eastAsiaTheme="minorEastAsia" w:cstheme="minorEastAsia"/>
          <w:b w:val="0"/>
          <w:bCs w:val="0"/>
          <w:color w:val="auto"/>
          <w:sz w:val="24"/>
          <w:szCs w:val="24"/>
        </w:rPr>
        <w:t>，因研究为回顾性研究，</w:t>
      </w:r>
      <w:r>
        <w:rPr>
          <w:rFonts w:hint="eastAsia" w:asciiTheme="minorEastAsia" w:hAnsiTheme="minorEastAsia" w:eastAsiaTheme="minorEastAsia" w:cstheme="minorEastAsia"/>
          <w:b w:val="0"/>
          <w:bCs w:val="0"/>
          <w:i w:val="0"/>
          <w:iCs w:val="0"/>
          <w:caps w:val="0"/>
          <w:color w:val="auto"/>
          <w:spacing w:val="0"/>
          <w:sz w:val="24"/>
          <w:szCs w:val="24"/>
          <w:highlight w:val="none"/>
          <w:shd w:val="clear" w:fill="FFFFFF"/>
          <w:lang w:val="en-US" w:eastAsia="zh-CN"/>
        </w:rPr>
        <w:t>可以免除患者知情同意</w:t>
      </w:r>
      <w:r>
        <w:rPr>
          <w:rFonts w:hint="eastAsia" w:asciiTheme="minorEastAsia" w:hAnsiTheme="minorEastAsia" w:eastAsiaTheme="minorEastAsia" w:cstheme="minorEastAsia"/>
          <w:b w:val="0"/>
          <w:bCs w:val="0"/>
          <w:color w:val="auto"/>
          <w:sz w:val="24"/>
          <w:szCs w:val="24"/>
        </w:rPr>
        <w:t>。所有数据均来源于医院电子病历系统及随访数据库。</w:t>
      </w:r>
    </w:p>
    <w:p w14:paraId="2EEBFA6B">
      <w:pPr>
        <w:pStyle w:val="2"/>
        <w:keepNext w:val="0"/>
        <w:keepLines w:val="0"/>
        <w:widowControl/>
        <w:suppressLineNumbers w:val="0"/>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lang w:val="en-US" w:eastAsia="zh-CN"/>
        </w:rPr>
        <w:t>2.</w:t>
      </w:r>
      <w:r>
        <w:rPr>
          <w:rFonts w:hint="eastAsia" w:asciiTheme="minorEastAsia" w:hAnsiTheme="minorEastAsia" w:eastAsiaTheme="minorEastAsia" w:cstheme="minorEastAsia"/>
          <w:b w:val="0"/>
          <w:bCs w:val="0"/>
          <w:color w:val="auto"/>
          <w:sz w:val="24"/>
          <w:szCs w:val="24"/>
        </w:rPr>
        <w:t>状态定义</w:t>
      </w:r>
    </w:p>
    <w:p w14:paraId="585A8D13">
      <w:pPr>
        <w:pStyle w:val="4"/>
        <w:keepNext w:val="0"/>
        <w:keepLines w:val="0"/>
        <w:widowControl/>
        <w:suppressLineNumbers w:val="0"/>
        <w:rPr>
          <w:rFonts w:hint="eastAsia" w:asciiTheme="minorEastAsia" w:hAnsiTheme="minorEastAsia" w:eastAsiaTheme="minorEastAsia" w:cstheme="minorEastAsia"/>
          <w:b w:val="0"/>
          <w:bCs w:val="0"/>
          <w:color w:val="auto"/>
          <w:sz w:val="24"/>
          <w:szCs w:val="24"/>
          <w:lang w:eastAsia="zh-CN"/>
        </w:rPr>
      </w:pPr>
      <w:r>
        <w:rPr>
          <w:rFonts w:hint="eastAsia" w:asciiTheme="minorEastAsia" w:hAnsiTheme="minorEastAsia" w:eastAsiaTheme="minorEastAsia" w:cstheme="minorEastAsia"/>
          <w:b w:val="0"/>
          <w:bCs w:val="0"/>
          <w:color w:val="auto"/>
          <w:sz w:val="24"/>
          <w:szCs w:val="24"/>
        </w:rPr>
        <w:t>在每个随访时间点，临床医生根据甲状腺激素水平和临床评估将患者甲状腺状态分为以下三种互斥状态：</w:t>
      </w:r>
      <w:r>
        <w:rPr>
          <w:rStyle w:val="7"/>
          <w:rFonts w:hint="eastAsia" w:asciiTheme="minorEastAsia" w:hAnsiTheme="minorEastAsia" w:eastAsiaTheme="minorEastAsia" w:cstheme="minorEastAsia"/>
          <w:b w:val="0"/>
          <w:bCs w:val="0"/>
          <w:color w:val="auto"/>
          <w:sz w:val="24"/>
          <w:szCs w:val="24"/>
        </w:rPr>
        <w:t>Hyper</w:t>
      </w:r>
      <w:r>
        <w:rPr>
          <w:rFonts w:hint="eastAsia" w:asciiTheme="minorEastAsia" w:hAnsiTheme="minorEastAsia" w:eastAsiaTheme="minorEastAsia" w:cstheme="minorEastAsia"/>
          <w:b w:val="0"/>
          <w:bCs w:val="0"/>
          <w:color w:val="auto"/>
          <w:sz w:val="24"/>
          <w:szCs w:val="24"/>
        </w:rPr>
        <w:t>：甲状腺功能亢进状态</w:t>
      </w:r>
      <w:r>
        <w:rPr>
          <w:rFonts w:hint="eastAsia" w:asciiTheme="minorEastAsia" w:hAnsiTheme="minorEastAsia" w:eastAsiaTheme="minorEastAsia" w:cstheme="minorEastAsia"/>
          <w:b w:val="0"/>
          <w:bCs w:val="0"/>
          <w:color w:val="auto"/>
          <w:sz w:val="24"/>
          <w:szCs w:val="24"/>
          <w:lang w:eastAsia="zh-CN"/>
        </w:rPr>
        <w:t>，</w:t>
      </w:r>
      <w:r>
        <w:rPr>
          <w:rFonts w:hint="eastAsia" w:asciiTheme="minorEastAsia" w:hAnsiTheme="minorEastAsia" w:eastAsiaTheme="minorEastAsia" w:cstheme="minorEastAsia"/>
          <w:b w:val="0"/>
          <w:bCs w:val="0"/>
          <w:color w:val="auto"/>
          <w:sz w:val="24"/>
          <w:szCs w:val="24"/>
        </w:rPr>
        <w:t>Normal</w:t>
      </w:r>
      <w:r>
        <w:rPr>
          <w:rFonts w:hint="eastAsia" w:asciiTheme="minorEastAsia" w:hAnsiTheme="minorEastAsia" w:eastAsiaTheme="minorEastAsia" w:cstheme="minorEastAsia"/>
          <w:b w:val="0"/>
          <w:bCs w:val="0"/>
          <w:color w:val="auto"/>
          <w:sz w:val="24"/>
          <w:szCs w:val="24"/>
          <w:lang w:eastAsia="zh-CN"/>
        </w:rPr>
        <w:t>：甲状腺功能正常状态，</w:t>
      </w:r>
      <w:r>
        <w:rPr>
          <w:rStyle w:val="7"/>
          <w:rFonts w:hint="eastAsia" w:asciiTheme="minorEastAsia" w:hAnsiTheme="minorEastAsia" w:eastAsiaTheme="minorEastAsia" w:cstheme="minorEastAsia"/>
          <w:b w:val="0"/>
          <w:bCs w:val="0"/>
          <w:color w:val="auto"/>
          <w:sz w:val="24"/>
          <w:szCs w:val="24"/>
          <w:lang w:eastAsia="zh-CN"/>
        </w:rPr>
        <w:t>Hypo</w:t>
      </w:r>
      <w:r>
        <w:rPr>
          <w:rFonts w:hint="eastAsia" w:asciiTheme="minorEastAsia" w:hAnsiTheme="minorEastAsia" w:eastAsiaTheme="minorEastAsia" w:cstheme="minorEastAsia"/>
          <w:b w:val="0"/>
          <w:bCs w:val="0"/>
          <w:color w:val="auto"/>
          <w:sz w:val="24"/>
          <w:szCs w:val="24"/>
          <w:lang w:eastAsia="zh-CN"/>
        </w:rPr>
        <w:t>：甲状腺功能减退状态。状态判定基于FT3、FT4、TSH等指标及临床综合判断。</w:t>
      </w:r>
      <w:r>
        <w:rPr>
          <w:rFonts w:hint="eastAsia" w:asciiTheme="minorEastAsia" w:hAnsiTheme="minorEastAsia" w:eastAsiaTheme="minorEastAsia" w:cstheme="minorEastAsia"/>
          <w:b w:val="0"/>
          <w:bCs w:val="0"/>
          <w:color w:val="auto"/>
          <w:sz w:val="24"/>
          <w:szCs w:val="24"/>
        </w:rPr>
        <w:t>这些状态构成了纵向疾病轨迹的基础。若某一时间区间存在随访缺失，则该区间</w:t>
      </w:r>
      <w:r>
        <w:rPr>
          <w:rFonts w:hint="eastAsia" w:asciiTheme="minorEastAsia" w:hAnsiTheme="minorEastAsia" w:eastAsiaTheme="minorEastAsia" w:cstheme="minorEastAsia"/>
          <w:b w:val="0"/>
          <w:bCs w:val="0"/>
          <w:color w:val="auto"/>
          <w:sz w:val="24"/>
          <w:szCs w:val="24"/>
          <w:lang w:eastAsia="zh-CN"/>
        </w:rPr>
        <w:t>既</w:t>
      </w:r>
      <w:r>
        <w:rPr>
          <w:rStyle w:val="7"/>
          <w:rFonts w:hint="eastAsia" w:asciiTheme="minorEastAsia" w:hAnsiTheme="minorEastAsia" w:eastAsiaTheme="minorEastAsia" w:cstheme="minorEastAsia"/>
          <w:b w:val="0"/>
          <w:bCs w:val="0"/>
          <w:color w:val="auto"/>
          <w:sz w:val="24"/>
          <w:szCs w:val="24"/>
          <w:lang w:eastAsia="zh-CN"/>
        </w:rPr>
        <w:t>不计入状态转移分析</w:t>
      </w:r>
      <w:r>
        <w:rPr>
          <w:rFonts w:hint="eastAsia" w:asciiTheme="minorEastAsia" w:hAnsiTheme="minorEastAsia" w:eastAsiaTheme="minorEastAsia" w:cstheme="minorEastAsia"/>
          <w:b w:val="0"/>
          <w:bCs w:val="0"/>
          <w:color w:val="auto"/>
          <w:sz w:val="24"/>
          <w:szCs w:val="24"/>
          <w:lang w:eastAsia="zh-CN"/>
        </w:rPr>
        <w:t>，也</w:t>
      </w:r>
      <w:r>
        <w:rPr>
          <w:rStyle w:val="7"/>
          <w:rFonts w:hint="eastAsia" w:asciiTheme="minorEastAsia" w:hAnsiTheme="minorEastAsia" w:eastAsiaTheme="minorEastAsia" w:cstheme="minorEastAsia"/>
          <w:b w:val="0"/>
          <w:bCs w:val="0"/>
          <w:color w:val="auto"/>
          <w:sz w:val="24"/>
          <w:szCs w:val="24"/>
          <w:lang w:eastAsia="zh-CN"/>
        </w:rPr>
        <w:t>不进入风险集（risk set），</w:t>
      </w:r>
      <w:r>
        <w:rPr>
          <w:rFonts w:hint="eastAsia" w:asciiTheme="minorEastAsia" w:hAnsiTheme="minorEastAsia" w:eastAsiaTheme="minorEastAsia" w:cstheme="minorEastAsia"/>
          <w:b w:val="0"/>
          <w:bCs w:val="0"/>
          <w:color w:val="auto"/>
          <w:sz w:val="24"/>
          <w:szCs w:val="24"/>
        </w:rPr>
        <w:t>即不对缺失状态</w:t>
      </w:r>
      <w:r>
        <w:rPr>
          <w:rFonts w:hint="eastAsia" w:asciiTheme="minorEastAsia" w:hAnsiTheme="minorEastAsia" w:eastAsiaTheme="minorEastAsia" w:cstheme="minorEastAsia"/>
          <w:b w:val="0"/>
          <w:bCs w:val="0"/>
          <w:color w:val="auto"/>
          <w:sz w:val="24"/>
          <w:szCs w:val="24"/>
          <w:lang w:eastAsia="zh-CN"/>
        </w:rPr>
        <w:t>进行推断或插值，以避免因人为假设状态而导致偏倚。</w:t>
      </w:r>
    </w:p>
    <w:p w14:paraId="74BEE516">
      <w:pPr>
        <w:pStyle w:val="2"/>
        <w:keepNext w:val="0"/>
        <w:keepLines w:val="0"/>
        <w:widowControl/>
        <w:suppressLineNumbers w:val="0"/>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lang w:val="en-US" w:eastAsia="zh-CN"/>
        </w:rPr>
        <w:t>3.</w:t>
      </w:r>
      <w:r>
        <w:rPr>
          <w:rFonts w:hint="eastAsia" w:asciiTheme="minorEastAsia" w:hAnsiTheme="minorEastAsia" w:eastAsiaTheme="minorEastAsia" w:cstheme="minorEastAsia"/>
          <w:b w:val="0"/>
          <w:bCs w:val="0"/>
          <w:color w:val="auto"/>
          <w:sz w:val="24"/>
          <w:szCs w:val="24"/>
        </w:rPr>
        <w:t>临床预测目标</w:t>
      </w:r>
    </w:p>
    <w:p w14:paraId="68949466">
      <w:pPr>
        <w:pStyle w:val="4"/>
        <w:keepNext w:val="0"/>
        <w:keepLines w:val="0"/>
        <w:widowControl/>
        <w:suppressLineNumbers w:val="0"/>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rPr>
        <w:t>本研究设置两类预测任务。首先，进行</w:t>
      </w:r>
      <w:r>
        <w:rPr>
          <w:rStyle w:val="7"/>
          <w:rFonts w:hint="eastAsia" w:asciiTheme="minorEastAsia" w:hAnsiTheme="minorEastAsia" w:eastAsiaTheme="minorEastAsia" w:cstheme="minorEastAsia"/>
          <w:b w:val="0"/>
          <w:bCs w:val="0"/>
          <w:color w:val="auto"/>
          <w:sz w:val="24"/>
          <w:szCs w:val="24"/>
        </w:rPr>
        <w:t>固定时间点预测（fixed landmark prediction）</w:t>
      </w:r>
      <w:r>
        <w:rPr>
          <w:rFonts w:hint="eastAsia" w:asciiTheme="minorEastAsia" w:hAnsiTheme="minorEastAsia" w:eastAsiaTheme="minorEastAsia" w:cstheme="minorEastAsia"/>
          <w:b w:val="0"/>
          <w:bCs w:val="0"/>
          <w:color w:val="auto"/>
          <w:sz w:val="24"/>
          <w:szCs w:val="24"/>
        </w:rPr>
        <w:t>，用于评估早期治疗反应。在治疗后</w:t>
      </w:r>
      <w:r>
        <w:rPr>
          <w:rStyle w:val="7"/>
          <w:rFonts w:hint="eastAsia" w:asciiTheme="minorEastAsia" w:hAnsiTheme="minorEastAsia" w:eastAsiaTheme="minorEastAsia" w:cstheme="minorEastAsia"/>
          <w:b w:val="0"/>
          <w:bCs w:val="0"/>
          <w:color w:val="auto"/>
          <w:sz w:val="24"/>
          <w:szCs w:val="24"/>
        </w:rPr>
        <w:t>3个月和6个月</w:t>
      </w:r>
      <w:r>
        <w:rPr>
          <w:rFonts w:hint="eastAsia" w:asciiTheme="minorEastAsia" w:hAnsiTheme="minorEastAsia" w:eastAsiaTheme="minorEastAsia" w:cstheme="minorEastAsia"/>
          <w:b w:val="0"/>
          <w:bCs w:val="0"/>
          <w:color w:val="auto"/>
          <w:sz w:val="24"/>
          <w:szCs w:val="24"/>
        </w:rPr>
        <w:t xml:space="preserve">时进行状态分类（Hyper vs </w:t>
      </w:r>
      <w:r>
        <w:rPr>
          <w:rFonts w:hint="eastAsia" w:asciiTheme="minorEastAsia" w:hAnsiTheme="minorEastAsia" w:eastAsiaTheme="minorEastAsia" w:cstheme="minorEastAsia"/>
          <w:b w:val="0"/>
          <w:bCs w:val="0"/>
          <w:color w:val="auto"/>
          <w:sz w:val="24"/>
          <w:szCs w:val="24"/>
          <w:lang w:eastAsia="zh-CN"/>
        </w:rPr>
        <w:t>Non-Hyper</w:t>
      </w:r>
      <w:r>
        <w:rPr>
          <w:rFonts w:hint="eastAsia" w:asciiTheme="minorEastAsia" w:hAnsiTheme="minorEastAsia" w:eastAsiaTheme="minorEastAsia" w:cstheme="minorEastAsia"/>
          <w:b w:val="0"/>
          <w:bCs w:val="0"/>
          <w:color w:val="auto"/>
          <w:sz w:val="24"/>
          <w:szCs w:val="24"/>
        </w:rPr>
        <w:t>）。其次，采用</w:t>
      </w:r>
      <w:r>
        <w:rPr>
          <w:rStyle w:val="7"/>
          <w:rFonts w:hint="eastAsia" w:asciiTheme="minorEastAsia" w:hAnsiTheme="minorEastAsia" w:eastAsiaTheme="minorEastAsia" w:cstheme="minorEastAsia"/>
          <w:b w:val="0"/>
          <w:bCs w:val="0"/>
          <w:color w:val="auto"/>
          <w:sz w:val="24"/>
          <w:szCs w:val="24"/>
        </w:rPr>
        <w:t>滚动时间点预测（rolling landmark prediction）</w:t>
      </w:r>
      <w:r>
        <w:rPr>
          <w:rFonts w:hint="eastAsia" w:asciiTheme="minorEastAsia" w:hAnsiTheme="minorEastAsia" w:eastAsiaTheme="minorEastAsia" w:cstheme="minorEastAsia"/>
          <w:b w:val="0"/>
          <w:bCs w:val="0"/>
          <w:color w:val="auto"/>
          <w:sz w:val="24"/>
          <w:szCs w:val="24"/>
        </w:rPr>
        <w:t>构建动态复发预测模型。对于在时间点tk</w:t>
      </w:r>
      <w:r>
        <w:rPr>
          <w:rFonts w:hint="eastAsia" w:asciiTheme="minorEastAsia" w:hAnsiTheme="minorEastAsia" w:eastAsiaTheme="minorEastAsia" w:cstheme="minorEastAsia"/>
          <w:b w:val="0"/>
          <w:bCs w:val="0"/>
          <w:color w:val="auto"/>
          <w:sz w:val="24"/>
          <w:szCs w:val="24"/>
          <w:lang w:val="en-US" w:eastAsia="zh-CN"/>
        </w:rPr>
        <w:t>处</w:t>
      </w:r>
      <w:r>
        <w:rPr>
          <w:rFonts w:hint="eastAsia" w:asciiTheme="minorEastAsia" w:hAnsiTheme="minorEastAsia" w:eastAsiaTheme="minorEastAsia" w:cstheme="minorEastAsia"/>
          <w:b w:val="0"/>
          <w:bCs w:val="0"/>
          <w:color w:val="auto"/>
          <w:sz w:val="24"/>
          <w:szCs w:val="24"/>
        </w:rPr>
        <w:t>于</w:t>
      </w:r>
      <w:r>
        <w:rPr>
          <w:rStyle w:val="7"/>
          <w:rFonts w:hint="eastAsia" w:asciiTheme="minorEastAsia" w:hAnsiTheme="minorEastAsia" w:eastAsiaTheme="minorEastAsia" w:cstheme="minorEastAsia"/>
          <w:b w:val="0"/>
          <w:bCs w:val="0"/>
          <w:color w:val="auto"/>
          <w:sz w:val="24"/>
          <w:szCs w:val="24"/>
        </w:rPr>
        <w:t>Normal状态</w:t>
      </w:r>
      <w:r>
        <w:rPr>
          <w:rFonts w:hint="eastAsia" w:asciiTheme="minorEastAsia" w:hAnsiTheme="minorEastAsia" w:eastAsiaTheme="minorEastAsia" w:cstheme="minorEastAsia"/>
          <w:b w:val="0"/>
          <w:bCs w:val="0"/>
          <w:color w:val="auto"/>
          <w:sz w:val="24"/>
          <w:szCs w:val="24"/>
        </w:rPr>
        <w:t>的患者，模型预测其在下一时间区间tk+1是否发生复发。复发定义为</w:t>
      </w:r>
      <w:r>
        <w:rPr>
          <w:rStyle w:val="7"/>
          <w:rFonts w:hint="eastAsia" w:asciiTheme="minorEastAsia" w:hAnsiTheme="minorEastAsia" w:eastAsiaTheme="minorEastAsia" w:cstheme="minorEastAsia"/>
          <w:b w:val="0"/>
          <w:bCs w:val="0"/>
          <w:color w:val="auto"/>
          <w:sz w:val="24"/>
          <w:szCs w:val="24"/>
        </w:rPr>
        <w:t>Normal→Hyper</w:t>
      </w:r>
      <w:r>
        <w:rPr>
          <w:rFonts w:hint="eastAsia" w:asciiTheme="minorEastAsia" w:hAnsiTheme="minorEastAsia" w:eastAsiaTheme="minorEastAsia" w:cstheme="minorEastAsia"/>
          <w:b w:val="0"/>
          <w:bCs w:val="0"/>
          <w:color w:val="auto"/>
          <w:sz w:val="24"/>
          <w:szCs w:val="24"/>
        </w:rPr>
        <w:t>的状态转移。</w:t>
      </w:r>
    </w:p>
    <w:p w14:paraId="56C39026">
      <w:pPr>
        <w:pStyle w:val="4"/>
        <w:keepNext w:val="0"/>
        <w:keepLines w:val="0"/>
        <w:widowControl/>
        <w:suppressLineNumbers w:val="0"/>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rPr>
        <w:t>需要强调的是，本研究关注的是</w:t>
      </w:r>
      <w:r>
        <w:rPr>
          <w:rStyle w:val="7"/>
          <w:rFonts w:hint="eastAsia" w:asciiTheme="minorEastAsia" w:hAnsiTheme="minorEastAsia" w:eastAsiaTheme="minorEastAsia" w:cstheme="minorEastAsia"/>
          <w:b w:val="0"/>
          <w:bCs w:val="0"/>
          <w:color w:val="auto"/>
          <w:sz w:val="24"/>
          <w:szCs w:val="24"/>
        </w:rPr>
        <w:t>任意一次复发转移（any relapse transition）</w:t>
      </w:r>
      <w:r>
        <w:rPr>
          <w:rFonts w:hint="eastAsia" w:asciiTheme="minorEastAsia" w:hAnsiTheme="minorEastAsia" w:eastAsiaTheme="minorEastAsia" w:cstheme="minorEastAsia"/>
          <w:b w:val="0"/>
          <w:bCs w:val="0"/>
          <w:color w:val="auto"/>
          <w:sz w:val="24"/>
          <w:szCs w:val="24"/>
        </w:rPr>
        <w:t xml:space="preserve">，而非仅关注首次复发。由于患者在随访过程中可能经历多次复发与缓解，每一次 </w:t>
      </w:r>
      <w:r>
        <w:rPr>
          <w:rStyle w:val="7"/>
          <w:rFonts w:hint="eastAsia" w:asciiTheme="minorEastAsia" w:hAnsiTheme="minorEastAsia" w:eastAsiaTheme="minorEastAsia" w:cstheme="minorEastAsia"/>
          <w:b w:val="0"/>
          <w:bCs w:val="0"/>
          <w:color w:val="auto"/>
          <w:sz w:val="24"/>
          <w:szCs w:val="24"/>
        </w:rPr>
        <w:t>Normal→Hyper</w:t>
      </w:r>
      <w:r>
        <w:rPr>
          <w:rFonts w:hint="eastAsia" w:asciiTheme="minorEastAsia" w:hAnsiTheme="minorEastAsia" w:eastAsiaTheme="minorEastAsia" w:cstheme="minorEastAsia"/>
          <w:b w:val="0"/>
          <w:bCs w:val="0"/>
          <w:color w:val="auto"/>
          <w:sz w:val="24"/>
          <w:szCs w:val="24"/>
        </w:rPr>
        <w:t>的转移均被视为独立事件并纳入动态预测分析。</w:t>
      </w:r>
    </w:p>
    <w:p w14:paraId="0374C9BD">
      <w:pPr>
        <w:pStyle w:val="2"/>
        <w:keepNext w:val="0"/>
        <w:keepLines w:val="0"/>
        <w:widowControl/>
        <w:suppressLineNumbers w:val="0"/>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lang w:val="en-US" w:eastAsia="zh-CN"/>
        </w:rPr>
        <w:t>4.</w:t>
      </w:r>
      <w:r>
        <w:rPr>
          <w:rFonts w:hint="eastAsia" w:asciiTheme="minorEastAsia" w:hAnsiTheme="minorEastAsia" w:eastAsiaTheme="minorEastAsia" w:cstheme="minorEastAsia"/>
          <w:b w:val="0"/>
          <w:bCs w:val="0"/>
          <w:color w:val="auto"/>
          <w:sz w:val="24"/>
          <w:szCs w:val="24"/>
        </w:rPr>
        <w:t>Long-format 数据结构</w:t>
      </w:r>
    </w:p>
    <w:p w14:paraId="25B166C8">
      <w:pPr>
        <w:pStyle w:val="4"/>
        <w:keepNext w:val="0"/>
        <w:keepLines w:val="0"/>
        <w:widowControl/>
        <w:suppressLineNumbers w:val="0"/>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rPr>
        <w:t xml:space="preserve">为实现动态预测，本研究将纵向随访数据转换为 </w:t>
      </w:r>
      <w:r>
        <w:rPr>
          <w:rStyle w:val="7"/>
          <w:rFonts w:hint="eastAsia" w:asciiTheme="minorEastAsia" w:hAnsiTheme="minorEastAsia" w:eastAsiaTheme="minorEastAsia" w:cstheme="minorEastAsia"/>
          <w:b w:val="0"/>
          <w:bCs w:val="0"/>
          <w:color w:val="auto"/>
          <w:sz w:val="24"/>
          <w:szCs w:val="24"/>
        </w:rPr>
        <w:t>person-period</w:t>
      </w:r>
      <w:r>
        <w:rPr>
          <w:rStyle w:val="7"/>
          <w:rFonts w:hint="eastAsia" w:asciiTheme="minorEastAsia" w:hAnsiTheme="minorEastAsia" w:cstheme="minorEastAsia"/>
          <w:b w:val="0"/>
          <w:bCs w:val="0"/>
          <w:color w:val="auto"/>
          <w:sz w:val="24"/>
          <w:szCs w:val="24"/>
          <w:lang w:eastAsia="zh-CN"/>
        </w:rPr>
        <w:t>（</w:t>
      </w:r>
      <w:r>
        <w:rPr>
          <w:rStyle w:val="7"/>
          <w:rFonts w:hint="eastAsia" w:asciiTheme="minorEastAsia" w:hAnsiTheme="minorEastAsia" w:cstheme="minorEastAsia"/>
          <w:b w:val="0"/>
          <w:bCs w:val="0"/>
          <w:color w:val="auto"/>
          <w:sz w:val="24"/>
          <w:szCs w:val="24"/>
          <w:lang w:val="en-US" w:eastAsia="zh-CN"/>
        </w:rPr>
        <w:t>患者-区间</w:t>
      </w:r>
      <w:r>
        <w:rPr>
          <w:rStyle w:val="7"/>
          <w:rFonts w:hint="eastAsia" w:asciiTheme="minorEastAsia" w:hAnsiTheme="minorEastAsia" w:cstheme="minorEastAsia"/>
          <w:b w:val="0"/>
          <w:bCs w:val="0"/>
          <w:color w:val="auto"/>
          <w:sz w:val="24"/>
          <w:szCs w:val="24"/>
          <w:lang w:eastAsia="zh-CN"/>
        </w:rPr>
        <w:t>）</w:t>
      </w:r>
      <w:r>
        <w:rPr>
          <w:rStyle w:val="7"/>
          <w:rFonts w:hint="eastAsia" w:asciiTheme="minorEastAsia" w:hAnsiTheme="minorEastAsia" w:eastAsiaTheme="minorEastAsia" w:cstheme="minorEastAsia"/>
          <w:b w:val="0"/>
          <w:bCs w:val="0"/>
          <w:color w:val="auto"/>
          <w:sz w:val="24"/>
          <w:szCs w:val="24"/>
        </w:rPr>
        <w:t xml:space="preserve"> 长格式数据结构</w:t>
      </w:r>
      <w:r>
        <w:rPr>
          <w:rFonts w:hint="eastAsia" w:asciiTheme="minorEastAsia" w:hAnsiTheme="minorEastAsia" w:eastAsiaTheme="minorEastAsia" w:cstheme="minorEastAsia"/>
          <w:b w:val="0"/>
          <w:bCs w:val="0"/>
          <w:color w:val="auto"/>
          <w:sz w:val="24"/>
          <w:szCs w:val="24"/>
        </w:rPr>
        <w:t>。每一条记录对应一个时间区间：</w:t>
      </w:r>
      <w:r>
        <w:rPr>
          <w:rFonts w:hint="eastAsia" w:asciiTheme="minorEastAsia" w:hAnsiTheme="minorEastAsia" w:eastAsiaTheme="minorEastAsia" w:cstheme="minorEastAsia"/>
          <w:b w:val="0"/>
          <w:bCs w:val="0"/>
          <w:color w:val="auto"/>
          <w:kern w:val="0"/>
          <w:sz w:val="24"/>
          <w:szCs w:val="24"/>
          <w:lang w:val="en-US" w:eastAsia="zh-CN" w:bidi="ar"/>
        </w:rPr>
        <w:t>(tk,tk+1)</w:t>
      </w:r>
      <w:r>
        <w:rPr>
          <w:rFonts w:hint="eastAsia" w:asciiTheme="minorEastAsia" w:hAnsiTheme="minorEastAsia" w:cstheme="minorEastAsia"/>
          <w:b w:val="0"/>
          <w:bCs w:val="0"/>
          <w:color w:val="auto"/>
          <w:kern w:val="0"/>
          <w:sz w:val="24"/>
          <w:szCs w:val="24"/>
          <w:lang w:val="en-US" w:eastAsia="zh-CN" w:bidi="ar"/>
        </w:rPr>
        <w:t>。</w:t>
      </w:r>
      <w:r>
        <w:rPr>
          <w:rFonts w:hint="eastAsia" w:asciiTheme="minorEastAsia" w:hAnsiTheme="minorEastAsia" w:cstheme="minorEastAsia"/>
          <w:b w:val="0"/>
          <w:bCs w:val="0"/>
          <w:color w:val="auto"/>
          <w:sz w:val="24"/>
          <w:szCs w:val="24"/>
          <w:lang w:val="en-US" w:eastAsia="zh-CN"/>
        </w:rPr>
        <w:t>若</w:t>
      </w:r>
      <w:r>
        <w:rPr>
          <w:rFonts w:hint="eastAsia" w:asciiTheme="minorEastAsia" w:hAnsiTheme="minorEastAsia" w:eastAsiaTheme="minorEastAsia" w:cstheme="minorEastAsia"/>
          <w:b w:val="0"/>
          <w:bCs w:val="0"/>
          <w:color w:val="auto"/>
          <w:sz w:val="24"/>
          <w:szCs w:val="24"/>
        </w:rPr>
        <w:t>满足</w:t>
      </w:r>
      <w:r>
        <w:rPr>
          <w:rFonts w:hint="eastAsia" w:asciiTheme="minorEastAsia" w:hAnsiTheme="minorEastAsia" w:eastAsiaTheme="minorEastAsia" w:cstheme="minorEastAsia"/>
          <w:b w:val="0"/>
          <w:bCs w:val="0"/>
          <w:color w:val="auto"/>
          <w:kern w:val="0"/>
          <w:sz w:val="24"/>
          <w:szCs w:val="24"/>
          <w:lang w:val="en-US" w:eastAsia="zh-CN" w:bidi="ar"/>
        </w:rPr>
        <w:t>Sk=Normal</w:t>
      </w:r>
      <w:r>
        <w:rPr>
          <w:rFonts w:hint="eastAsia" w:asciiTheme="minorEastAsia" w:hAnsiTheme="minorEastAsia" w:cstheme="minorEastAsia"/>
          <w:b w:val="0"/>
          <w:bCs w:val="0"/>
          <w:color w:val="auto"/>
          <w:kern w:val="0"/>
          <w:sz w:val="24"/>
          <w:szCs w:val="24"/>
          <w:lang w:val="en-US" w:eastAsia="zh-CN" w:bidi="ar"/>
        </w:rPr>
        <w:t>，</w:t>
      </w:r>
      <w:r>
        <w:rPr>
          <w:rFonts w:hint="eastAsia" w:asciiTheme="minorEastAsia" w:hAnsiTheme="minorEastAsia" w:eastAsiaTheme="minorEastAsia" w:cstheme="minorEastAsia"/>
          <w:b w:val="0"/>
          <w:bCs w:val="0"/>
          <w:color w:val="auto"/>
          <w:sz w:val="24"/>
          <w:szCs w:val="24"/>
        </w:rPr>
        <w:t>即患者在该区间起始时处于</w:t>
      </w:r>
      <w:r>
        <w:rPr>
          <w:rStyle w:val="7"/>
          <w:rFonts w:hint="eastAsia" w:asciiTheme="minorEastAsia" w:hAnsiTheme="minorEastAsia" w:eastAsiaTheme="minorEastAsia" w:cstheme="minorEastAsia"/>
          <w:b w:val="0"/>
          <w:bCs w:val="0"/>
          <w:color w:val="auto"/>
          <w:sz w:val="24"/>
          <w:szCs w:val="24"/>
        </w:rPr>
        <w:t>Normal状态</w:t>
      </w:r>
      <w:r>
        <w:rPr>
          <w:rFonts w:hint="eastAsia" w:asciiTheme="minorEastAsia" w:hAnsiTheme="minorEastAsia" w:cstheme="minorEastAsia"/>
          <w:b w:val="0"/>
          <w:bCs w:val="0"/>
          <w:color w:val="auto"/>
          <w:sz w:val="24"/>
          <w:szCs w:val="24"/>
          <w:lang w:eastAsia="zh-CN"/>
        </w:rPr>
        <w:t>，</w:t>
      </w:r>
      <w:r>
        <w:rPr>
          <w:rFonts w:hint="eastAsia" w:asciiTheme="minorEastAsia" w:hAnsiTheme="minorEastAsia" w:cstheme="minorEastAsia"/>
          <w:b w:val="0"/>
          <w:bCs w:val="0"/>
          <w:color w:val="auto"/>
          <w:sz w:val="24"/>
          <w:szCs w:val="24"/>
          <w:lang w:val="en-US" w:eastAsia="zh-CN"/>
        </w:rPr>
        <w:t>并且</w:t>
      </w:r>
      <w:r>
        <w:rPr>
          <w:rFonts w:hint="eastAsia" w:asciiTheme="minorEastAsia" w:hAnsiTheme="minorEastAsia" w:eastAsiaTheme="minorEastAsia" w:cstheme="minorEastAsia"/>
          <w:b w:val="0"/>
          <w:bCs w:val="0"/>
          <w:color w:val="auto"/>
          <w:sz w:val="24"/>
          <w:szCs w:val="24"/>
        </w:rPr>
        <w:t>结局变量定义为</w:t>
      </w:r>
      <w:r>
        <w:rPr>
          <w:rFonts w:hint="eastAsia" w:asciiTheme="minorEastAsia" w:hAnsiTheme="minorEastAsia" w:eastAsiaTheme="minorEastAsia" w:cstheme="minorEastAsia"/>
          <w:b w:val="0"/>
          <w:bCs w:val="0"/>
          <w:color w:val="auto"/>
          <w:sz w:val="24"/>
          <w:szCs w:val="24"/>
          <w:highlight w:val="yellow"/>
        </w:rPr>
        <w:t>：</w:t>
      </w:r>
      <w:r>
        <w:rPr>
          <w:rFonts w:hint="eastAsia" w:asciiTheme="minorEastAsia" w:hAnsiTheme="minorEastAsia" w:eastAsiaTheme="minorEastAsia" w:cstheme="minorEastAsia"/>
          <w:b w:val="0"/>
          <w:bCs w:val="0"/>
          <w:color w:val="auto"/>
          <w:kern w:val="0"/>
          <w:sz w:val="24"/>
          <w:szCs w:val="24"/>
          <w:highlight w:val="yellow"/>
          <w:lang w:val="en-US" w:eastAsia="zh-CN" w:bidi="ar"/>
        </w:rPr>
        <w:t>Yk=Sk+1=Hyper</w:t>
      </w:r>
      <w:r>
        <w:rPr>
          <w:rFonts w:hint="eastAsia" w:asciiTheme="minorEastAsia" w:hAnsiTheme="minorEastAsia" w:cstheme="minorEastAsia"/>
          <w:b w:val="0"/>
          <w:bCs w:val="0"/>
          <w:color w:val="auto"/>
          <w:kern w:val="0"/>
          <w:sz w:val="24"/>
          <w:szCs w:val="24"/>
          <w:lang w:val="en-US" w:eastAsia="zh-CN" w:bidi="ar"/>
        </w:rPr>
        <w:t>，</w:t>
      </w:r>
      <w:r>
        <w:rPr>
          <w:rFonts w:hint="eastAsia" w:asciiTheme="minorEastAsia" w:hAnsiTheme="minorEastAsia" w:eastAsiaTheme="minorEastAsia" w:cstheme="minorEastAsia"/>
          <w:b w:val="0"/>
          <w:bCs w:val="0"/>
          <w:color w:val="auto"/>
          <w:sz w:val="24"/>
          <w:szCs w:val="24"/>
        </w:rPr>
        <w:t>即若患者在下一时间点进入Hyper状态，则认为该区间发生复发事件。该数据结构允许单个患者在不同随访区间贡献多个观测样本，同时确保仅在存在复发风险的时间区间进行建模。</w:t>
      </w:r>
    </w:p>
    <w:p w14:paraId="04F7B3BE">
      <w:pPr>
        <w:pStyle w:val="2"/>
        <w:keepNext w:val="0"/>
        <w:keepLines w:val="0"/>
        <w:widowControl/>
        <w:suppressLineNumbers w:val="0"/>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lang w:val="en-US" w:eastAsia="zh-CN"/>
        </w:rPr>
        <w:t>5.</w:t>
      </w:r>
      <w:r>
        <w:rPr>
          <w:rFonts w:hint="eastAsia" w:asciiTheme="minorEastAsia" w:hAnsiTheme="minorEastAsia" w:eastAsiaTheme="minorEastAsia" w:cstheme="minorEastAsia"/>
          <w:b w:val="0"/>
          <w:bCs w:val="0"/>
          <w:color w:val="auto"/>
          <w:sz w:val="24"/>
          <w:szCs w:val="24"/>
        </w:rPr>
        <w:t>预测变量</w:t>
      </w:r>
    </w:p>
    <w:p w14:paraId="4000B43E">
      <w:pPr>
        <w:pStyle w:val="4"/>
        <w:keepNext w:val="0"/>
        <w:keepLines w:val="0"/>
        <w:widowControl/>
        <w:suppressLineNumbers w:val="0"/>
        <w:rPr>
          <w:rFonts w:hint="eastAsia" w:asciiTheme="minorEastAsia" w:hAnsiTheme="minorEastAsia" w:eastAsiaTheme="minorEastAsia" w:cstheme="minorEastAsia"/>
          <w:b w:val="0"/>
          <w:bCs w:val="0"/>
          <w:color w:val="auto"/>
          <w:sz w:val="24"/>
          <w:szCs w:val="24"/>
          <w:lang w:eastAsia="zh-CN"/>
        </w:rPr>
      </w:pPr>
      <w:r>
        <w:rPr>
          <w:rFonts w:hint="eastAsia" w:asciiTheme="minorEastAsia" w:hAnsiTheme="minorEastAsia" w:eastAsiaTheme="minorEastAsia" w:cstheme="minorEastAsia"/>
          <w:b w:val="0"/>
          <w:bCs w:val="0"/>
          <w:color w:val="auto"/>
          <w:sz w:val="24"/>
          <w:szCs w:val="24"/>
        </w:rPr>
        <w:t>模型纳入三类预测变量。首先为</w:t>
      </w:r>
      <w:r>
        <w:rPr>
          <w:rStyle w:val="7"/>
          <w:rFonts w:hint="eastAsia" w:asciiTheme="minorEastAsia" w:hAnsiTheme="minorEastAsia" w:eastAsiaTheme="minorEastAsia" w:cstheme="minorEastAsia"/>
          <w:b w:val="0"/>
          <w:bCs w:val="0"/>
          <w:color w:val="auto"/>
          <w:sz w:val="24"/>
          <w:szCs w:val="24"/>
        </w:rPr>
        <w:t>基线变量</w:t>
      </w:r>
      <w:r>
        <w:rPr>
          <w:rFonts w:hint="eastAsia" w:asciiTheme="minorEastAsia" w:hAnsiTheme="minorEastAsia" w:eastAsiaTheme="minorEastAsia" w:cstheme="minorEastAsia"/>
          <w:b w:val="0"/>
          <w:bCs w:val="0"/>
          <w:color w:val="auto"/>
          <w:sz w:val="24"/>
          <w:szCs w:val="24"/>
        </w:rPr>
        <w:t>，包括人口学特征及治疗相关指标，例如：年龄</w:t>
      </w:r>
      <w:r>
        <w:rPr>
          <w:rFonts w:hint="eastAsia" w:asciiTheme="minorEastAsia" w:hAnsiTheme="minorEastAsia" w:eastAsiaTheme="minorEastAsia" w:cstheme="minorEastAsia"/>
          <w:b w:val="0"/>
          <w:bCs w:val="0"/>
          <w:color w:val="auto"/>
          <w:sz w:val="24"/>
          <w:szCs w:val="24"/>
          <w:lang w:eastAsia="zh-CN"/>
        </w:rPr>
        <w:t>、</w:t>
      </w:r>
      <w:r>
        <w:rPr>
          <w:rFonts w:hint="eastAsia" w:asciiTheme="minorEastAsia" w:hAnsiTheme="minorEastAsia" w:eastAsiaTheme="minorEastAsia" w:cstheme="minorEastAsia"/>
          <w:b w:val="0"/>
          <w:bCs w:val="0"/>
          <w:color w:val="auto"/>
          <w:sz w:val="24"/>
          <w:szCs w:val="24"/>
        </w:rPr>
        <w:t>性别</w:t>
      </w:r>
      <w:r>
        <w:rPr>
          <w:rFonts w:hint="eastAsia" w:asciiTheme="minorEastAsia" w:hAnsiTheme="minorEastAsia" w:eastAsiaTheme="minorEastAsia" w:cstheme="minorEastAsia"/>
          <w:b w:val="0"/>
          <w:bCs w:val="0"/>
          <w:color w:val="auto"/>
          <w:sz w:val="24"/>
          <w:szCs w:val="24"/>
          <w:lang w:eastAsia="zh-CN"/>
        </w:rPr>
        <w:t>、</w:t>
      </w:r>
      <w:r>
        <w:rPr>
          <w:rFonts w:hint="eastAsia" w:asciiTheme="minorEastAsia" w:hAnsiTheme="minorEastAsia" w:eastAsiaTheme="minorEastAsia" w:cstheme="minorEastAsia"/>
          <w:b w:val="0"/>
          <w:bCs w:val="0"/>
          <w:color w:val="auto"/>
          <w:sz w:val="24"/>
          <w:szCs w:val="24"/>
        </w:rPr>
        <w:t>基线甲状腺功能指标</w:t>
      </w:r>
      <w:r>
        <w:rPr>
          <w:rFonts w:hint="eastAsia" w:asciiTheme="minorEastAsia" w:hAnsiTheme="minorEastAsia" w:eastAsiaTheme="minorEastAsia" w:cstheme="minorEastAsia"/>
          <w:b w:val="0"/>
          <w:bCs w:val="0"/>
          <w:color w:val="auto"/>
          <w:sz w:val="24"/>
          <w:szCs w:val="24"/>
          <w:lang w:eastAsia="zh-CN"/>
        </w:rPr>
        <w:t>、</w:t>
      </w:r>
      <w:r>
        <w:rPr>
          <w:rFonts w:hint="eastAsia" w:asciiTheme="minorEastAsia" w:hAnsiTheme="minorEastAsia" w:eastAsiaTheme="minorEastAsia" w:cstheme="minorEastAsia"/>
          <w:b w:val="0"/>
          <w:bCs w:val="0"/>
          <w:color w:val="auto"/>
          <w:sz w:val="24"/>
          <w:szCs w:val="24"/>
        </w:rPr>
        <w:t>¹³¹I治疗剂量</w:t>
      </w:r>
      <w:r>
        <w:rPr>
          <w:rFonts w:hint="eastAsia" w:asciiTheme="minorEastAsia" w:hAnsiTheme="minorEastAsia" w:eastAsiaTheme="minorEastAsia" w:cstheme="minorEastAsia"/>
          <w:b w:val="0"/>
          <w:bCs w:val="0"/>
          <w:color w:val="auto"/>
          <w:sz w:val="24"/>
          <w:szCs w:val="24"/>
          <w:lang w:eastAsia="zh-CN"/>
        </w:rPr>
        <w:t>、</w:t>
      </w:r>
      <w:r>
        <w:rPr>
          <w:rFonts w:hint="eastAsia" w:asciiTheme="minorEastAsia" w:hAnsiTheme="minorEastAsia" w:eastAsiaTheme="minorEastAsia" w:cstheme="minorEastAsia"/>
          <w:b w:val="0"/>
          <w:bCs w:val="0"/>
          <w:color w:val="auto"/>
          <w:sz w:val="24"/>
          <w:szCs w:val="24"/>
        </w:rPr>
        <w:t>甲状腺抗体水平</w:t>
      </w:r>
      <w:r>
        <w:rPr>
          <w:rFonts w:hint="eastAsia" w:asciiTheme="minorEastAsia" w:hAnsiTheme="minorEastAsia" w:eastAsiaTheme="minorEastAsia" w:cstheme="minorEastAsia"/>
          <w:b w:val="0"/>
          <w:bCs w:val="0"/>
          <w:color w:val="auto"/>
          <w:sz w:val="24"/>
          <w:szCs w:val="24"/>
          <w:lang w:eastAsia="zh-CN"/>
        </w:rPr>
        <w:t>、</w:t>
      </w:r>
      <w:r>
        <w:rPr>
          <w:rFonts w:hint="eastAsia" w:asciiTheme="minorEastAsia" w:hAnsiTheme="minorEastAsia" w:eastAsiaTheme="minorEastAsia" w:cstheme="minorEastAsia"/>
          <w:b w:val="0"/>
          <w:bCs w:val="0"/>
          <w:color w:val="auto"/>
          <w:sz w:val="24"/>
          <w:szCs w:val="24"/>
        </w:rPr>
        <w:t>放射性碘摄取率</w:t>
      </w:r>
      <w:r>
        <w:rPr>
          <w:rFonts w:hint="eastAsia" w:asciiTheme="minorEastAsia" w:hAnsiTheme="minorEastAsia" w:eastAsiaTheme="minorEastAsia" w:cstheme="minorEastAsia"/>
          <w:b w:val="0"/>
          <w:bCs w:val="0"/>
          <w:color w:val="auto"/>
          <w:sz w:val="24"/>
          <w:szCs w:val="24"/>
          <w:lang w:eastAsia="zh-CN"/>
        </w:rPr>
        <w:t>。</w:t>
      </w:r>
      <w:r>
        <w:rPr>
          <w:rFonts w:hint="eastAsia" w:asciiTheme="minorEastAsia" w:hAnsiTheme="minorEastAsia" w:eastAsiaTheme="minorEastAsia" w:cstheme="minorEastAsia"/>
          <w:b w:val="0"/>
          <w:bCs w:val="0"/>
          <w:color w:val="auto"/>
          <w:sz w:val="24"/>
          <w:szCs w:val="24"/>
        </w:rPr>
        <w:t>其次为</w:t>
      </w:r>
      <w:r>
        <w:rPr>
          <w:rStyle w:val="7"/>
          <w:rFonts w:hint="eastAsia" w:asciiTheme="minorEastAsia" w:hAnsiTheme="minorEastAsia" w:eastAsiaTheme="minorEastAsia" w:cstheme="minorEastAsia"/>
          <w:b w:val="0"/>
          <w:bCs w:val="0"/>
          <w:color w:val="auto"/>
          <w:sz w:val="24"/>
          <w:szCs w:val="24"/>
        </w:rPr>
        <w:t>当前实验室指标</w:t>
      </w:r>
      <w:r>
        <w:rPr>
          <w:rFonts w:hint="eastAsia" w:asciiTheme="minorEastAsia" w:hAnsiTheme="minorEastAsia" w:eastAsiaTheme="minorEastAsia" w:cstheme="minorEastAsia"/>
          <w:b w:val="0"/>
          <w:bCs w:val="0"/>
          <w:color w:val="auto"/>
          <w:sz w:val="24"/>
          <w:szCs w:val="24"/>
        </w:rPr>
        <w:t>，即时间点tk时可获得的指标，包括</w:t>
      </w:r>
      <w:r>
        <w:rPr>
          <w:rFonts w:hint="eastAsia" w:asciiTheme="minorEastAsia" w:hAnsiTheme="minorEastAsia" w:eastAsiaTheme="minorEastAsia" w:cstheme="minorEastAsia"/>
          <w:b w:val="0"/>
          <w:bCs w:val="0"/>
          <w:color w:val="auto"/>
          <w:sz w:val="24"/>
          <w:szCs w:val="24"/>
          <w:lang w:eastAsia="zh-CN"/>
        </w:rPr>
        <w:t>：</w:t>
      </w:r>
      <w:r>
        <w:rPr>
          <w:rFonts w:hint="eastAsia" w:asciiTheme="minorEastAsia" w:hAnsiTheme="minorEastAsia" w:eastAsiaTheme="minorEastAsia" w:cstheme="minorEastAsia"/>
          <w:b w:val="0"/>
          <w:bCs w:val="0"/>
          <w:color w:val="auto"/>
          <w:sz w:val="24"/>
          <w:szCs w:val="24"/>
        </w:rPr>
        <w:t>FT3</w:t>
      </w:r>
      <w:r>
        <w:rPr>
          <w:rFonts w:hint="eastAsia" w:asciiTheme="minorEastAsia" w:hAnsiTheme="minorEastAsia" w:eastAsiaTheme="minorEastAsia" w:cstheme="minorEastAsia"/>
          <w:b w:val="0"/>
          <w:bCs w:val="0"/>
          <w:color w:val="auto"/>
          <w:sz w:val="24"/>
          <w:szCs w:val="24"/>
          <w:lang w:eastAsia="zh-CN"/>
        </w:rPr>
        <w:t>、</w:t>
      </w:r>
      <w:r>
        <w:rPr>
          <w:rFonts w:hint="eastAsia" w:asciiTheme="minorEastAsia" w:hAnsiTheme="minorEastAsia" w:eastAsiaTheme="minorEastAsia" w:cstheme="minorEastAsia"/>
          <w:b w:val="0"/>
          <w:bCs w:val="0"/>
          <w:color w:val="auto"/>
          <w:sz w:val="24"/>
          <w:szCs w:val="24"/>
        </w:rPr>
        <w:t>FT4</w:t>
      </w:r>
      <w:r>
        <w:rPr>
          <w:rFonts w:hint="eastAsia" w:asciiTheme="minorEastAsia" w:hAnsiTheme="minorEastAsia" w:eastAsiaTheme="minorEastAsia" w:cstheme="minorEastAsia"/>
          <w:b w:val="0"/>
          <w:bCs w:val="0"/>
          <w:color w:val="auto"/>
          <w:sz w:val="24"/>
          <w:szCs w:val="24"/>
          <w:lang w:eastAsia="zh-CN"/>
        </w:rPr>
        <w:t>、</w:t>
      </w:r>
      <w:r>
        <w:rPr>
          <w:rFonts w:hint="eastAsia" w:asciiTheme="minorEastAsia" w:hAnsiTheme="minorEastAsia" w:eastAsiaTheme="minorEastAsia" w:cstheme="minorEastAsia"/>
          <w:b w:val="0"/>
          <w:bCs w:val="0"/>
          <w:color w:val="auto"/>
          <w:sz w:val="24"/>
          <w:szCs w:val="24"/>
        </w:rPr>
        <w:t>TSH</w:t>
      </w:r>
      <w:r>
        <w:rPr>
          <w:rFonts w:hint="eastAsia" w:asciiTheme="minorEastAsia" w:hAnsiTheme="minorEastAsia" w:eastAsiaTheme="minorEastAsia" w:cstheme="minorEastAsia"/>
          <w:b w:val="0"/>
          <w:bCs w:val="0"/>
          <w:i w:val="0"/>
          <w:iCs w:val="0"/>
          <w:color w:val="auto"/>
          <w:kern w:val="2"/>
          <w:sz w:val="24"/>
          <w:szCs w:val="24"/>
          <w:lang w:val="en-US" w:eastAsia="zh-CN" w:bidi="ar-SA"/>
        </w:rPr>
        <w:t>及相关血清学指标</w:t>
      </w:r>
      <w:r>
        <w:rPr>
          <w:rFonts w:hint="eastAsia" w:asciiTheme="minorEastAsia" w:hAnsiTheme="minorEastAsia" w:eastAsiaTheme="minorEastAsia" w:cstheme="minorEastAsia"/>
          <w:b w:val="0"/>
          <w:bCs w:val="0"/>
          <w:color w:val="auto"/>
          <w:sz w:val="24"/>
          <w:szCs w:val="24"/>
          <w:lang w:eastAsia="zh-CN"/>
        </w:rPr>
        <w:t>。</w:t>
      </w:r>
      <w:r>
        <w:rPr>
          <w:rFonts w:hint="eastAsia" w:asciiTheme="minorEastAsia" w:hAnsiTheme="minorEastAsia" w:eastAsiaTheme="minorEastAsia" w:cstheme="minorEastAsia"/>
          <w:b w:val="0"/>
          <w:bCs w:val="0"/>
          <w:color w:val="auto"/>
          <w:sz w:val="24"/>
          <w:szCs w:val="24"/>
        </w:rPr>
        <w:t>此外，为刻画甲状腺功能随时间变化的动态模式，还构建了</w:t>
      </w:r>
      <w:r>
        <w:rPr>
          <w:rStyle w:val="7"/>
          <w:rFonts w:hint="eastAsia" w:asciiTheme="minorEastAsia" w:hAnsiTheme="minorEastAsia" w:eastAsiaTheme="minorEastAsia" w:cstheme="minorEastAsia"/>
          <w:b w:val="0"/>
          <w:bCs w:val="0"/>
          <w:color w:val="auto"/>
          <w:sz w:val="24"/>
          <w:szCs w:val="24"/>
        </w:rPr>
        <w:t>纵向时间特征</w:t>
      </w:r>
      <w:r>
        <w:rPr>
          <w:rFonts w:hint="eastAsia" w:asciiTheme="minorEastAsia" w:hAnsiTheme="minorEastAsia" w:eastAsiaTheme="minorEastAsia" w:cstheme="minorEastAsia"/>
          <w:b w:val="0"/>
          <w:bCs w:val="0"/>
          <w:color w:val="auto"/>
          <w:sz w:val="24"/>
          <w:szCs w:val="24"/>
        </w:rPr>
        <w:t>，包括：基线变化量</w:t>
      </w:r>
      <w:r>
        <w:rPr>
          <w:rFonts w:hint="eastAsia" w:asciiTheme="minorEastAsia" w:hAnsiTheme="minorEastAsia" w:eastAsiaTheme="minorEastAsia" w:cstheme="minorEastAsia"/>
          <w:b w:val="0"/>
          <w:bCs w:val="0"/>
          <w:color w:val="auto"/>
          <w:sz w:val="24"/>
          <w:szCs w:val="24"/>
          <w:lang w:eastAsia="zh-CN"/>
        </w:rPr>
        <w:t>、</w:t>
      </w:r>
      <w:r>
        <w:rPr>
          <w:rFonts w:hint="eastAsia" w:asciiTheme="minorEastAsia" w:hAnsiTheme="minorEastAsia" w:eastAsiaTheme="minorEastAsia" w:cstheme="minorEastAsia"/>
          <w:b w:val="0"/>
          <w:bCs w:val="0"/>
          <w:color w:val="auto"/>
          <w:sz w:val="24"/>
          <w:szCs w:val="24"/>
        </w:rPr>
        <w:t>相邻随访时间点差值（实验室指标动量）</w:t>
      </w:r>
      <w:r>
        <w:rPr>
          <w:rFonts w:hint="eastAsia" w:asciiTheme="minorEastAsia" w:hAnsiTheme="minorEastAsia" w:eastAsiaTheme="minorEastAsia" w:cstheme="minorEastAsia"/>
          <w:b w:val="0"/>
          <w:bCs w:val="0"/>
          <w:color w:val="auto"/>
          <w:sz w:val="24"/>
          <w:szCs w:val="24"/>
          <w:lang w:eastAsia="zh-CN"/>
        </w:rPr>
        <w:t>、</w:t>
      </w:r>
      <w:r>
        <w:rPr>
          <w:rFonts w:hint="eastAsia" w:asciiTheme="minorEastAsia" w:hAnsiTheme="minorEastAsia" w:eastAsiaTheme="minorEastAsia" w:cstheme="minorEastAsia"/>
          <w:b w:val="0"/>
          <w:bCs w:val="0"/>
          <w:color w:val="auto"/>
          <w:sz w:val="24"/>
          <w:szCs w:val="24"/>
        </w:rPr>
        <w:t>既往正常状态持续时间</w:t>
      </w:r>
      <w:r>
        <w:rPr>
          <w:rFonts w:hint="eastAsia" w:asciiTheme="minorEastAsia" w:hAnsiTheme="minorEastAsia" w:eastAsiaTheme="minorEastAsia" w:cstheme="minorEastAsia"/>
          <w:b w:val="0"/>
          <w:bCs w:val="0"/>
          <w:color w:val="auto"/>
          <w:sz w:val="24"/>
          <w:szCs w:val="24"/>
          <w:lang w:eastAsia="zh-CN"/>
        </w:rPr>
        <w:t>、</w:t>
      </w:r>
      <w:r>
        <w:rPr>
          <w:rFonts w:hint="eastAsia" w:asciiTheme="minorEastAsia" w:hAnsiTheme="minorEastAsia" w:eastAsiaTheme="minorEastAsia" w:cstheme="minorEastAsia"/>
          <w:b w:val="0"/>
          <w:bCs w:val="0"/>
          <w:color w:val="auto"/>
          <w:sz w:val="24"/>
          <w:szCs w:val="24"/>
        </w:rPr>
        <w:t>随访区间指示变量</w:t>
      </w:r>
      <w:r>
        <w:rPr>
          <w:rFonts w:hint="eastAsia" w:asciiTheme="minorEastAsia" w:hAnsiTheme="minorEastAsia" w:eastAsiaTheme="minorEastAsia" w:cstheme="minorEastAsia"/>
          <w:b w:val="0"/>
          <w:bCs w:val="0"/>
          <w:color w:val="auto"/>
          <w:sz w:val="24"/>
          <w:szCs w:val="24"/>
          <w:lang w:eastAsia="zh-CN"/>
        </w:rPr>
        <w:t>（</w:t>
      </w:r>
      <w:r>
        <w:rPr>
          <w:rFonts w:hint="eastAsia" w:asciiTheme="minorEastAsia" w:hAnsiTheme="minorEastAsia" w:cstheme="minorEastAsia"/>
          <w:b w:val="0"/>
          <w:bCs w:val="0"/>
          <w:i w:val="0"/>
          <w:iCs w:val="0"/>
          <w:color w:val="auto"/>
          <w:kern w:val="2"/>
          <w:sz w:val="24"/>
          <w:szCs w:val="24"/>
          <w:lang w:val="en-US" w:eastAsia="zh-CN" w:bidi="ar-SA"/>
        </w:rPr>
        <w:t>即</w:t>
      </w:r>
      <w:r>
        <w:rPr>
          <w:rFonts w:hint="eastAsia" w:asciiTheme="minorEastAsia" w:hAnsiTheme="minorEastAsia" w:eastAsiaTheme="minorEastAsia" w:cstheme="minorEastAsia"/>
          <w:b w:val="0"/>
          <w:bCs w:val="0"/>
          <w:i w:val="0"/>
          <w:iCs w:val="0"/>
          <w:color w:val="auto"/>
          <w:kern w:val="2"/>
          <w:sz w:val="24"/>
          <w:szCs w:val="24"/>
          <w:lang w:val="en-US" w:eastAsia="zh-CN" w:bidi="ar-SA"/>
        </w:rPr>
        <w:t>0–1月、1–3月、3–6月、6–12月、12–18月、18–24月）、</w:t>
      </w:r>
      <w:r>
        <w:rPr>
          <w:rFonts w:hint="eastAsia" w:asciiTheme="minorEastAsia" w:hAnsiTheme="minorEastAsia" w:eastAsiaTheme="minorEastAsia" w:cstheme="minorEastAsia"/>
          <w:b w:val="0"/>
          <w:bCs w:val="0"/>
          <w:color w:val="auto"/>
          <w:sz w:val="24"/>
          <w:szCs w:val="24"/>
        </w:rPr>
        <w:t>上一时间点状态</w:t>
      </w:r>
      <w:r>
        <w:rPr>
          <w:rFonts w:hint="eastAsia" w:asciiTheme="minorEastAsia" w:hAnsiTheme="minorEastAsia" w:eastAsiaTheme="minorEastAsia" w:cstheme="minorEastAsia"/>
          <w:b w:val="0"/>
          <w:bCs w:val="0"/>
          <w:i w:val="0"/>
          <w:iCs w:val="0"/>
          <w:color w:val="auto"/>
          <w:kern w:val="2"/>
          <w:sz w:val="24"/>
          <w:szCs w:val="24"/>
          <w:lang w:val="en-US" w:eastAsia="zh-CN" w:bidi="ar-SA"/>
        </w:rPr>
        <w:t>用于表示上一时间点患者的甲状腺功能状态</w:t>
      </w:r>
      <w:r>
        <w:rPr>
          <w:rFonts w:hint="eastAsia" w:asciiTheme="minorEastAsia" w:hAnsiTheme="minorEastAsia" w:eastAsiaTheme="minorEastAsia" w:cstheme="minorEastAsia"/>
          <w:b w:val="0"/>
          <w:bCs w:val="0"/>
          <w:color w:val="auto"/>
          <w:sz w:val="24"/>
          <w:szCs w:val="24"/>
        </w:rPr>
        <w:t>）</w:t>
      </w:r>
      <w:r>
        <w:rPr>
          <w:rFonts w:hint="eastAsia" w:asciiTheme="minorEastAsia" w:hAnsiTheme="minorEastAsia" w:eastAsiaTheme="minorEastAsia" w:cstheme="minorEastAsia"/>
          <w:b w:val="0"/>
          <w:bCs w:val="0"/>
          <w:color w:val="auto"/>
          <w:sz w:val="24"/>
          <w:szCs w:val="24"/>
          <w:lang w:eastAsia="zh-CN"/>
        </w:rPr>
        <w:t>。</w:t>
      </w:r>
    </w:p>
    <w:p w14:paraId="4215AA9E">
      <w:pPr>
        <w:pStyle w:val="2"/>
        <w:keepNext w:val="0"/>
        <w:keepLines w:val="0"/>
        <w:widowControl/>
        <w:suppressLineNumbers w:val="0"/>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lang w:val="en-US" w:eastAsia="zh-CN"/>
        </w:rPr>
        <w:t>6.</w:t>
      </w:r>
      <w:r>
        <w:rPr>
          <w:rFonts w:hint="eastAsia" w:asciiTheme="minorEastAsia" w:hAnsiTheme="minorEastAsia" w:eastAsiaTheme="minorEastAsia" w:cstheme="minorEastAsia"/>
          <w:b w:val="0"/>
          <w:bCs w:val="0"/>
          <w:color w:val="auto"/>
          <w:sz w:val="24"/>
          <w:szCs w:val="24"/>
        </w:rPr>
        <w:t>缺失数据处理与时间安全预处理</w:t>
      </w:r>
    </w:p>
    <w:p w14:paraId="603AF8BE">
      <w:pPr>
        <w:pStyle w:val="4"/>
        <w:keepNext w:val="0"/>
        <w:keepLines w:val="0"/>
        <w:widowControl/>
        <w:suppressLineNumbers w:val="0"/>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rPr>
        <w:t>缺失数据采用</w:t>
      </w:r>
      <w:r>
        <w:rPr>
          <w:rStyle w:val="7"/>
          <w:rFonts w:hint="eastAsia" w:asciiTheme="minorEastAsia" w:hAnsiTheme="minorEastAsia" w:eastAsiaTheme="minorEastAsia" w:cstheme="minorEastAsia"/>
          <w:b w:val="0"/>
          <w:bCs w:val="0"/>
          <w:color w:val="auto"/>
          <w:sz w:val="24"/>
          <w:szCs w:val="24"/>
        </w:rPr>
        <w:t>MissForest随机森林插补方法</w:t>
      </w:r>
      <w:r>
        <w:rPr>
          <w:rFonts w:hint="eastAsia" w:asciiTheme="minorEastAsia" w:hAnsiTheme="minorEastAsia" w:eastAsiaTheme="minorEastAsia" w:cstheme="minorEastAsia"/>
          <w:b w:val="0"/>
          <w:bCs w:val="0"/>
          <w:color w:val="auto"/>
          <w:sz w:val="24"/>
          <w:szCs w:val="24"/>
        </w:rPr>
        <w:t>进行处理。为避免信息泄露，所有数据预处理步骤均遵循</w:t>
      </w:r>
      <w:r>
        <w:rPr>
          <w:rStyle w:val="7"/>
          <w:rFonts w:hint="eastAsia" w:asciiTheme="minorEastAsia" w:hAnsiTheme="minorEastAsia" w:eastAsiaTheme="minorEastAsia" w:cstheme="minorEastAsia"/>
          <w:b w:val="0"/>
          <w:bCs w:val="0"/>
          <w:color w:val="auto"/>
          <w:sz w:val="24"/>
          <w:szCs w:val="24"/>
        </w:rPr>
        <w:t>时间安全（temporal-safe）策略</w:t>
      </w:r>
      <w:r>
        <w:rPr>
          <w:rFonts w:hint="eastAsia" w:asciiTheme="minorEastAsia" w:hAnsiTheme="minorEastAsia" w:eastAsiaTheme="minorEastAsia" w:cstheme="minorEastAsia"/>
          <w:b w:val="0"/>
          <w:bCs w:val="0"/>
          <w:color w:val="auto"/>
          <w:sz w:val="24"/>
          <w:szCs w:val="24"/>
        </w:rPr>
        <w:t xml:space="preserve">：首先在数据预处理之前进行训练集与测试集划分；缺失值插补模型仅在训练集上进行拟合；随后将训练好的插补模型应用于测试集。在预测 tk+1时，仅使用 </w:t>
      </w:r>
      <w:r>
        <w:rPr>
          <w:rStyle w:val="7"/>
          <w:rFonts w:hint="eastAsia" w:asciiTheme="minorEastAsia" w:hAnsiTheme="minorEastAsia" w:eastAsiaTheme="minorEastAsia" w:cstheme="minorEastAsia"/>
          <w:b w:val="0"/>
          <w:bCs w:val="0"/>
          <w:color w:val="auto"/>
          <w:sz w:val="24"/>
          <w:szCs w:val="24"/>
        </w:rPr>
        <w:t>不晚于</w:t>
      </w:r>
      <w:r>
        <w:rPr>
          <w:rFonts w:hint="eastAsia" w:asciiTheme="minorEastAsia" w:hAnsiTheme="minorEastAsia" w:eastAsiaTheme="minorEastAsia" w:cstheme="minorEastAsia"/>
          <w:b w:val="0"/>
          <w:bCs w:val="0"/>
          <w:color w:val="auto"/>
          <w:sz w:val="24"/>
          <w:szCs w:val="24"/>
        </w:rPr>
        <w:t>tk的信息进行特征构建和数据插补</w:t>
      </w:r>
      <w:r>
        <w:rPr>
          <w:rFonts w:hint="eastAsia" w:asciiTheme="minorEastAsia" w:hAnsiTheme="minorEastAsia" w:eastAsiaTheme="minorEastAsia" w:cstheme="minorEastAsia"/>
          <w:b w:val="0"/>
          <w:bCs w:val="0"/>
          <w:color w:val="auto"/>
          <w:sz w:val="24"/>
          <w:szCs w:val="24"/>
          <w:lang w:eastAsia="zh-CN"/>
        </w:rPr>
        <w:t>。</w:t>
      </w:r>
      <w:r>
        <w:rPr>
          <w:rFonts w:hint="eastAsia" w:asciiTheme="minorEastAsia" w:hAnsiTheme="minorEastAsia" w:eastAsiaTheme="minorEastAsia" w:cstheme="minorEastAsia"/>
          <w:b w:val="0"/>
          <w:bCs w:val="0"/>
          <w:color w:val="auto"/>
          <w:sz w:val="24"/>
          <w:szCs w:val="24"/>
        </w:rPr>
        <w:t>该策略遵循</w:t>
      </w:r>
      <w:r>
        <w:rPr>
          <w:rStyle w:val="7"/>
          <w:rFonts w:hint="eastAsia" w:asciiTheme="minorEastAsia" w:hAnsiTheme="minorEastAsia" w:eastAsiaTheme="minorEastAsia" w:cstheme="minorEastAsia"/>
          <w:b w:val="0"/>
          <w:bCs w:val="0"/>
          <w:color w:val="auto"/>
          <w:sz w:val="24"/>
          <w:szCs w:val="24"/>
        </w:rPr>
        <w:t>严格landmark原则（strict landmarking）</w:t>
      </w:r>
      <w:r>
        <w:rPr>
          <w:rFonts w:hint="eastAsia" w:asciiTheme="minorEastAsia" w:hAnsiTheme="minorEastAsia" w:eastAsiaTheme="minorEastAsia" w:cstheme="minorEastAsia"/>
          <w:b w:val="0"/>
          <w:bCs w:val="0"/>
          <w:color w:val="auto"/>
          <w:sz w:val="24"/>
          <w:szCs w:val="24"/>
        </w:rPr>
        <w:t>，保证预测过程符合真实临床情境。</w:t>
      </w:r>
    </w:p>
    <w:p w14:paraId="6E5DFB2F">
      <w:pPr>
        <w:pStyle w:val="2"/>
        <w:keepNext w:val="0"/>
        <w:keepLines w:val="0"/>
        <w:widowControl/>
        <w:suppressLineNumbers w:val="0"/>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lang w:val="en-US" w:eastAsia="zh-CN"/>
        </w:rPr>
        <w:t>7.</w:t>
      </w:r>
      <w:r>
        <w:rPr>
          <w:rFonts w:hint="eastAsia" w:asciiTheme="minorEastAsia" w:hAnsiTheme="minorEastAsia" w:eastAsiaTheme="minorEastAsia" w:cstheme="minorEastAsia"/>
          <w:b w:val="0"/>
          <w:bCs w:val="0"/>
          <w:color w:val="auto"/>
          <w:sz w:val="24"/>
          <w:szCs w:val="24"/>
        </w:rPr>
        <w:t>模型构建与验证</w:t>
      </w:r>
    </w:p>
    <w:p w14:paraId="4BDBD101">
      <w:pPr>
        <w:pStyle w:val="4"/>
        <w:keepNext w:val="0"/>
        <w:keepLines w:val="0"/>
        <w:widowControl/>
        <w:suppressLineNumbers w:val="0"/>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rPr>
        <w:t>为模拟真实临床应用场景，本研究采用</w:t>
      </w:r>
      <w:r>
        <w:rPr>
          <w:rStyle w:val="7"/>
          <w:rFonts w:hint="eastAsia" w:asciiTheme="minorEastAsia" w:hAnsiTheme="minorEastAsia" w:eastAsiaTheme="minorEastAsia" w:cstheme="minorEastAsia"/>
          <w:b w:val="0"/>
          <w:bCs w:val="0"/>
          <w:color w:val="auto"/>
          <w:sz w:val="24"/>
          <w:szCs w:val="24"/>
        </w:rPr>
        <w:t>时间外推验证</w:t>
      </w:r>
      <w:r>
        <w:rPr>
          <w:rFonts w:hint="eastAsia" w:asciiTheme="minorEastAsia" w:hAnsiTheme="minorEastAsia" w:eastAsiaTheme="minorEastAsia" w:cstheme="minorEastAsia"/>
          <w:b w:val="0"/>
          <w:bCs w:val="0"/>
          <w:color w:val="auto"/>
          <w:sz w:val="24"/>
          <w:szCs w:val="24"/>
        </w:rPr>
        <w:t>。患者按照进入数据库的时间顺序进行排序：前</w:t>
      </w:r>
      <w:r>
        <w:rPr>
          <w:rStyle w:val="7"/>
          <w:rFonts w:hint="eastAsia" w:asciiTheme="minorEastAsia" w:hAnsiTheme="minorEastAsia" w:eastAsiaTheme="minorEastAsia" w:cstheme="minorEastAsia"/>
          <w:b w:val="0"/>
          <w:bCs w:val="0"/>
          <w:color w:val="auto"/>
          <w:sz w:val="24"/>
          <w:szCs w:val="24"/>
        </w:rPr>
        <w:t>80%患者</w:t>
      </w:r>
      <w:r>
        <w:rPr>
          <w:rStyle w:val="7"/>
          <w:rFonts w:hint="eastAsia" w:asciiTheme="minorEastAsia" w:hAnsiTheme="minorEastAsia" w:eastAsiaTheme="minorEastAsia" w:cstheme="minorEastAsia"/>
          <w:b w:val="0"/>
          <w:bCs w:val="0"/>
          <w:color w:val="auto"/>
          <w:sz w:val="24"/>
          <w:szCs w:val="24"/>
          <w:lang w:eastAsia="zh-CN"/>
        </w:rPr>
        <w:t>（</w:t>
      </w:r>
      <w:r>
        <w:rPr>
          <w:rFonts w:hint="eastAsia" w:asciiTheme="minorEastAsia" w:hAnsiTheme="minorEastAsia" w:eastAsiaTheme="minorEastAsia" w:cstheme="minorEastAsia"/>
          <w:b w:val="0"/>
          <w:bCs w:val="0"/>
          <w:color w:val="auto"/>
          <w:sz w:val="24"/>
          <w:szCs w:val="24"/>
          <w:lang w:eastAsia="zh-CN"/>
        </w:rPr>
        <w:t>795例），</w:t>
      </w:r>
      <w:r>
        <w:rPr>
          <w:rFonts w:hint="eastAsia" w:asciiTheme="minorEastAsia" w:hAnsiTheme="minorEastAsia" w:eastAsiaTheme="minorEastAsia" w:cstheme="minorEastAsia"/>
          <w:b w:val="0"/>
          <w:bCs w:val="0"/>
          <w:color w:val="auto"/>
          <w:sz w:val="24"/>
          <w:szCs w:val="24"/>
        </w:rPr>
        <w:t>后</w:t>
      </w:r>
      <w:r>
        <w:rPr>
          <w:rStyle w:val="7"/>
          <w:rFonts w:hint="eastAsia" w:asciiTheme="minorEastAsia" w:hAnsiTheme="minorEastAsia" w:eastAsiaTheme="minorEastAsia" w:cstheme="minorEastAsia"/>
          <w:b w:val="0"/>
          <w:bCs w:val="0"/>
          <w:color w:val="auto"/>
          <w:sz w:val="24"/>
          <w:szCs w:val="24"/>
        </w:rPr>
        <w:t>20%患者</w:t>
      </w:r>
      <w:r>
        <w:rPr>
          <w:rStyle w:val="7"/>
          <w:rFonts w:hint="eastAsia" w:asciiTheme="minorEastAsia" w:hAnsiTheme="minorEastAsia" w:eastAsiaTheme="minorEastAsia" w:cstheme="minorEastAsia"/>
          <w:b w:val="0"/>
          <w:bCs w:val="0"/>
          <w:color w:val="auto"/>
          <w:sz w:val="24"/>
          <w:szCs w:val="24"/>
          <w:lang w:eastAsia="zh-CN"/>
        </w:rPr>
        <w:t>（</w:t>
      </w:r>
      <w:r>
        <w:rPr>
          <w:rFonts w:hint="eastAsia" w:asciiTheme="minorEastAsia" w:hAnsiTheme="minorEastAsia" w:eastAsiaTheme="minorEastAsia" w:cstheme="minorEastAsia"/>
          <w:b w:val="0"/>
          <w:bCs w:val="0"/>
          <w:color w:val="auto"/>
          <w:sz w:val="24"/>
          <w:szCs w:val="24"/>
          <w:lang w:eastAsia="zh-CN"/>
        </w:rPr>
        <w:t>208例）</w:t>
      </w:r>
      <w:r>
        <w:rPr>
          <w:rFonts w:hint="eastAsia" w:asciiTheme="minorEastAsia" w:hAnsiTheme="minorEastAsia" w:eastAsiaTheme="minorEastAsia" w:cstheme="minorEastAsia"/>
          <w:b w:val="0"/>
          <w:bCs w:val="0"/>
          <w:color w:val="auto"/>
          <w:sz w:val="24"/>
          <w:szCs w:val="24"/>
        </w:rPr>
        <w:t>作为独立测试集</w:t>
      </w:r>
      <w:r>
        <w:rPr>
          <w:rFonts w:hint="eastAsia" w:asciiTheme="minorEastAsia" w:hAnsiTheme="minorEastAsia" w:eastAsiaTheme="minorEastAsia" w:cstheme="minorEastAsia"/>
          <w:b w:val="0"/>
          <w:bCs w:val="0"/>
          <w:color w:val="auto"/>
          <w:sz w:val="24"/>
          <w:szCs w:val="24"/>
          <w:lang w:eastAsia="zh-CN"/>
        </w:rPr>
        <w:t>。</w:t>
      </w:r>
      <w:r>
        <w:rPr>
          <w:rFonts w:hint="eastAsia" w:asciiTheme="minorEastAsia" w:hAnsiTheme="minorEastAsia" w:eastAsiaTheme="minorEastAsia" w:cstheme="minorEastAsia"/>
          <w:b w:val="0"/>
          <w:bCs w:val="0"/>
          <w:color w:val="auto"/>
          <w:sz w:val="24"/>
          <w:szCs w:val="24"/>
        </w:rPr>
        <w:t>在训练集中，采用</w:t>
      </w:r>
      <w:r>
        <w:rPr>
          <w:rStyle w:val="7"/>
          <w:rFonts w:hint="eastAsia" w:asciiTheme="minorEastAsia" w:hAnsiTheme="minorEastAsia" w:eastAsiaTheme="minorEastAsia" w:cstheme="minorEastAsia"/>
          <w:b w:val="0"/>
          <w:bCs w:val="0"/>
          <w:color w:val="auto"/>
          <w:sz w:val="24"/>
          <w:szCs w:val="24"/>
        </w:rPr>
        <w:t>GroupKFold交叉验证</w:t>
      </w:r>
      <w:r>
        <w:rPr>
          <w:rFonts w:hint="eastAsia" w:asciiTheme="minorEastAsia" w:hAnsiTheme="minorEastAsia" w:eastAsiaTheme="minorEastAsia" w:cstheme="minorEastAsia"/>
          <w:b w:val="0"/>
          <w:bCs w:val="0"/>
          <w:color w:val="auto"/>
          <w:sz w:val="24"/>
          <w:szCs w:val="24"/>
        </w:rPr>
        <w:t>进行模型训练和超参数调优。交叉验证按患者ID进行分组，以确保同一患者的数据不会同时出现在训练集和验证集中。模型超参数通过</w:t>
      </w:r>
      <w:r>
        <w:rPr>
          <w:rStyle w:val="7"/>
          <w:rFonts w:hint="eastAsia" w:asciiTheme="minorEastAsia" w:hAnsiTheme="minorEastAsia" w:eastAsiaTheme="minorEastAsia" w:cstheme="minorEastAsia"/>
          <w:b w:val="0"/>
          <w:bCs w:val="0"/>
          <w:color w:val="auto"/>
          <w:sz w:val="24"/>
          <w:szCs w:val="24"/>
        </w:rPr>
        <w:t>Randomized Search（随机搜索）</w:t>
      </w:r>
      <w:r>
        <w:rPr>
          <w:rFonts w:hint="eastAsia" w:asciiTheme="minorEastAsia" w:hAnsiTheme="minorEastAsia" w:eastAsiaTheme="minorEastAsia" w:cstheme="minorEastAsia"/>
          <w:b w:val="0"/>
          <w:bCs w:val="0"/>
          <w:color w:val="auto"/>
          <w:sz w:val="24"/>
          <w:szCs w:val="24"/>
        </w:rPr>
        <w:t xml:space="preserve">优化。分类阈值根据交叉验证过程中生成的 </w:t>
      </w:r>
      <w:r>
        <w:rPr>
          <w:rStyle w:val="7"/>
          <w:rFonts w:hint="eastAsia" w:asciiTheme="minorEastAsia" w:hAnsiTheme="minorEastAsia" w:eastAsiaTheme="minorEastAsia" w:cstheme="minorEastAsia"/>
          <w:b w:val="0"/>
          <w:bCs w:val="0"/>
          <w:color w:val="auto"/>
          <w:sz w:val="24"/>
          <w:szCs w:val="24"/>
        </w:rPr>
        <w:t>OOF（out-of-fold）预测概率</w:t>
      </w:r>
      <w:r>
        <w:rPr>
          <w:rFonts w:hint="eastAsia" w:asciiTheme="minorEastAsia" w:hAnsiTheme="minorEastAsia" w:eastAsiaTheme="minorEastAsia" w:cstheme="minorEastAsia"/>
          <w:b w:val="0"/>
          <w:bCs w:val="0"/>
          <w:color w:val="auto"/>
          <w:sz w:val="24"/>
          <w:szCs w:val="24"/>
        </w:rPr>
        <w:t>确定。</w:t>
      </w:r>
    </w:p>
    <w:p w14:paraId="6C05E122">
      <w:pPr>
        <w:pStyle w:val="2"/>
        <w:keepNext w:val="0"/>
        <w:keepLines w:val="0"/>
        <w:widowControl/>
        <w:suppressLineNumbers w:val="0"/>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lang w:val="en-US" w:eastAsia="zh-CN"/>
        </w:rPr>
        <w:t>8.</w:t>
      </w:r>
      <w:r>
        <w:rPr>
          <w:rFonts w:hint="eastAsia" w:asciiTheme="minorEastAsia" w:hAnsiTheme="minorEastAsia" w:eastAsiaTheme="minorEastAsia" w:cstheme="minorEastAsia"/>
          <w:b w:val="0"/>
          <w:bCs w:val="0"/>
          <w:color w:val="auto"/>
          <w:sz w:val="24"/>
          <w:szCs w:val="24"/>
        </w:rPr>
        <w:t>模型评估</w:t>
      </w:r>
    </w:p>
    <w:p w14:paraId="4A05807F">
      <w:pPr>
        <w:pStyle w:val="4"/>
        <w:keepNext w:val="0"/>
        <w:keepLines w:val="0"/>
        <w:widowControl/>
        <w:suppressLineNumbers w:val="0"/>
        <w:rPr>
          <w:rFonts w:hint="eastAsia" w:asciiTheme="minorEastAsia" w:hAnsiTheme="minorEastAsia" w:eastAsiaTheme="minorEastAsia" w:cstheme="minorEastAsia"/>
          <w:b w:val="0"/>
          <w:bCs w:val="0"/>
          <w:color w:val="auto"/>
          <w:sz w:val="24"/>
          <w:szCs w:val="24"/>
          <w:lang w:eastAsia="zh-CN"/>
        </w:rPr>
      </w:pPr>
      <w:r>
        <w:rPr>
          <w:rFonts w:hint="eastAsia" w:asciiTheme="minorEastAsia" w:hAnsiTheme="minorEastAsia" w:eastAsiaTheme="minorEastAsia" w:cstheme="minorEastAsia"/>
          <w:b w:val="0"/>
          <w:bCs w:val="0"/>
          <w:color w:val="auto"/>
          <w:sz w:val="24"/>
          <w:szCs w:val="24"/>
        </w:rPr>
        <w:t>模型性能在独立的时间外推测试集中进行评估。模型判别能力通过以下指标评估：ROC曲线下面积（ROC-AUC）</w:t>
      </w:r>
      <w:r>
        <w:rPr>
          <w:rFonts w:hint="eastAsia" w:asciiTheme="minorEastAsia" w:hAnsiTheme="minorEastAsia" w:eastAsiaTheme="minorEastAsia" w:cstheme="minorEastAsia"/>
          <w:b w:val="0"/>
          <w:bCs w:val="0"/>
          <w:color w:val="auto"/>
          <w:sz w:val="24"/>
          <w:szCs w:val="24"/>
          <w:lang w:eastAsia="zh-CN"/>
        </w:rPr>
        <w:t>、</w:t>
      </w:r>
      <w:r>
        <w:rPr>
          <w:rFonts w:hint="eastAsia" w:asciiTheme="minorEastAsia" w:hAnsiTheme="minorEastAsia" w:eastAsiaTheme="minorEastAsia" w:cstheme="minorEastAsia"/>
          <w:b w:val="0"/>
          <w:bCs w:val="0"/>
          <w:color w:val="auto"/>
          <w:sz w:val="24"/>
          <w:szCs w:val="24"/>
        </w:rPr>
        <w:t>Precision-Recall曲线下面积（PR-AUC）</w:t>
      </w:r>
      <w:r>
        <w:rPr>
          <w:rFonts w:hint="eastAsia" w:asciiTheme="minorEastAsia" w:hAnsiTheme="minorEastAsia" w:eastAsiaTheme="minorEastAsia" w:cstheme="minorEastAsia"/>
          <w:b w:val="0"/>
          <w:bCs w:val="0"/>
          <w:color w:val="auto"/>
          <w:sz w:val="24"/>
          <w:szCs w:val="24"/>
          <w:lang w:eastAsia="zh-CN"/>
        </w:rPr>
        <w:t>、灵敏度、特异性、</w:t>
      </w:r>
      <w:r>
        <w:rPr>
          <w:rFonts w:hint="eastAsia" w:asciiTheme="minorEastAsia" w:hAnsiTheme="minorEastAsia" w:eastAsiaTheme="minorEastAsia" w:cstheme="minorEastAsia"/>
          <w:b w:val="0"/>
          <w:bCs w:val="0"/>
          <w:color w:val="auto"/>
          <w:sz w:val="24"/>
          <w:szCs w:val="24"/>
        </w:rPr>
        <w:t>分类性能通过</w:t>
      </w:r>
      <w:r>
        <w:rPr>
          <w:rStyle w:val="7"/>
          <w:rFonts w:hint="eastAsia" w:asciiTheme="minorEastAsia" w:hAnsiTheme="minorEastAsia" w:eastAsiaTheme="minorEastAsia" w:cstheme="minorEastAsia"/>
          <w:b w:val="0"/>
          <w:bCs w:val="0"/>
          <w:color w:val="auto"/>
          <w:sz w:val="24"/>
          <w:szCs w:val="24"/>
        </w:rPr>
        <w:t>F1</w:t>
      </w:r>
      <w:r>
        <w:rPr>
          <w:rStyle w:val="7"/>
          <w:rFonts w:hint="eastAsia" w:asciiTheme="minorEastAsia" w:hAnsiTheme="minorEastAsia" w:cstheme="minorEastAsia"/>
          <w:b w:val="0"/>
          <w:bCs w:val="0"/>
          <w:color w:val="auto"/>
          <w:sz w:val="24"/>
          <w:szCs w:val="24"/>
          <w:lang w:val="en-US" w:eastAsia="zh-CN"/>
        </w:rPr>
        <w:t>分</w:t>
      </w:r>
      <w:r>
        <w:rPr>
          <w:rFonts w:hint="eastAsia" w:asciiTheme="minorEastAsia" w:hAnsiTheme="minorEastAsia" w:eastAsiaTheme="minorEastAsia" w:cstheme="minorEastAsia"/>
          <w:b w:val="0"/>
          <w:bCs w:val="0"/>
          <w:color w:val="auto"/>
          <w:sz w:val="24"/>
          <w:szCs w:val="24"/>
        </w:rPr>
        <w:t>进行评价。</w:t>
      </w:r>
      <w:r>
        <w:rPr>
          <w:rFonts w:hint="eastAsia" w:asciiTheme="minorEastAsia" w:hAnsiTheme="minorEastAsia" w:eastAsiaTheme="minorEastAsia" w:cstheme="minorEastAsia"/>
          <w:b w:val="0"/>
          <w:bCs w:val="0"/>
          <w:color w:val="auto"/>
          <w:sz w:val="24"/>
          <w:szCs w:val="24"/>
          <w:lang w:eastAsia="zh-CN"/>
        </w:rPr>
        <w:t>同时，</w:t>
      </w:r>
      <w:r>
        <w:rPr>
          <w:rFonts w:hint="eastAsia" w:asciiTheme="minorEastAsia" w:hAnsiTheme="minorEastAsia" w:eastAsiaTheme="minorEastAsia" w:cstheme="minorEastAsia"/>
          <w:b w:val="0"/>
          <w:bCs w:val="0"/>
          <w:color w:val="auto"/>
          <w:sz w:val="24"/>
          <w:szCs w:val="24"/>
        </w:rPr>
        <w:t>模型校准能力通过</w:t>
      </w:r>
      <w:r>
        <w:rPr>
          <w:rStyle w:val="7"/>
          <w:rFonts w:hint="eastAsia" w:asciiTheme="minorEastAsia" w:hAnsiTheme="minorEastAsia" w:eastAsiaTheme="minorEastAsia" w:cstheme="minorEastAsia"/>
          <w:b w:val="0"/>
          <w:bCs w:val="0"/>
          <w:color w:val="auto"/>
          <w:sz w:val="24"/>
          <w:szCs w:val="24"/>
        </w:rPr>
        <w:t>Brier</w:t>
      </w:r>
      <w:r>
        <w:rPr>
          <w:rStyle w:val="7"/>
          <w:rFonts w:hint="eastAsia" w:asciiTheme="minorEastAsia" w:hAnsiTheme="minorEastAsia" w:cstheme="minorEastAsia"/>
          <w:b w:val="0"/>
          <w:bCs w:val="0"/>
          <w:color w:val="auto"/>
          <w:sz w:val="24"/>
          <w:szCs w:val="24"/>
          <w:lang w:val="en-US" w:eastAsia="zh-CN"/>
        </w:rPr>
        <w:t>评分</w:t>
      </w:r>
      <w:r>
        <w:rPr>
          <w:rFonts w:hint="eastAsia" w:asciiTheme="minorEastAsia" w:hAnsiTheme="minorEastAsia" w:eastAsiaTheme="minorEastAsia" w:cstheme="minorEastAsia"/>
          <w:b w:val="0"/>
          <w:bCs w:val="0"/>
          <w:color w:val="auto"/>
          <w:sz w:val="24"/>
          <w:szCs w:val="24"/>
        </w:rPr>
        <w:t>及</w:t>
      </w:r>
      <w:r>
        <w:rPr>
          <w:rStyle w:val="7"/>
          <w:rFonts w:hint="eastAsia" w:asciiTheme="minorEastAsia" w:hAnsiTheme="minorEastAsia" w:eastAsiaTheme="minorEastAsia" w:cstheme="minorEastAsia"/>
          <w:b w:val="0"/>
          <w:bCs w:val="0"/>
          <w:color w:val="auto"/>
          <w:sz w:val="24"/>
          <w:szCs w:val="24"/>
        </w:rPr>
        <w:t>校准曲线</w:t>
      </w:r>
      <w:r>
        <w:rPr>
          <w:rFonts w:hint="eastAsia" w:asciiTheme="minorEastAsia" w:hAnsiTheme="minorEastAsia" w:eastAsiaTheme="minorEastAsia" w:cstheme="minorEastAsia"/>
          <w:b w:val="0"/>
          <w:bCs w:val="0"/>
          <w:color w:val="auto"/>
          <w:sz w:val="24"/>
          <w:szCs w:val="24"/>
        </w:rPr>
        <w:t>进行评估，用于检验预测概率与实际发生风险之间的一致性</w:t>
      </w:r>
      <w:r>
        <w:rPr>
          <w:rFonts w:hint="eastAsia" w:asciiTheme="minorEastAsia" w:hAnsiTheme="minorEastAsia" w:eastAsiaTheme="minorEastAsia" w:cstheme="minorEastAsia"/>
          <w:b w:val="0"/>
          <w:bCs w:val="0"/>
          <w:color w:val="auto"/>
          <w:sz w:val="24"/>
          <w:szCs w:val="24"/>
          <w:lang w:eastAsia="zh-CN"/>
        </w:rPr>
        <w:t>。</w:t>
      </w:r>
    </w:p>
    <w:p w14:paraId="055B9159">
      <w:pPr>
        <w:pStyle w:val="2"/>
        <w:keepNext w:val="0"/>
        <w:keepLines w:val="0"/>
        <w:widowControl/>
        <w:suppressLineNumbers w:val="0"/>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lang w:val="en-US" w:eastAsia="zh-CN"/>
        </w:rPr>
        <w:t>9.</w:t>
      </w:r>
      <w:r>
        <w:rPr>
          <w:rFonts w:hint="eastAsia" w:asciiTheme="minorEastAsia" w:hAnsiTheme="minorEastAsia" w:eastAsiaTheme="minorEastAsia" w:cstheme="minorEastAsia"/>
          <w:b w:val="0"/>
          <w:bCs w:val="0"/>
          <w:color w:val="auto"/>
          <w:sz w:val="24"/>
          <w:szCs w:val="24"/>
        </w:rPr>
        <w:t>模型解释性分析</w:t>
      </w:r>
    </w:p>
    <w:p w14:paraId="50E8B1C1">
      <w:pPr>
        <w:pStyle w:val="4"/>
        <w:keepNext w:val="0"/>
        <w:keepLines w:val="0"/>
        <w:widowControl/>
        <w:suppressLineNumbers w:val="0"/>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rPr>
        <w:t>为了提高模型的临床可解释性，本研究以</w:t>
      </w:r>
      <w:r>
        <w:rPr>
          <w:rStyle w:val="7"/>
          <w:rFonts w:hint="eastAsia" w:asciiTheme="minorEastAsia" w:hAnsiTheme="minorEastAsia" w:eastAsiaTheme="minorEastAsia" w:cstheme="minorEastAsia"/>
          <w:b w:val="0"/>
          <w:bCs w:val="0"/>
          <w:color w:val="auto"/>
          <w:sz w:val="24"/>
          <w:szCs w:val="24"/>
        </w:rPr>
        <w:t>逻辑回归模型</w:t>
      </w:r>
      <w:r>
        <w:rPr>
          <w:rFonts w:hint="eastAsia" w:asciiTheme="minorEastAsia" w:hAnsiTheme="minorEastAsia" w:eastAsiaTheme="minorEastAsia" w:cstheme="minorEastAsia"/>
          <w:b w:val="0"/>
          <w:bCs w:val="0"/>
          <w:color w:val="auto"/>
          <w:sz w:val="24"/>
          <w:szCs w:val="24"/>
        </w:rPr>
        <w:t>作为主要预测模型，并报告各预测变量的</w:t>
      </w:r>
      <w:r>
        <w:rPr>
          <w:rStyle w:val="7"/>
          <w:rFonts w:hint="eastAsia" w:asciiTheme="minorEastAsia" w:hAnsiTheme="minorEastAsia" w:eastAsiaTheme="minorEastAsia" w:cstheme="minorEastAsia"/>
          <w:b w:val="0"/>
          <w:bCs w:val="0"/>
          <w:color w:val="auto"/>
          <w:sz w:val="24"/>
          <w:szCs w:val="24"/>
        </w:rPr>
        <w:t>比值比（odds ratio, OR）及95%置信区间</w:t>
      </w:r>
      <w:r>
        <w:rPr>
          <w:rFonts w:hint="eastAsia" w:asciiTheme="minorEastAsia" w:hAnsiTheme="minorEastAsia" w:eastAsiaTheme="minorEastAsia" w:cstheme="minorEastAsia"/>
          <w:b w:val="0"/>
          <w:bCs w:val="0"/>
          <w:color w:val="auto"/>
          <w:sz w:val="24"/>
          <w:szCs w:val="24"/>
          <w:lang w:eastAsia="zh-CN"/>
        </w:rPr>
        <w:t>（</w:t>
      </w:r>
      <w:r>
        <w:rPr>
          <w:rFonts w:hint="eastAsia" w:asciiTheme="minorEastAsia" w:hAnsiTheme="minorEastAsia" w:eastAsiaTheme="minorEastAsia" w:cstheme="minorEastAsia"/>
          <w:b w:val="0"/>
          <w:bCs w:val="0"/>
          <w:color w:val="auto"/>
          <w:sz w:val="24"/>
          <w:szCs w:val="24"/>
          <w:lang w:val="en-US" w:eastAsia="zh-CN"/>
        </w:rPr>
        <w:t>95</w:t>
      </w:r>
      <w:r>
        <w:rPr>
          <w:rFonts w:hint="eastAsia" w:asciiTheme="minorEastAsia" w:hAnsiTheme="minorEastAsia" w:eastAsiaTheme="minorEastAsia" w:cstheme="minorEastAsia"/>
          <w:b w:val="0"/>
          <w:bCs w:val="0"/>
          <w:color w:val="auto"/>
          <w:sz w:val="24"/>
          <w:szCs w:val="24"/>
          <w:lang w:eastAsia="zh-CN"/>
        </w:rPr>
        <w:t>% CI）</w:t>
      </w:r>
      <w:r>
        <w:rPr>
          <w:rFonts w:hint="eastAsia" w:asciiTheme="minorEastAsia" w:hAnsiTheme="minorEastAsia" w:eastAsiaTheme="minorEastAsia" w:cstheme="minorEastAsia"/>
          <w:b w:val="0"/>
          <w:bCs w:val="0"/>
          <w:color w:val="auto"/>
          <w:sz w:val="24"/>
          <w:szCs w:val="24"/>
        </w:rPr>
        <w:t xml:space="preserve">。此外，作为敏感性分析，还构建树模型，并利用 </w:t>
      </w:r>
      <w:r>
        <w:rPr>
          <w:rStyle w:val="7"/>
          <w:rFonts w:hint="eastAsia" w:asciiTheme="minorEastAsia" w:hAnsiTheme="minorEastAsia" w:eastAsiaTheme="minorEastAsia" w:cstheme="minorEastAsia"/>
          <w:b w:val="0"/>
          <w:bCs w:val="0"/>
          <w:color w:val="auto"/>
          <w:sz w:val="24"/>
          <w:szCs w:val="24"/>
        </w:rPr>
        <w:t>SHAP（Shapley Additive Explanations）方法</w:t>
      </w:r>
      <w:r>
        <w:rPr>
          <w:rFonts w:hint="eastAsia" w:asciiTheme="minorEastAsia" w:hAnsiTheme="minorEastAsia" w:eastAsiaTheme="minorEastAsia" w:cstheme="minorEastAsia"/>
          <w:b w:val="0"/>
          <w:bCs w:val="0"/>
          <w:color w:val="auto"/>
          <w:sz w:val="24"/>
          <w:szCs w:val="24"/>
        </w:rPr>
        <w:t>分析各变量对复发风险预测的贡献程度。</w:t>
      </w:r>
    </w:p>
    <w:p w14:paraId="0D47292B">
      <w:pPr>
        <w:pStyle w:val="2"/>
        <w:keepNext w:val="0"/>
        <w:keepLines w:val="0"/>
        <w:widowControl/>
        <w:suppressLineNumbers w:val="0"/>
        <w:rPr>
          <w:rFonts w:hint="eastAsia" w:asciiTheme="minorEastAsia" w:hAnsiTheme="minorEastAsia" w:eastAsiaTheme="minorEastAsia" w:cstheme="minorEastAsia"/>
          <w:b w:val="0"/>
          <w:bCs w:val="0"/>
          <w:color w:val="auto"/>
          <w:sz w:val="24"/>
          <w:szCs w:val="24"/>
          <w:lang w:eastAsia="zh-CN"/>
        </w:rPr>
      </w:pPr>
      <w:r>
        <w:rPr>
          <w:rFonts w:hint="eastAsia" w:asciiTheme="minorEastAsia" w:hAnsiTheme="minorEastAsia" w:eastAsiaTheme="minorEastAsia" w:cstheme="minorEastAsia"/>
          <w:b w:val="0"/>
          <w:bCs w:val="0"/>
          <w:color w:val="auto"/>
          <w:sz w:val="24"/>
          <w:szCs w:val="24"/>
          <w:lang w:val="en-US" w:eastAsia="zh-CN"/>
        </w:rPr>
        <w:t>10.</w:t>
      </w:r>
      <w:r>
        <w:rPr>
          <w:rFonts w:hint="eastAsia" w:asciiTheme="minorEastAsia" w:hAnsiTheme="minorEastAsia" w:eastAsiaTheme="minorEastAsia" w:cstheme="minorEastAsia"/>
          <w:b w:val="0"/>
          <w:bCs w:val="0"/>
          <w:color w:val="auto"/>
          <w:sz w:val="24"/>
          <w:szCs w:val="24"/>
        </w:rPr>
        <w:t>报告规范与统计分析</w:t>
      </w:r>
    </w:p>
    <w:p w14:paraId="25B58A48">
      <w:pPr>
        <w:pStyle w:val="4"/>
        <w:keepNext w:val="0"/>
        <w:keepLines w:val="0"/>
        <w:widowControl/>
        <w:suppressLineNumbers w:val="0"/>
        <w:rPr>
          <w:rFonts w:hint="eastAsia" w:asciiTheme="minorEastAsia" w:hAnsiTheme="minorEastAsia" w:eastAsiaTheme="minorEastAsia" w:cstheme="minorEastAsia"/>
          <w:b w:val="0"/>
          <w:bCs/>
        </w:rPr>
      </w:pPr>
      <w:r>
        <w:rPr>
          <w:rFonts w:hint="eastAsia" w:asciiTheme="minorEastAsia" w:hAnsiTheme="minorEastAsia" w:eastAsiaTheme="minorEastAsia" w:cstheme="minorEastAsia"/>
          <w:b w:val="0"/>
          <w:bCs w:val="0"/>
          <w:color w:val="auto"/>
          <w:sz w:val="24"/>
          <w:szCs w:val="24"/>
        </w:rPr>
        <w:t xml:space="preserve">本研究遵循 </w:t>
      </w:r>
      <w:r>
        <w:rPr>
          <w:rStyle w:val="7"/>
          <w:rFonts w:hint="eastAsia" w:asciiTheme="minorEastAsia" w:hAnsiTheme="minorEastAsia" w:eastAsiaTheme="minorEastAsia" w:cstheme="minorEastAsia"/>
          <w:b w:val="0"/>
          <w:bCs w:val="0"/>
          <w:color w:val="auto"/>
          <w:sz w:val="24"/>
          <w:szCs w:val="24"/>
        </w:rPr>
        <w:t>TRIPOD-AI（预测模型开发与验证报告规范）</w:t>
      </w:r>
      <w:r>
        <w:rPr>
          <w:rFonts w:hint="eastAsia" w:asciiTheme="minorEastAsia" w:hAnsiTheme="minorEastAsia" w:eastAsiaTheme="minorEastAsia" w:cstheme="minorEastAsia"/>
          <w:b w:val="0"/>
          <w:bCs w:val="0"/>
          <w:color w:val="auto"/>
          <w:sz w:val="24"/>
          <w:szCs w:val="24"/>
        </w:rPr>
        <w:t xml:space="preserve">的建议进行研究设计和结果报告。所有数据处理与模型分析均在 </w:t>
      </w:r>
      <w:r>
        <w:rPr>
          <w:rStyle w:val="7"/>
          <w:rFonts w:hint="eastAsia" w:asciiTheme="minorEastAsia" w:hAnsiTheme="minorEastAsia" w:eastAsiaTheme="minorEastAsia" w:cstheme="minorEastAsia"/>
          <w:b w:val="0"/>
          <w:bCs w:val="0"/>
          <w:color w:val="auto"/>
          <w:sz w:val="24"/>
          <w:szCs w:val="24"/>
          <w:highlight w:val="yellow"/>
        </w:rPr>
        <w:t xml:space="preserve">Python </w:t>
      </w:r>
      <w:r>
        <w:rPr>
          <w:rFonts w:ascii="宋体" w:hAnsi="宋体" w:eastAsia="宋体" w:cs="宋体"/>
          <w:color w:val="auto"/>
          <w:sz w:val="24"/>
          <w:szCs w:val="24"/>
          <w:highlight w:val="yellow"/>
        </w:rPr>
        <w:t>（version X.X）</w:t>
      </w:r>
      <w:r>
        <w:rPr>
          <w:rStyle w:val="7"/>
          <w:rFonts w:hint="eastAsia" w:asciiTheme="minorEastAsia" w:hAnsiTheme="minorEastAsia" w:eastAsiaTheme="minorEastAsia" w:cstheme="minorEastAsia"/>
          <w:b w:val="0"/>
          <w:bCs/>
        </w:rPr>
        <w:t>环境</w:t>
      </w:r>
      <w:r>
        <w:rPr>
          <w:rFonts w:hint="eastAsia" w:asciiTheme="minorEastAsia" w:hAnsiTheme="minorEastAsia" w:eastAsiaTheme="minorEastAsia" w:cstheme="minorEastAsia"/>
          <w:b w:val="0"/>
          <w:bCs/>
        </w:rPr>
        <w:t>中完成，主要使用以下软件包：pandas</w:t>
      </w:r>
      <w:r>
        <w:rPr>
          <w:rFonts w:hint="eastAsia" w:asciiTheme="minorEastAsia" w:hAnsiTheme="minorEastAsia" w:eastAsiaTheme="minorEastAsia" w:cstheme="minorEastAsia"/>
          <w:b w:val="0"/>
          <w:bCs/>
          <w:lang w:eastAsia="zh-CN"/>
        </w:rPr>
        <w:t>、</w:t>
      </w:r>
      <w:r>
        <w:rPr>
          <w:rFonts w:hint="eastAsia" w:asciiTheme="minorEastAsia" w:hAnsiTheme="minorEastAsia" w:eastAsiaTheme="minorEastAsia" w:cstheme="minorEastAsia"/>
          <w:b w:val="0"/>
          <w:bCs/>
        </w:rPr>
        <w:t>scikit-learn</w:t>
      </w:r>
      <w:r>
        <w:rPr>
          <w:rFonts w:hint="eastAsia" w:asciiTheme="minorEastAsia" w:hAnsiTheme="minorEastAsia" w:eastAsiaTheme="minorEastAsia" w:cstheme="minorEastAsia"/>
          <w:b w:val="0"/>
          <w:bCs/>
          <w:lang w:eastAsia="zh-CN"/>
        </w:rPr>
        <w:t>、</w:t>
      </w:r>
      <w:r>
        <w:rPr>
          <w:rFonts w:hint="eastAsia" w:asciiTheme="minorEastAsia" w:hAnsiTheme="minorEastAsia" w:eastAsiaTheme="minorEastAsia" w:cstheme="minorEastAsia"/>
          <w:b w:val="0"/>
          <w:bCs/>
        </w:rPr>
        <w:t>lifelines</w:t>
      </w:r>
      <w:r>
        <w:rPr>
          <w:rFonts w:hint="eastAsia" w:asciiTheme="minorEastAsia" w:hAnsiTheme="minorEastAsia" w:eastAsiaTheme="minorEastAsia" w:cstheme="minorEastAsia"/>
          <w:b w:val="0"/>
          <w:bCs/>
          <w:lang w:eastAsia="zh-CN"/>
        </w:rPr>
        <w:t>、</w:t>
      </w:r>
      <w:r>
        <w:rPr>
          <w:rFonts w:hint="eastAsia" w:asciiTheme="minorEastAsia" w:hAnsiTheme="minorEastAsia" w:eastAsiaTheme="minorEastAsia" w:cstheme="minorEastAsia"/>
          <w:b w:val="0"/>
          <w:bCs/>
        </w:rPr>
        <w:t>shap</w:t>
      </w:r>
      <w:r>
        <w:rPr>
          <w:rFonts w:hint="eastAsia" w:asciiTheme="minorEastAsia" w:hAnsiTheme="minorEastAsia" w:eastAsiaTheme="minorEastAsia" w:cstheme="minorEastAsia"/>
          <w:b w:val="0"/>
          <w:bCs/>
          <w:lang w:eastAsia="zh-CN"/>
        </w:rPr>
        <w:t>。</w:t>
      </w:r>
      <w:r>
        <w:rPr>
          <w:rFonts w:hint="eastAsia" w:asciiTheme="minorEastAsia" w:hAnsiTheme="minorEastAsia" w:eastAsiaTheme="minorEastAsia" w:cstheme="minorEastAsia"/>
          <w:b w:val="0"/>
          <w:bCs/>
        </w:rPr>
        <w:t>所有统计检验均为</w:t>
      </w:r>
      <w:r>
        <w:rPr>
          <w:rStyle w:val="7"/>
          <w:rFonts w:hint="eastAsia" w:asciiTheme="minorEastAsia" w:hAnsiTheme="minorEastAsia" w:eastAsiaTheme="minorEastAsia" w:cstheme="minorEastAsia"/>
          <w:b w:val="0"/>
          <w:bCs/>
        </w:rPr>
        <w:t>双侧检验</w:t>
      </w:r>
      <w:r>
        <w:rPr>
          <w:rFonts w:hint="eastAsia" w:asciiTheme="minorEastAsia" w:hAnsiTheme="minorEastAsia" w:eastAsiaTheme="minorEastAsia" w:cstheme="minorEastAsia"/>
          <w:b w:val="0"/>
          <w:bCs/>
        </w:rPr>
        <w:t>，以</w:t>
      </w:r>
      <w:r>
        <w:rPr>
          <w:rStyle w:val="7"/>
          <w:rFonts w:hint="eastAsia" w:asciiTheme="minorEastAsia" w:hAnsiTheme="minorEastAsia" w:eastAsiaTheme="minorEastAsia" w:cstheme="minorEastAsia"/>
          <w:b w:val="0"/>
          <w:bCs/>
        </w:rPr>
        <w:t>P&lt;0.05</w:t>
      </w:r>
      <w:r>
        <w:rPr>
          <w:rFonts w:hint="eastAsia" w:asciiTheme="minorEastAsia" w:hAnsiTheme="minorEastAsia" w:eastAsiaTheme="minorEastAsia" w:cstheme="minorEastAsia"/>
          <w:b w:val="0"/>
          <w:bCs/>
        </w:rPr>
        <w:t>为差异具有统计学意义。</w:t>
      </w:r>
    </w:p>
    <w:p w14:paraId="1257DFFF">
      <w:pPr>
        <w:pStyle w:val="4"/>
        <w:keepNext w:val="0"/>
        <w:keepLines w:val="0"/>
        <w:widowControl/>
        <w:suppressLineNumbers w:val="0"/>
        <w:rPr>
          <w:rFonts w:hint="eastAsia" w:asciiTheme="minorEastAsia" w:hAnsiTheme="minorEastAsia" w:eastAsiaTheme="minorEastAsia" w:cstheme="minorEastAsia"/>
          <w:b w:val="0"/>
          <w:bCs/>
        </w:rPr>
      </w:pPr>
    </w:p>
    <w:p w14:paraId="41BC724B">
      <w:pPr>
        <w:pStyle w:val="4"/>
        <w:keepNext w:val="0"/>
        <w:keepLines w:val="0"/>
        <w:widowControl/>
        <w:suppressLineNumbers w:val="0"/>
        <w:rPr>
          <w:rFonts w:hint="default" w:asciiTheme="minorEastAsia" w:hAnsiTheme="minorEastAsia" w:eastAsiaTheme="minorEastAsia" w:cstheme="minorEastAsia"/>
          <w:b w:val="0"/>
          <w:bCs/>
          <w:color w:val="FF0000"/>
          <w:lang w:val="en-US" w:eastAsia="zh-CN"/>
        </w:rPr>
      </w:pPr>
      <w:r>
        <w:rPr>
          <w:rFonts w:hint="eastAsia" w:asciiTheme="minorEastAsia" w:hAnsiTheme="minorEastAsia" w:cstheme="minorEastAsia"/>
          <w:b w:val="0"/>
          <w:bCs/>
          <w:color w:val="FF0000"/>
          <w:lang w:val="en-US" w:eastAsia="zh-CN"/>
        </w:rPr>
        <w:t>以下为痛风文献原文部分:</w:t>
      </w:r>
    </w:p>
    <w:p w14:paraId="2346C9F4">
      <w:pPr>
        <w:pStyle w:val="4"/>
        <w:keepNext w:val="0"/>
        <w:keepLines w:val="0"/>
        <w:widowControl/>
        <w:suppressLineNumbers w:val="0"/>
        <w:shd w:val="clear" w:fill="FFFFFF"/>
        <w:spacing w:before="450" w:beforeAutospacing="0" w:after="0" w:afterAutospacing="0"/>
        <w:ind w:left="0" w:firstLine="0"/>
        <w:rPr>
          <w:rFonts w:hint="default" w:ascii="Cambria" w:hAnsi="Cambria" w:eastAsia="Cambria" w:cs="Cambria"/>
          <w:i w:val="0"/>
          <w:iCs w:val="0"/>
          <w:caps w:val="0"/>
          <w:color w:val="FF0000"/>
          <w:spacing w:val="0"/>
          <w:sz w:val="22"/>
          <w:szCs w:val="22"/>
        </w:rPr>
      </w:pPr>
      <w:r>
        <w:rPr>
          <w:rFonts w:hint="eastAsia" w:asciiTheme="minorEastAsia" w:hAnsiTheme="minorEastAsia" w:cstheme="minorEastAsia"/>
          <w:b w:val="0"/>
          <w:bCs/>
          <w:color w:val="FF0000"/>
          <w:lang w:val="en-US" w:eastAsia="zh-CN"/>
        </w:rPr>
        <w:t>8.9：</w:t>
      </w:r>
      <w:r>
        <w:rPr>
          <w:rFonts w:hint="default" w:ascii="Cambria" w:hAnsi="Cambria" w:eastAsia="Cambria" w:cs="Cambria"/>
          <w:i w:val="0"/>
          <w:iCs w:val="0"/>
          <w:caps w:val="0"/>
          <w:color w:val="FF0000"/>
          <w:spacing w:val="0"/>
          <w:sz w:val="22"/>
          <w:szCs w:val="22"/>
          <w:shd w:val="clear" w:fill="FFFFFF"/>
        </w:rPr>
        <w:t>为确保模型的稳健性和可靠性，我们广泛组合了4种</w:t>
      </w:r>
      <w:r>
        <w:rPr>
          <w:rFonts w:hint="eastAsia" w:ascii="Cambria" w:hAnsi="Cambria" w:eastAsia="宋体" w:cs="Cambria"/>
          <w:i w:val="0"/>
          <w:iCs w:val="0"/>
          <w:caps w:val="0"/>
          <w:color w:val="FF0000"/>
          <w:spacing w:val="0"/>
          <w:sz w:val="22"/>
          <w:szCs w:val="22"/>
          <w:shd w:val="clear" w:fill="FFFFFF"/>
          <w:lang w:val="en-US" w:eastAsia="zh-CN"/>
        </w:rPr>
        <w:t>插补</w:t>
      </w:r>
      <w:r>
        <w:rPr>
          <w:rFonts w:hint="default" w:ascii="Cambria" w:hAnsi="Cambria" w:eastAsia="Cambria" w:cs="Cambria"/>
          <w:i w:val="0"/>
          <w:iCs w:val="0"/>
          <w:caps w:val="0"/>
          <w:color w:val="FF0000"/>
          <w:spacing w:val="0"/>
          <w:sz w:val="22"/>
          <w:szCs w:val="22"/>
          <w:shd w:val="clear" w:fill="FFFFFF"/>
        </w:rPr>
        <w:t>方法、3种特征变换方法、24个特征选择器和13个分类器（附加文件2：表S7），实现了3744种模型组合的最大数量。初步验证表明，使用24种特征选择方法选择20个特征时，性能达到最佳。</w:t>
      </w:r>
    </w:p>
    <w:p w14:paraId="07881E65">
      <w:pPr>
        <w:pStyle w:val="4"/>
        <w:keepNext w:val="0"/>
        <w:keepLines w:val="0"/>
        <w:widowControl/>
        <w:suppressLineNumbers w:val="0"/>
        <w:shd w:val="clear" w:fill="FFFFFF"/>
        <w:spacing w:before="450" w:beforeAutospacing="0" w:after="0" w:afterAutospacing="0"/>
        <w:ind w:left="0" w:firstLine="0"/>
        <w:rPr>
          <w:rFonts w:hint="default" w:ascii="Cambria" w:hAnsi="Cambria" w:eastAsia="Cambria" w:cs="Cambria"/>
          <w:i w:val="0"/>
          <w:iCs w:val="0"/>
          <w:caps w:val="0"/>
          <w:color w:val="FF0000"/>
          <w:spacing w:val="0"/>
          <w:sz w:val="22"/>
          <w:szCs w:val="22"/>
        </w:rPr>
      </w:pPr>
      <w:r>
        <w:rPr>
          <w:rFonts w:hint="default" w:ascii="Cambria" w:hAnsi="Cambria" w:eastAsia="Cambria" w:cs="Cambria"/>
          <w:i w:val="0"/>
          <w:iCs w:val="0"/>
          <w:caps w:val="0"/>
          <w:color w:val="FF0000"/>
          <w:spacing w:val="0"/>
          <w:sz w:val="22"/>
          <w:szCs w:val="22"/>
          <w:shd w:val="clear" w:fill="FFFFFF"/>
        </w:rPr>
        <w:t>每个模型计算了表现指标，包括曲线下面积（AUC）、准确率、特异性、敏感性、阳性预测值（PPV）、阴性预测值（NPV）和F1分数。训练与验证指标差异超过10%的模型被视为拟合过适，排除后续分析。</w:t>
      </w:r>
    </w:p>
    <w:p w14:paraId="656AC42A">
      <w:pPr>
        <w:pStyle w:val="4"/>
        <w:keepNext w:val="0"/>
        <w:keepLines w:val="0"/>
        <w:widowControl/>
        <w:suppressLineNumbers w:val="0"/>
        <w:shd w:val="clear" w:fill="FFFFFF"/>
        <w:spacing w:before="450" w:beforeAutospacing="0" w:after="0" w:afterAutospacing="0"/>
        <w:ind w:left="0" w:firstLine="0"/>
        <w:rPr>
          <w:rFonts w:hint="default" w:ascii="Cambria" w:hAnsi="Cambria" w:eastAsia="Cambria" w:cs="Cambria"/>
          <w:i w:val="0"/>
          <w:iCs w:val="0"/>
          <w:caps w:val="0"/>
          <w:color w:val="FF0000"/>
          <w:spacing w:val="0"/>
          <w:sz w:val="22"/>
          <w:szCs w:val="22"/>
        </w:rPr>
      </w:pPr>
      <w:r>
        <w:rPr>
          <w:rFonts w:hint="default" w:ascii="Cambria" w:hAnsi="Cambria" w:eastAsia="Cambria" w:cs="Cambria"/>
          <w:i w:val="0"/>
          <w:iCs w:val="0"/>
          <w:caps w:val="0"/>
          <w:color w:val="FF0000"/>
          <w:spacing w:val="0"/>
          <w:sz w:val="22"/>
          <w:szCs w:val="22"/>
          <w:shd w:val="clear" w:fill="FFFFFF"/>
        </w:rPr>
        <w:t>我们根据验证集AUC阈值0.75筛选了剩余未过拟合的模型。最终，基于验证集性能指标的前20个模型被选中进行Delong测试和后续评估。通过这一严格的过程，我们旨在确定最稳健的模型，最终命名为多维</w:t>
      </w:r>
      <w:r>
        <w:rPr>
          <w:rFonts w:hint="eastAsia" w:ascii="Cambria" w:hAnsi="Cambria" w:eastAsia="宋体" w:cs="Cambria"/>
          <w:i w:val="0"/>
          <w:iCs w:val="0"/>
          <w:caps w:val="0"/>
          <w:color w:val="FF0000"/>
          <w:spacing w:val="0"/>
          <w:sz w:val="22"/>
          <w:szCs w:val="22"/>
          <w:shd w:val="clear" w:fill="FFFFFF"/>
          <w:lang w:val="en-US" w:eastAsia="zh-CN"/>
        </w:rPr>
        <w:t>RAI治疗后甲亢复发</w:t>
      </w:r>
      <w:r>
        <w:rPr>
          <w:rFonts w:hint="default" w:ascii="Cambria" w:hAnsi="Cambria" w:eastAsia="Cambria" w:cs="Cambria"/>
          <w:i w:val="0"/>
          <w:iCs w:val="0"/>
          <w:caps w:val="0"/>
          <w:color w:val="FF0000"/>
          <w:spacing w:val="0"/>
          <w:sz w:val="22"/>
          <w:szCs w:val="22"/>
          <w:shd w:val="clear" w:fill="FFFFFF"/>
        </w:rPr>
        <w:t>模型。</w:t>
      </w:r>
    </w:p>
    <w:p w14:paraId="7753D185">
      <w:pPr>
        <w:pStyle w:val="3"/>
        <w:keepNext w:val="0"/>
        <w:keepLines w:val="0"/>
        <w:widowControl/>
        <w:suppressLineNumbers w:val="0"/>
        <w:spacing w:before="0" w:beforeAutospacing="0" w:after="0" w:afterAutospacing="0" w:line="450" w:lineRule="atLeast"/>
        <w:rPr>
          <w:rFonts w:ascii="Bahnschrift" w:hAnsi="Bahnschrift" w:eastAsia="Bahnschrift" w:cs="Bahnschrift"/>
          <w:color w:val="FF0000"/>
          <w:spacing w:val="0"/>
          <w:sz w:val="31"/>
          <w:szCs w:val="31"/>
        </w:rPr>
      </w:pPr>
      <w:r>
        <w:rPr>
          <w:rFonts w:hint="default" w:ascii="Bahnschrift" w:hAnsi="Bahnschrift" w:eastAsia="Bahnschrift" w:cs="Bahnschrift"/>
          <w:color w:val="FF0000"/>
          <w:spacing w:val="0"/>
          <w:sz w:val="31"/>
          <w:szCs w:val="31"/>
        </w:rPr>
        <w:t>模型的全面评估及模型解释</w:t>
      </w:r>
    </w:p>
    <w:p w14:paraId="0AE538EE">
      <w:pPr>
        <w:pStyle w:val="4"/>
        <w:keepNext w:val="0"/>
        <w:keepLines w:val="0"/>
        <w:widowControl/>
        <w:suppressLineNumbers w:val="0"/>
        <w:spacing w:before="450" w:beforeAutospacing="0" w:after="0" w:afterAutospacing="0"/>
        <w:rPr>
          <w:color w:val="FF0000"/>
        </w:rPr>
      </w:pPr>
      <w:r>
        <w:rPr>
          <w:color w:val="FF0000"/>
        </w:rPr>
        <w:t>我们对预测模型进行了全面评估，重点关注其辨别力、校准能力、临床效用和可解释性。通过基于AUC和混淆矩阵的指标评估判别能力，以确定有无复发患者之间的区分准确性。通过校准图和Brier评分评估校准，以确保预测概率与观察到的结果对齐。通过决策曲线分析（DCA）分析临床效用，以评估不同风险阈值下的净收益。为增强多维</w:t>
      </w:r>
      <w:r>
        <w:rPr>
          <w:rFonts w:hint="eastAsia" w:ascii="Cambria" w:hAnsi="Cambria" w:eastAsia="宋体" w:cs="Cambria"/>
          <w:i w:val="0"/>
          <w:iCs w:val="0"/>
          <w:caps w:val="0"/>
          <w:color w:val="FF0000"/>
          <w:spacing w:val="0"/>
          <w:sz w:val="22"/>
          <w:szCs w:val="22"/>
          <w:shd w:val="clear" w:fill="FFFFFF"/>
          <w:lang w:val="en-US" w:eastAsia="zh-CN"/>
        </w:rPr>
        <w:t>RAI治疗后甲亢复发</w:t>
      </w:r>
      <w:r>
        <w:rPr>
          <w:color w:val="FF0000"/>
        </w:rPr>
        <w:t>模型的可解释性，我们采用SHapley加法解释（SHAP）进行全局解释，并使用森林图显示不同数据集中的对数比值比和置信区间（CI），以评估模型的普遍性和</w:t>
      </w:r>
      <w:r>
        <w:rPr>
          <w:rFonts w:hint="default" w:ascii="Cambria" w:hAnsi="Cambria" w:eastAsia="Cambria" w:cs="Cambria"/>
          <w:i w:val="0"/>
          <w:iCs w:val="0"/>
          <w:caps w:val="0"/>
          <w:color w:val="FF0000"/>
          <w:spacing w:val="0"/>
          <w:sz w:val="22"/>
          <w:szCs w:val="22"/>
          <w:shd w:val="clear" w:fill="FFFFFF"/>
        </w:rPr>
        <w:t>robustness</w:t>
      </w:r>
      <w:r>
        <w:rPr>
          <w:color w:val="FF0000"/>
        </w:rPr>
        <w:t>性。SHAP方法提供了全球解释，能够为</w:t>
      </w:r>
      <w:r>
        <w:rPr>
          <w:rFonts w:hint="eastAsia" w:ascii="Cambria" w:hAnsi="Cambria" w:eastAsia="宋体" w:cs="Cambria"/>
          <w:i w:val="0"/>
          <w:iCs w:val="0"/>
          <w:caps w:val="0"/>
          <w:color w:val="FF0000"/>
          <w:spacing w:val="0"/>
          <w:sz w:val="22"/>
          <w:szCs w:val="22"/>
          <w:shd w:val="clear" w:fill="FFFFFF"/>
          <w:lang w:val="en-US" w:eastAsia="zh-CN"/>
        </w:rPr>
        <w:t>RAI治疗后甲亢复发</w:t>
      </w:r>
      <w:r>
        <w:rPr>
          <w:color w:val="FF0000"/>
        </w:rPr>
        <w:t>模型中的每个特征提供一致且准确的归因值，以展示输入特征与复发之间的关联。亚组和分层分析进一步确认了模型在多样患者中的稳健性，探讨了各种因素对复发的影响。</w:t>
      </w:r>
    </w:p>
    <w:p w14:paraId="4A46AFAB">
      <w:pPr>
        <w:pStyle w:val="3"/>
        <w:keepNext w:val="0"/>
        <w:keepLines w:val="0"/>
        <w:widowControl/>
        <w:suppressLineNumbers w:val="0"/>
        <w:spacing w:before="0" w:beforeAutospacing="0" w:after="0" w:afterAutospacing="0" w:line="450" w:lineRule="atLeast"/>
        <w:rPr>
          <w:rFonts w:hint="default" w:ascii="Bahnschrift" w:hAnsi="Bahnschrift" w:eastAsia="Bahnschrift" w:cs="Bahnschrift"/>
          <w:color w:val="FF0000"/>
          <w:spacing w:val="0"/>
          <w:sz w:val="31"/>
          <w:szCs w:val="31"/>
        </w:rPr>
      </w:pPr>
      <w:r>
        <w:rPr>
          <w:rFonts w:hint="default" w:ascii="Bahnschrift" w:hAnsi="Bahnschrift" w:eastAsia="Bahnschrift" w:cs="Bahnschrift"/>
          <w:color w:val="FF0000"/>
          <w:spacing w:val="0"/>
          <w:sz w:val="31"/>
          <w:szCs w:val="31"/>
        </w:rPr>
        <w:t>网页部署工具与最优截止选择</w:t>
      </w:r>
    </w:p>
    <w:p w14:paraId="392196CD">
      <w:pPr>
        <w:pStyle w:val="4"/>
        <w:keepNext w:val="0"/>
        <w:keepLines w:val="0"/>
        <w:widowControl/>
        <w:suppressLineNumbers w:val="0"/>
        <w:spacing w:before="450" w:beforeAutospacing="0" w:after="0" w:afterAutospacing="0"/>
        <w:rPr>
          <w:color w:val="FF0000"/>
        </w:rPr>
      </w:pPr>
      <w:r>
        <w:rPr>
          <w:color w:val="FF0000"/>
        </w:rPr>
        <w:t>为了促进模型在临床环境中的实用性，</w:t>
      </w:r>
      <w:r>
        <w:rPr>
          <w:rFonts w:hint="eastAsia" w:ascii="Cambria" w:hAnsi="Cambria" w:eastAsia="宋体" w:cs="Cambria"/>
          <w:i w:val="0"/>
          <w:iCs w:val="0"/>
          <w:caps w:val="0"/>
          <w:color w:val="FF0000"/>
          <w:spacing w:val="0"/>
          <w:sz w:val="22"/>
          <w:szCs w:val="22"/>
          <w:shd w:val="clear" w:fill="FFFFFF"/>
          <w:lang w:val="en-US" w:eastAsia="zh-CN"/>
        </w:rPr>
        <w:t>RAI治疗后甲亢复发</w:t>
      </w:r>
      <w:r>
        <w:rPr>
          <w:color w:val="FF0000"/>
        </w:rPr>
        <w:t>模型被集成到基于Streamlit Python框架的网络应用中，并于 </w:t>
      </w:r>
      <w:r>
        <w:rPr>
          <w:color w:val="FF0000"/>
          <w:u w:val="single"/>
        </w:rPr>
        <w:fldChar w:fldCharType="begin"/>
      </w:r>
      <w:r>
        <w:rPr>
          <w:color w:val="FF0000"/>
          <w:u w:val="single"/>
        </w:rPr>
        <w:instrText xml:space="preserve"> HYPERLINK "http://8.130.130.132:8082/medicine.html" \t "https://pmc.ncbi.nlm.nih.gov/articles/PMC12584441/_blank" </w:instrText>
      </w:r>
      <w:r>
        <w:rPr>
          <w:color w:val="FF0000"/>
          <w:u w:val="single"/>
        </w:rPr>
        <w:fldChar w:fldCharType="separate"/>
      </w:r>
      <w:r>
        <w:rPr>
          <w:rStyle w:val="8"/>
          <w:color w:val="FF0000"/>
          <w:u w:val="single"/>
        </w:rPr>
        <w:t>http://8.130.130.132:8082/medicine.html</w:t>
      </w:r>
      <w:r>
        <w:rPr>
          <w:color w:val="FF0000"/>
          <w:u w:val="single"/>
        </w:rPr>
        <w:fldChar w:fldCharType="end"/>
      </w:r>
      <w:r>
        <w:rPr>
          <w:color w:val="FF0000"/>
        </w:rPr>
        <w:t> 提供</w:t>
      </w:r>
      <w:r>
        <w:rPr>
          <w:color w:val="FF0000"/>
          <w:u w:val="single"/>
        </w:rPr>
        <w:t>。</w:t>
      </w:r>
      <w:r>
        <w:rPr>
          <w:color w:val="FF0000"/>
        </w:rPr>
        <w:t>关于资格和访问的详细信息见附加文件1：补充材料。为了确定二元分类的最优阈值，采用了</w:t>
      </w:r>
      <w:r>
        <w:rPr>
          <w:rFonts w:hint="default" w:ascii="Cambria" w:hAnsi="Cambria" w:eastAsia="Cambria" w:cs="Cambria"/>
          <w:i w:val="0"/>
          <w:iCs w:val="0"/>
          <w:caps w:val="0"/>
          <w:color w:val="FF0000"/>
          <w:spacing w:val="0"/>
          <w:sz w:val="22"/>
          <w:szCs w:val="22"/>
          <w:shd w:val="clear" w:fill="FFFFFF"/>
        </w:rPr>
        <w:t> Youden's index</w:t>
      </w:r>
      <w:r>
        <w:rPr>
          <w:color w:val="FF0000"/>
        </w:rPr>
        <w:t>尤登指数作为评估指标。基于预测概率得出的原始预测分数作为计算各潜在截止点</w:t>
      </w:r>
      <w:r>
        <w:rPr>
          <w:rFonts w:hint="default" w:ascii="Cambria" w:hAnsi="Cambria" w:eastAsia="Cambria" w:cs="Cambria"/>
          <w:i w:val="0"/>
          <w:iCs w:val="0"/>
          <w:caps w:val="0"/>
          <w:color w:val="FF0000"/>
          <w:spacing w:val="0"/>
          <w:sz w:val="22"/>
          <w:szCs w:val="22"/>
          <w:shd w:val="clear" w:fill="FFFFFF"/>
        </w:rPr>
        <w:t> Youden's index</w:t>
      </w:r>
      <w:r>
        <w:rPr>
          <w:color w:val="FF0000"/>
        </w:rPr>
        <w:t>尤登指数的基础。选择了最大化尤登指数的最优截止点。分类决策通过比较原始预测分数与该最优截断值做出。</w:t>
      </w:r>
    </w:p>
    <w:p w14:paraId="3F1B4A4F">
      <w:pPr>
        <w:pStyle w:val="4"/>
        <w:keepNext w:val="0"/>
        <w:keepLines w:val="0"/>
        <w:widowControl/>
        <w:suppressLineNumbers w:val="0"/>
        <w:rPr>
          <w:rFonts w:hint="default" w:asciiTheme="minorEastAsia" w:hAnsiTheme="minorEastAsia" w:eastAsiaTheme="minorEastAsia" w:cstheme="minorEastAsia"/>
          <w:b w:val="0"/>
          <w:bCs/>
          <w:color w:val="FF0000"/>
          <w:lang w:val="en-US" w:eastAsia="zh-CN"/>
        </w:rPr>
      </w:pPr>
    </w:p>
    <w:p w14:paraId="310700F6">
      <w:pPr>
        <w:pStyle w:val="4"/>
        <w:keepNext w:val="0"/>
        <w:keepLines w:val="0"/>
        <w:widowControl/>
        <w:suppressLineNumbers w:val="0"/>
        <w:rPr>
          <w:rFonts w:hint="default" w:eastAsiaTheme="minorEastAsia"/>
          <w:lang w:val="en-US" w:eastAsia="zh-CN"/>
        </w:rPr>
      </w:pPr>
    </w:p>
    <w:p w14:paraId="7A38689D">
      <w:pPr>
        <w:pStyle w:val="4"/>
        <w:keepNext w:val="0"/>
        <w:keepLines w:val="0"/>
        <w:widowControl/>
        <w:suppressLineNumbers w:val="0"/>
        <w:rPr>
          <w:rFonts w:hint="default" w:eastAsiaTheme="minorEastAsia"/>
          <w:lang w:val="en-US" w:eastAsia="zh-CN"/>
        </w:rPr>
      </w:pPr>
    </w:p>
    <w:p w14:paraId="4F64903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Bahnschrift">
    <w:panose1 w:val="020B0502040204020203"/>
    <w:charset w:val="00"/>
    <w:family w:val="auto"/>
    <w:pitch w:val="default"/>
    <w:sig w:usb0="A00002C7" w:usb1="00000002"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5DF5C6D"/>
    <w:multiLevelType w:val="singleLevel"/>
    <w:tmpl w:val="55DF5C6D"/>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0413E1"/>
    <w:rsid w:val="089D73B5"/>
    <w:rsid w:val="109D103E"/>
    <w:rsid w:val="13081D5E"/>
    <w:rsid w:val="1A9C26B3"/>
    <w:rsid w:val="1EF30446"/>
    <w:rsid w:val="22E31067"/>
    <w:rsid w:val="3044003E"/>
    <w:rsid w:val="37B61D60"/>
    <w:rsid w:val="42CF2B62"/>
    <w:rsid w:val="4E2E514E"/>
    <w:rsid w:val="545C5BB9"/>
    <w:rsid w:val="570413E1"/>
    <w:rsid w:val="712C4808"/>
    <w:rsid w:val="762F5D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1988</Words>
  <Characters>2469</Characters>
  <Lines>0</Lines>
  <Paragraphs>0</Paragraphs>
  <TotalTime>482</TotalTime>
  <ScaleCrop>false</ScaleCrop>
  <LinksUpToDate>false</LinksUpToDate>
  <CharactersWithSpaces>2499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2026-03-16T07:21:00Z</dcterms:created>
  <dc:creator>Fen</dc:creator>
  <cp:lastModifiedBy>Fen</cp:lastModifiedBy>
  <dcterms:modified xsi:type="dcterms:W3CDTF">2026-03-17T09:03:41Z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77F138C8D1D648B194AB6B2E3781D38E_11</vt:lpwstr>
  </property>
  <property fmtid="{D5CDD505-2E9C-101B-9397-08002B2CF9AE}" pid="4" name="KSOTemplateDocerSaveRecord">
    <vt:lpwstr>eyJoZGlkIjoiMzEwNTM5NzYwMDRjMzkwZTVkZjY2ODkwMGIxNGU0OTUiLCJ1c2VySWQiOiI2NTc1NDc2MTgifQ==</vt:lpwstr>
  </property>
</Properties>
</file>