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0" w:name="Xdcd73f53c183e21b89598bbbf509ba71445e64a"/>
    <w:p>
      <w:pPr>
        <w:pStyle w:val="Heading1"/>
      </w:pPr>
      <w:r>
        <w:t xml:space="preserve">Realistic Assessment: Criminal Fraud Complaint Against Mateusz Szklarski / JDG GPUcomputer</w:t>
      </w:r>
    </w:p>
    <w:bookmarkStart w:id="20" w:name="Xfebd9f3dbd675a7ade9ba74f11ae8d3c2abad80"/>
    <w:p>
      <w:pPr>
        <w:pStyle w:val="Heading2"/>
      </w:pPr>
      <w:r>
        <w:t xml:space="preserve">Expected Value, Timeline, and Money-Recovery Prospects</w:t>
      </w:r>
    </w:p>
    <w:p>
      <w:pPr>
        <w:pStyle w:val="FirstParagraph"/>
      </w:pPr>
      <w:r>
        <w:rPr>
          <w:bCs/>
          <w:b/>
        </w:rPr>
        <w:t xml:space="preserve">Date:</w:t>
      </w:r>
      <w:r>
        <w:t xml:space="preserve"> </w:t>
      </w:r>
      <w:r>
        <w:t xml:space="preserve">4 June 2026</w:t>
      </w:r>
      <w:r>
        <w:t xml:space="preserve"> </w:t>
      </w:r>
      <w:r>
        <w:rPr>
          <w:bCs/>
          <w:b/>
        </w:rPr>
        <w:t xml:space="preserve">Subject:</w:t>
      </w:r>
      <w:r>
        <w:t xml:space="preserve"> </w:t>
      </w:r>
      <w:r>
        <w:t xml:space="preserve">155,000 PLN fraud — undelivered custom workstation, JDG GPUcomputer (NIP 8661681248), Kraków</w:t>
      </w:r>
      <w:r>
        <w:t xml:space="preserve"> </w:t>
      </w:r>
      <w:r>
        <w:rPr>
          <w:bCs/>
          <w:b/>
        </w:rPr>
        <w:t xml:space="preserve">Prepared for:</w:t>
      </w:r>
      <w:r>
        <w:t xml:space="preserve"> </w:t>
      </w:r>
      <w:r>
        <w:t xml:space="preserve">Victim (foreign, EPU civil claim Nc-e 552126/26 already filed)</w:t>
      </w:r>
      <w:r>
        <w:t xml:space="preserve"> </w:t>
      </w:r>
      <w:r>
        <w:rPr>
          <w:bCs/>
          <w:b/>
        </w:rPr>
        <w:t xml:space="preserve">Scope:</w:t>
      </w:r>
      <w:r>
        <w:t xml:space="preserve"> </w:t>
      </w:r>
      <w:r>
        <w:t xml:space="preserve">Polish criminal law (art. 286 KK) — decision tree, recovery mechanisms, honest bottom line</w:t>
      </w:r>
    </w:p>
    <w:p>
      <w:r>
        <w:pict>
          <v:rect style="width:0;height:1.5pt" o:hralign="center" o:hrstd="t" o:hr="t"/>
        </w:pict>
      </w:r>
    </w:p>
    <w:bookmarkEnd w:id="20"/>
    <w:bookmarkStart w:id="28" w:name="X4369c09ca6162423001ce5723011bf37fed9442"/>
    <w:p>
      <w:pPr>
        <w:pStyle w:val="Heading2"/>
      </w:pPr>
      <w:r>
        <w:t xml:space="preserve">1. Decision Tree: Probabilities and Timeframes at Each Stage</w:t>
      </w:r>
    </w:p>
    <w:p>
      <w:pPr>
        <w:pStyle w:val="FirstParagraph"/>
      </w:pPr>
      <w:r>
        <w:t xml:space="preserve">You are standing at the first of five gates. Each gate opens only if the previous one did — and most do not. This chapter maps the complete pipeline from the moment you file your</w:t>
      </w:r>
      <w:r>
        <w:t xml:space="preserve"> </w:t>
      </w:r>
      <w:r>
        <w:rPr>
          <w:iCs/>
          <w:i/>
        </w:rPr>
        <w:t xml:space="preserve">zawiadomienie o przestępstwie</w:t>
      </w:r>
      <w:r>
        <w:t xml:space="preserve"> </w:t>
      </w:r>
      <w:r>
        <w:t xml:space="preserve">(crime notification) to the point where you either hold cash or hold nothing. Every percentage below is derived from published Polish prosecution statistics, NIK audit data, or documented legal practice. None of it is reassuring.</w:t>
      </w:r>
    </w:p>
    <w:p>
      <w:pPr>
        <w:pStyle w:val="BodyText"/>
      </w:pPr>
      <w:r>
        <w:t xml:space="preserve">Think of the criminal route not as a lawsuit you win, but as a funnel you survive. The Polish prosecution system resolves approximately 1.13 million criminal matters annually. Of these, 66.6% end in</w:t>
      </w:r>
      <w:r>
        <w:t xml:space="preserve"> </w:t>
      </w:r>
      <w:r>
        <w:rPr>
          <w:iCs/>
          <w:i/>
        </w:rPr>
        <w:t xml:space="preserve">umorzenie</w:t>
      </w:r>
      <w:r>
        <w:t xml:space="preserve"> </w:t>
      </w:r>
      <w:r>
        <w:t xml:space="preserve">(discontinuation) or</w:t>
      </w:r>
      <w:r>
        <w:t xml:space="preserve"> </w:t>
      </w:r>
      <w:r>
        <w:rPr>
          <w:iCs/>
          <w:i/>
        </w:rPr>
        <w:t xml:space="preserve">odmowa wszczęcia</w:t>
      </w:r>
      <w:r>
        <w:t xml:space="preserve"> </w:t>
      </w:r>
      <w:r>
        <w:t xml:space="preserve">(refusal to initiate) — leaving only 22% that ever reach a courtroom. [^275^] Fraud-specific attrition is almost certainly worse than this already bleak baseline. A computer fraud study by Buczkowski at the Instytut Wymiaru Sprawiedliwości found that up to 95% of proceedings in the</w:t>
      </w:r>
      <w:r>
        <w:t xml:space="preserve"> </w:t>
      </w:r>
      <w:r>
        <w:rPr>
          <w:iCs/>
          <w:i/>
        </w:rPr>
        <w:t xml:space="preserve">przestępstwa przeciwko bezpieczeństwu elektronicznie przetwarzanej informacji</w:t>
      </w:r>
      <w:r>
        <w:t xml:space="preserve"> </w:t>
      </w:r>
      <w:r>
        <w:t xml:space="preserve">category are discontinued at the preparatory stage or concluded with a refusal to initiate. [^67^] While that data applies to art. 287</w:t>
      </w:r>
      <w:r>
        <w:t xml:space="preserve"> </w:t>
      </w:r>
      <w:r>
        <w:rPr>
          <w:iCs/>
          <w:i/>
        </w:rPr>
        <w:t xml:space="preserve">k.k.</w:t>
      </w:r>
      <w:r>
        <w:t xml:space="preserve"> </w:t>
      </w:r>
      <w:r>
        <w:t xml:space="preserve">rather than art. 286</w:t>
      </w:r>
      <w:r>
        <w:t xml:space="preserve"> </w:t>
      </w:r>
      <w:r>
        <w:rPr>
          <w:iCs/>
          <w:i/>
        </w:rPr>
        <w:t xml:space="preserve">k.k.</w:t>
      </w:r>
      <w:r>
        <w:t xml:space="preserve">, the overlap in modus operandi — electronic communication, bank transfers, distant perpetrator — makes it a relevant proxy for your case.</w:t>
      </w:r>
    </w:p>
    <w:bookmarkStart w:id="21" w:name="the-decision-tree-structure"/>
    <w:p>
      <w:pPr>
        <w:pStyle w:val="Heading3"/>
      </w:pPr>
      <w:r>
        <w:t xml:space="preserve">The Decision Tree Structure</w:t>
      </w:r>
    </w:p>
    <w:p>
      <w:pPr>
        <w:pStyle w:val="FirstParagraph"/>
      </w:pPr>
      <w:r>
        <w:t xml:space="preserve">Imagine the criminal route as a branching tree with five decision nodes. At Node 1 (screening), the prosecutor either opens proceedings or declines. If the gate opens, you proceed to Node 2 (investigation), where the prosecutor either builds enough evidence to charge or discontinues. Node 3 (indictment) is where the prosecutor either files an</w:t>
      </w:r>
      <w:r>
        <w:t xml:space="preserve"> </w:t>
      </w:r>
      <w:r>
        <w:rPr>
          <w:iCs/>
          <w:i/>
        </w:rPr>
        <w:t xml:space="preserve">akt oskarżenia</w:t>
      </w:r>
      <w:r>
        <w:t xml:space="preserve"> </w:t>
      </w:r>
      <w:r>
        <w:t xml:space="preserve">or drops the case. Node 4 (trial) is where the court either convicts or acquits — and here the probability finally favours you, but only because the prosecution has already filtered out every weak case. Node 5 (execution) is where the court-ordered compensation either produces cash or produces a piece of paper. Each branch has a probability and a duration attached. Multiplying the probabilities across all five nodes gives the true odds of cash recovery. Multiplying them by the amount at stake gives the expected value — a figure that, as we will see, makes the criminal route rational only when its cost is zero and its strategic side effects are counted.</w:t>
      </w:r>
    </w:p>
    <w:bookmarkEnd w:id="21"/>
    <w:bookmarkStart w:id="22" w:name="Xabbdc01200a25841d03930fa9b96514f361abc7"/>
    <w:p>
      <w:pPr>
        <w:pStyle w:val="Heading3"/>
      </w:pPr>
      <w:r>
        <w:t xml:space="preserve">1.1 The Screening Stage (</w:t>
      </w:r>
      <w:r>
        <w:rPr>
          <w:iCs/>
          <w:i/>
        </w:rPr>
        <w:t xml:space="preserve">Postępowanie Sprawdzające</w:t>
      </w:r>
      <w:r>
        <w:t xml:space="preserve">)</w:t>
      </w:r>
    </w:p>
    <w:p>
      <w:pPr>
        <w:pStyle w:val="FirstParagraph"/>
      </w:pPr>
      <w:r>
        <w:t xml:space="preserve">Your complaint lands at the</w:t>
      </w:r>
      <w:r>
        <w:t xml:space="preserve"> </w:t>
      </w:r>
      <w:r>
        <w:rPr>
          <w:iCs/>
          <w:i/>
        </w:rPr>
        <w:t xml:space="preserve">Prokuratura Rejonowa w Krakowie</w:t>
      </w:r>
      <w:r>
        <w:t xml:space="preserve">. Under art. 307 § 1</w:t>
      </w:r>
      <w:r>
        <w:t xml:space="preserve"> </w:t>
      </w:r>
      <w:r>
        <w:rPr>
          <w:iCs/>
          <w:i/>
        </w:rPr>
        <w:t xml:space="preserve">k.p.k.</w:t>
      </w:r>
      <w:r>
        <w:t xml:space="preserve">, the prosecutor has 30 days to decide whether to open</w:t>
      </w:r>
      <w:r>
        <w:t xml:space="preserve"> </w:t>
      </w:r>
      <w:r>
        <w:rPr>
          <w:iCs/>
          <w:i/>
        </w:rPr>
        <w:t xml:space="preserve">dochodzenie</w:t>
      </w:r>
      <w:r>
        <w:t xml:space="preserve"> </w:t>
      </w:r>
      <w:r>
        <w:t xml:space="preserve">(investigation) or issue an</w:t>
      </w:r>
      <w:r>
        <w:t xml:space="preserve"> </w:t>
      </w:r>
      <w:r>
        <w:rPr>
          <w:iCs/>
          <w:i/>
        </w:rPr>
        <w:t xml:space="preserve">odmowa wszczęcia</w:t>
      </w:r>
      <w:r>
        <w:t xml:space="preserve">. That deadline is</w:t>
      </w:r>
      <w:r>
        <w:t xml:space="preserve"> </w:t>
      </w:r>
      <w:r>
        <w:rPr>
          <w:iCs/>
          <w:i/>
        </w:rPr>
        <w:t xml:space="preserve">instrukcyjny</w:t>
      </w:r>
      <w:r>
        <w:t xml:space="preserve"> </w:t>
      </w:r>
      <w:r>
        <w:t xml:space="preserve">— an internal guideline with no procedural sanction for breach. [^195^] In practice, expect 2–6 weeks. If 6 weeks pass with no decision, you may file a</w:t>
      </w:r>
      <w:r>
        <w:t xml:space="preserve"> </w:t>
      </w:r>
      <w:r>
        <w:rPr>
          <w:iCs/>
          <w:i/>
        </w:rPr>
        <w:t xml:space="preserve">skarga na opieszałość</w:t>
      </w:r>
      <w:r>
        <w:t xml:space="preserve"> </w:t>
      </w:r>
      <w:r>
        <w:t xml:space="preserve">(complaint about delay) under art. 306 § 3</w:t>
      </w:r>
      <w:r>
        <w:t xml:space="preserve"> </w:t>
      </w:r>
      <w:r>
        <w:rPr>
          <w:iCs/>
          <w:i/>
        </w:rPr>
        <w:t xml:space="preserve">k.p.k.</w:t>
      </w:r>
      <w:r>
        <w:t xml:space="preserve">, but this does not force the prosecutor to open proceedings — only to decide. [^130^]</w:t>
      </w:r>
    </w:p>
    <w:p>
      <w:pPr>
        <w:pStyle w:val="BodyText"/>
      </w:pPr>
      <w:r>
        <w:t xml:space="preserve">For your fact pattern — 155,000 PLN, single victim, documentary evidence (bank transfers, written refund promise), foreign victim, debtor abroad — the probability of proceeding past this gate is approximately</w:t>
      </w:r>
      <w:r>
        <w:t xml:space="preserve"> </w:t>
      </w:r>
      <w:r>
        <w:rPr>
          <w:bCs/>
          <w:b/>
        </w:rPr>
        <w:t xml:space="preserve">50–60%</w:t>
      </w:r>
      <w:r>
        <w:t xml:space="preserve">. This estimate draws on the general</w:t>
      </w:r>
      <w:r>
        <w:t xml:space="preserve"> </w:t>
      </w:r>
      <w:r>
        <w:rPr>
          <w:iCs/>
          <w:i/>
        </w:rPr>
        <w:t xml:space="preserve">odmowa wszczęcia</w:t>
      </w:r>
      <w:r>
        <w:t xml:space="preserve"> </w:t>
      </w:r>
      <w:r>
        <w:t xml:space="preserve">rate of 28.7% nationally [^275^], adjusted upward for the relatively solid paper trail and downward for the complicating factors: the amount sits below the 200,000 PLN</w:t>
      </w:r>
      <w:r>
        <w:t xml:space="preserve"> </w:t>
      </w:r>
      <w:r>
        <w:rPr>
          <w:iCs/>
          <w:i/>
        </w:rPr>
        <w:t xml:space="preserve">znacznej wartości</w:t>
      </w:r>
      <w:r>
        <w:t xml:space="preserve"> </w:t>
      </w:r>
      <w:r>
        <w:t xml:space="preserve">threshold that triggers art. 294 § 1</w:t>
      </w:r>
      <w:r>
        <w:t xml:space="preserve"> </w:t>
      </w:r>
      <w:r>
        <w:rPr>
          <w:iCs/>
          <w:i/>
        </w:rPr>
        <w:t xml:space="preserve">k.k.</w:t>
      </w:r>
      <w:r>
        <w:t xml:space="preserve"> </w:t>
      </w:r>
      <w:r>
        <w:t xml:space="preserve">(qualified fraud, 1–10 years) [^23^]; you are a single victim rather than part of a multi-victim pattern that would signal higher social harmfulness; and the debtor’s residence in the Netherlands introduces jurisdictional friction that may push the prosecutor toward</w:t>
      </w:r>
      <w:r>
        <w:t xml:space="preserve"> </w:t>
      </w:r>
      <w:r>
        <w:rPr>
          <w:iCs/>
          <w:i/>
        </w:rPr>
        <w:t xml:space="preserve">odmowa</w:t>
      </w:r>
      <w:r>
        <w:t xml:space="preserve"> </w:t>
      </w:r>
      <w:r>
        <w:t xml:space="preserve">on pragmatic grounds. Polish police statistics confirm the gap: in 2024, proceedings were initiated in only 69.8% of confirmed fraud cases — meaning 30.2% of confirmed crimes never even triggered an investigation. [^231^]</w:t>
      </w:r>
    </w:p>
    <w:p>
      <w:pPr>
        <w:pStyle w:val="BodyText"/>
      </w:pPr>
      <w:r>
        <w:t xml:space="preserve">The critical variable at this stage is whether the prosecutor views your case as a criminal fraud (art. 286 § 1</w:t>
      </w:r>
      <w:r>
        <w:t xml:space="preserve"> </w:t>
      </w:r>
      <w:r>
        <w:rPr>
          <w:iCs/>
          <w:i/>
        </w:rPr>
        <w:t xml:space="preserve">k.k.</w:t>
      </w:r>
      <w:r>
        <w:t xml:space="preserve">) or a civil dispute dressed in criminal language. Nationwide, 34% of</w:t>
      </w:r>
      <w:r>
        <w:t xml:space="preserve"> </w:t>
      </w:r>
      <w:r>
        <w:rPr>
          <w:iCs/>
          <w:i/>
        </w:rPr>
        <w:t xml:space="preserve">umorzeń</w:t>
      </w:r>
      <w:r>
        <w:t xml:space="preserve"> </w:t>
      </w:r>
      <w:r>
        <w:t xml:space="preserve">are justified by</w:t>
      </w:r>
      <w:r>
        <w:t xml:space="preserve"> </w:t>
      </w:r>
      <w:r>
        <w:rPr>
          <w:iCs/>
          <w:i/>
        </w:rPr>
        <w:t xml:space="preserve">brak znamion przestępstwa</w:t>
      </w:r>
      <w:r>
        <w:t xml:space="preserve"> </w:t>
      </w:r>
      <w:r>
        <w:t xml:space="preserve">(absence of criminal elements) — the line between fraud and breach of contract is the most common reason Polish prosecutors reject economic crime complaints. [^255^] Your refund promise, contradictory excuses, and systematic non-delivery pattern must be presented with enough clarity to survive this filter.</w:t>
      </w:r>
    </w:p>
    <w:bookmarkEnd w:id="22"/>
    <w:bookmarkStart w:id="23" w:name="X6725234876e9ab6038924aa0b649bbbcd5e8b7b"/>
    <w:p>
      <w:pPr>
        <w:pStyle w:val="Heading3"/>
      </w:pPr>
      <w:r>
        <w:t xml:space="preserve">1.2 The Investigation Stage (</w:t>
      </w:r>
      <w:r>
        <w:rPr>
          <w:iCs/>
          <w:i/>
        </w:rPr>
        <w:t xml:space="preserve">Śledztwo / Dochodzenie</w:t>
      </w:r>
      <w:r>
        <w:t xml:space="preserve">)</w:t>
      </w:r>
    </w:p>
    <w:p>
      <w:pPr>
        <w:pStyle w:val="FirstParagraph"/>
      </w:pPr>
      <w:r>
        <w:t xml:space="preserve">If the gate opens, the</w:t>
      </w:r>
      <w:r>
        <w:t xml:space="preserve"> </w:t>
      </w:r>
      <w:r>
        <w:rPr>
          <w:iCs/>
          <w:i/>
        </w:rPr>
        <w:t xml:space="preserve">dochodzenie</w:t>
      </w:r>
      <w:r>
        <w:t xml:space="preserve"> </w:t>
      </w:r>
      <w:r>
        <w:t xml:space="preserve">begins. For art. 286 § 1</w:t>
      </w:r>
      <w:r>
        <w:t xml:space="preserve"> </w:t>
      </w:r>
      <w:r>
        <w:rPr>
          <w:iCs/>
          <w:i/>
        </w:rPr>
        <w:t xml:space="preserve">k.k.</w:t>
      </w:r>
      <w:r>
        <w:t xml:space="preserve"> </w:t>
      </w:r>
      <w:r>
        <w:t xml:space="preserve">(penalty range 6 months to 8 years), the statutory deadline is 2 months under art. 325i § 1</w:t>
      </w:r>
      <w:r>
        <w:t xml:space="preserve"> </w:t>
      </w:r>
      <w:r>
        <w:rPr>
          <w:iCs/>
          <w:i/>
        </w:rPr>
        <w:t xml:space="preserve">k.p.k.</w:t>
      </w:r>
      <w:r>
        <w:t xml:space="preserve">, extendable to 3 months by the supervising prosecutor. [^101^] In practice, fraud investigations run</w:t>
      </w:r>
      <w:r>
        <w:t xml:space="preserve"> </w:t>
      </w:r>
      <w:r>
        <w:rPr>
          <w:bCs/>
          <w:b/>
        </w:rPr>
        <w:t xml:space="preserve">3–8 months</w:t>
      </w:r>
      <w:r>
        <w:t xml:space="preserve"> </w:t>
      </w:r>
      <w:r>
        <w:t xml:space="preserve">for straightforward documentary cases, and</w:t>
      </w:r>
      <w:r>
        <w:t xml:space="preserve"> </w:t>
      </w:r>
      <w:r>
        <w:rPr>
          <w:bCs/>
          <w:b/>
        </w:rPr>
        <w:t xml:space="preserve">4–12 months longer</w:t>
      </w:r>
      <w:r>
        <w:t xml:space="preserve"> </w:t>
      </w:r>
      <w:r>
        <w:t xml:space="preserve">when the suspect resides abroad. [^29^] The 2022 prosecution data shows significant dispersion: 25,979 investigations resolved in 3–6 months; 13,842 in 6–12 months; 4,080 in 1–2 years; and 3,182 stretching beyond 2 years. [^199^]</w:t>
      </w:r>
    </w:p>
    <w:p>
      <w:pPr>
        <w:pStyle w:val="BodyText"/>
      </w:pPr>
      <w:r>
        <w:t xml:space="preserve">Of the investigations opened, only</w:t>
      </w:r>
      <w:r>
        <w:t xml:space="preserve"> </w:t>
      </w:r>
      <w:r>
        <w:rPr>
          <w:bCs/>
          <w:b/>
        </w:rPr>
        <w:t xml:space="preserve">30–40%</w:t>
      </w:r>
      <w:r>
        <w:t xml:space="preserve"> </w:t>
      </w:r>
      <w:r>
        <w:t xml:space="preserve">reach the</w:t>
      </w:r>
      <w:r>
        <w:t xml:space="preserve"> </w:t>
      </w:r>
      <w:r>
        <w:rPr>
          <w:iCs/>
          <w:i/>
        </w:rPr>
        <w:t xml:space="preserve">przedstawienie zarzutów</w:t>
      </w:r>
      <w:r>
        <w:t xml:space="preserve"> </w:t>
      </w:r>
      <w:r>
        <w:t xml:space="preserve">(charging of the suspect) stage. The attrition here is severe and structurally predictable. Among discontinued cases, the two dominant reasons are</w:t>
      </w:r>
      <w:r>
        <w:t xml:space="preserve"> </w:t>
      </w:r>
      <w:r>
        <w:rPr>
          <w:iCs/>
          <w:i/>
        </w:rPr>
        <w:t xml:space="preserve">brak znamion przestępstwa</w:t>
      </w:r>
      <w:r>
        <w:t xml:space="preserve"> </w:t>
      </w:r>
      <w:r>
        <w:t xml:space="preserve">(34%) and</w:t>
      </w:r>
      <w:r>
        <w:t xml:space="preserve"> </w:t>
      </w:r>
      <w:r>
        <w:rPr>
          <w:iCs/>
          <w:i/>
        </w:rPr>
        <w:t xml:space="preserve">niewykrycie sprawcy</w:t>
      </w:r>
      <w:r>
        <w:t xml:space="preserve"> </w:t>
      </w:r>
      <w:r>
        <w:t xml:space="preserve">(perpetrator not identified, 29%). [^255^] In your case, perpetrator identity is not the problem — Mateusz Szklarski is known and his JDG GPUcomputer is registered in CEIDG. The risk lies elsewhere: the prosecutor may conclude the matter is contractual, or the suspect’s Netherlands residence may trigger a practical decision to discontinue under art. 17 § 1</w:t>
      </w:r>
      <w:r>
        <w:t xml:space="preserve"> </w:t>
      </w:r>
      <w:r>
        <w:rPr>
          <w:iCs/>
          <w:i/>
        </w:rPr>
        <w:t xml:space="preserve">k.p.k.</w:t>
      </w:r>
      <w:r>
        <w:t xml:space="preserve"> </w:t>
      </w:r>
      <w:r>
        <w:t xml:space="preserve">grounds of procedural economy.</w:t>
      </w:r>
    </w:p>
    <w:p>
      <w:pPr>
        <w:pStyle w:val="BodyText"/>
      </w:pPr>
      <w:r>
        <w:t xml:space="preserve">The cross-border element is the wild card. Under art. 22 § 1</w:t>
      </w:r>
      <w:r>
        <w:t xml:space="preserve"> </w:t>
      </w:r>
      <w:r>
        <w:rPr>
          <w:iCs/>
          <w:i/>
        </w:rPr>
        <w:t xml:space="preserve">k.p.k.</w:t>
      </w:r>
      <w:r>
        <w:t xml:space="preserve">, proceedings</w:t>
      </w:r>
      <w:r>
        <w:t xml:space="preserve"> </w:t>
      </w:r>
      <w:r>
        <w:rPr>
          <w:iCs/>
          <w:i/>
        </w:rPr>
        <w:t xml:space="preserve">shall be suspended</w:t>
      </w:r>
      <w:r>
        <w:t xml:space="preserve"> </w:t>
      </w:r>
      <w:r>
        <w:t xml:space="preserve">if there is a</w:t>
      </w:r>
      <w:r>
        <w:t xml:space="preserve"> </w:t>
      </w:r>
      <w:r>
        <w:rPr>
          <w:iCs/>
          <w:i/>
        </w:rPr>
        <w:t xml:space="preserve">długotrwała przeszkoda</w:t>
      </w:r>
      <w:r>
        <w:t xml:space="preserve"> </w:t>
      </w:r>
      <w:r>
        <w:t xml:space="preserve">(long-term obstacle) preventing conduct of proceedings, including the accused’s absence from the country. [^127^] During suspension, evidence-securing activities may continue (art. 22 § 3</w:t>
      </w:r>
      <w:r>
        <w:t xml:space="preserve"> </w:t>
      </w:r>
      <w:r>
        <w:rPr>
          <w:iCs/>
          <w:i/>
        </w:rPr>
        <w:t xml:space="preserve">k.p.k.</w:t>
      </w:r>
      <w:r>
        <w:t xml:space="preserve">), but the investigation effectively stalls. Polish prosecutors are generally reluctant to pursue suspects abroad for sub-200k PLN fraud;</w:t>
      </w:r>
      <w:r>
        <w:t xml:space="preserve"> </w:t>
      </w:r>
      <w:r>
        <w:rPr>
          <w:iCs/>
          <w:i/>
        </w:rPr>
        <w:t xml:space="preserve">przesłuchanie osoby za granicą</w:t>
      </w:r>
      <w:r>
        <w:t xml:space="preserve"> </w:t>
      </w:r>
      <w:r>
        <w:t xml:space="preserve">typically occurs only when the stay abroad is permanent and the person does not intend to return. [^94^] An European Investigation Order (EIO) can gather Dutch-based evidence, adding 30–90 days, but the prosecutor must choose to issue it — and for a 155k case, that choice is discretionary and uncertain. [^3^] The suspect may also be questioned physically by Dutch authorities on behalf of the Polish prosecutor under mutual legal assistance frameworks, though this requires the suspect’s cooperation or at least presence. [^25^]</w:t>
      </w:r>
    </w:p>
    <w:bookmarkEnd w:id="23"/>
    <w:bookmarkStart w:id="24" w:name="Xb49b12349383fc62aeb6d0e1b2cad2f142a77d5"/>
    <w:p>
      <w:pPr>
        <w:pStyle w:val="Heading3"/>
      </w:pPr>
      <w:r>
        <w:t xml:space="preserve">1.3 Charges to Indictment (</w:t>
      </w:r>
      <w:r>
        <w:rPr>
          <w:iCs/>
          <w:i/>
        </w:rPr>
        <w:t xml:space="preserve">Zarzuty → Akt Oskarżenia</w:t>
      </w:r>
      <w:r>
        <w:t xml:space="preserve">)</w:t>
      </w:r>
    </w:p>
    <w:p>
      <w:pPr>
        <w:pStyle w:val="FirstParagraph"/>
      </w:pPr>
      <w:r>
        <w:t xml:space="preserve">If charges are presented under art. 313</w:t>
      </w:r>
      <w:r>
        <w:t xml:space="preserve"> </w:t>
      </w:r>
      <w:r>
        <w:rPr>
          <w:iCs/>
          <w:i/>
        </w:rPr>
        <w:t xml:space="preserve">k.p.k.</w:t>
      </w:r>
      <w:r>
        <w:t xml:space="preserve">, the suspect becomes</w:t>
      </w:r>
      <w:r>
        <w:t xml:space="preserve"> </w:t>
      </w:r>
      <w:r>
        <w:rPr>
          <w:iCs/>
          <w:i/>
        </w:rPr>
        <w:t xml:space="preserve">podejrzany</w:t>
      </w:r>
      <w:r>
        <w:t xml:space="preserve"> </w:t>
      </w:r>
      <w:r>
        <w:t xml:space="preserve">(formally suspected). At this point, the probability of reaching indictment rises sharply:</w:t>
      </w:r>
      <w:r>
        <w:t xml:space="preserve"> </w:t>
      </w:r>
      <w:r>
        <w:rPr>
          <w:bCs/>
          <w:b/>
        </w:rPr>
        <w:t xml:space="preserve">70–80%</w:t>
      </w:r>
      <w:r>
        <w:t xml:space="preserve"> </w:t>
      </w:r>
      <w:r>
        <w:t xml:space="preserve">of charged cases result in an</w:t>
      </w:r>
      <w:r>
        <w:t xml:space="preserve"> </w:t>
      </w:r>
      <w:r>
        <w:rPr>
          <w:iCs/>
          <w:i/>
        </w:rPr>
        <w:t xml:space="preserve">akt oskarżenia</w:t>
      </w:r>
      <w:r>
        <w:t xml:space="preserve"> </w:t>
      </w:r>
      <w:r>
        <w:t xml:space="preserve">(indictment). [^128^] This is not because the remaining 20–30% are weak — it is because Polish prosecutors are highly selective gatekeepers; by the time charges are presented, the evidentiary threshold for indictment has typically already been met.</w:t>
      </w:r>
    </w:p>
    <w:p>
      <w:pPr>
        <w:pStyle w:val="BodyText"/>
      </w:pPr>
      <w:r>
        <w:t xml:space="preserve">Two shortcut mechanisms exist at this stage. Under art. 335</w:t>
      </w:r>
      <w:r>
        <w:t xml:space="preserve"> </w:t>
      </w:r>
      <w:r>
        <w:rPr>
          <w:iCs/>
          <w:i/>
        </w:rPr>
        <w:t xml:space="preserve">k.p.k.</w:t>
      </w:r>
      <w:r>
        <w:t xml:space="preserve">,</w:t>
      </w:r>
      <w:r>
        <w:t xml:space="preserve"> </w:t>
      </w:r>
      <w:r>
        <w:rPr>
          <w:iCs/>
          <w:i/>
        </w:rPr>
        <w:t xml:space="preserve">Dobrowolne Poddanie się Karze</w:t>
      </w:r>
      <w:r>
        <w:t xml:space="preserve"> </w:t>
      </w:r>
      <w:r>
        <w:t xml:space="preserve">(voluntary submission to penalty) allows the accused to admit guilt and accept a proposed penalty without trial — a route commonly used in fraud cases where the defendant agrees to repair the damage. [^128^] If the accused pays, this can resolve the case in weeks rather than months. The second route is</w:t>
      </w:r>
      <w:r>
        <w:t xml:space="preserve"> </w:t>
      </w:r>
      <w:r>
        <w:rPr>
          <w:iCs/>
          <w:i/>
        </w:rPr>
        <w:t xml:space="preserve">warunkowe umorzenie postępowania</w:t>
      </w:r>
      <w:r>
        <w:t xml:space="preserve"> </w:t>
      </w:r>
      <w:r>
        <w:t xml:space="preserve">(conditional discontinuation) under art. 66</w:t>
      </w:r>
      <w:r>
        <w:t xml:space="preserve"> </w:t>
      </w:r>
      <w:r>
        <w:rPr>
          <w:iCs/>
          <w:i/>
        </w:rPr>
        <w:t xml:space="preserve">k.k.</w:t>
      </w:r>
      <w:r>
        <w:t xml:space="preserve"> </w:t>
      </w:r>
      <w:r>
        <w:t xml:space="preserve">— but this is</w:t>
      </w:r>
      <w:r>
        <w:t xml:space="preserve"> </w:t>
      </w:r>
      <w:r>
        <w:rPr>
          <w:bCs/>
          <w:b/>
        </w:rPr>
        <w:t xml:space="preserve">unavailable</w:t>
      </w:r>
      <w:r>
        <w:t xml:space="preserve"> </w:t>
      </w:r>
      <w:r>
        <w:t xml:space="preserve">for art. 286 § 1</w:t>
      </w:r>
      <w:r>
        <w:t xml:space="preserve"> </w:t>
      </w:r>
      <w:r>
        <w:rPr>
          <w:iCs/>
          <w:i/>
        </w:rPr>
        <w:t xml:space="preserve">k.k.</w:t>
      </w:r>
      <w:r>
        <w:t xml:space="preserve"> </w:t>
      </w:r>
      <w:r>
        <w:t xml:space="preserve">because the penalty range (6 months to 8 years) exceeds the 5-year threshold set by art. 66 § 1</w:t>
      </w:r>
      <w:r>
        <w:t xml:space="preserve"> </w:t>
      </w:r>
      <w:r>
        <w:rPr>
          <w:iCs/>
          <w:i/>
        </w:rPr>
        <w:t xml:space="preserve">k.k.</w:t>
      </w:r>
      <w:r>
        <w:t xml:space="preserve"> </w:t>
      </w:r>
      <w:r>
        <w:t xml:space="preserve">[^68^] The accused cannot</w:t>
      </w:r>
      <w:r>
        <w:t xml:space="preserve"> </w:t>
      </w:r>
      <w:r>
        <w:t xml:space="preserve">“</w:t>
      </w:r>
      <w:r>
        <w:t xml:space="preserve">buy his way out</w:t>
      </w:r>
      <w:r>
        <w:t xml:space="preserve">”</w:t>
      </w:r>
      <w:r>
        <w:t xml:space="preserve"> </w:t>
      </w:r>
      <w:r>
        <w:t xml:space="preserve">of a criminal record through conditional discontinuation; the only path to a clean record is to avoid indictment entirely. This is a critical leverage point: repayment in full becomes the sole route to zero criminal record for the accused.</w:t>
      </w:r>
    </w:p>
    <w:p>
      <w:pPr>
        <w:pStyle w:val="BodyText"/>
      </w:pPr>
      <w:r>
        <w:t xml:space="preserve">The time from investigation closure to indictment is typically</w:t>
      </w:r>
      <w:r>
        <w:t xml:space="preserve"> </w:t>
      </w:r>
      <w:r>
        <w:rPr>
          <w:bCs/>
          <w:b/>
        </w:rPr>
        <w:t xml:space="preserve">14 days to 1 month</w:t>
      </w:r>
      <w:r>
        <w:t xml:space="preserve">, or 1–3 months if additional evidence is required. [^128^]</w:t>
      </w:r>
    </w:p>
    <w:bookmarkEnd w:id="24"/>
    <w:bookmarkStart w:id="25" w:name="trial-and-verdict-rozprawa-wyrok"/>
    <w:p>
      <w:pPr>
        <w:pStyle w:val="Heading3"/>
      </w:pPr>
      <w:r>
        <w:t xml:space="preserve">1.4 Trial and Verdict (</w:t>
      </w:r>
      <w:r>
        <w:rPr>
          <w:iCs/>
          <w:i/>
        </w:rPr>
        <w:t xml:space="preserve">Rozprawa → Wyrok</w:t>
      </w:r>
      <w:r>
        <w:t xml:space="preserve">)</w:t>
      </w:r>
    </w:p>
    <w:p>
      <w:pPr>
        <w:pStyle w:val="FirstParagraph"/>
      </w:pPr>
      <w:r>
        <w:t xml:space="preserve">If an indictment is filed, you have entered the narrow end of the funnel — and here, the odds flip dramatically. The Polish conviction rate for indicted cases is</w:t>
      </w:r>
      <w:r>
        <w:t xml:space="preserve"> </w:t>
      </w:r>
      <w:r>
        <w:rPr>
          <w:bCs/>
          <w:b/>
        </w:rPr>
        <w:t xml:space="preserve">87.2%</w:t>
      </w:r>
      <w:r>
        <w:t xml:space="preserve">, with only</w:t>
      </w:r>
      <w:r>
        <w:t xml:space="preserve"> </w:t>
      </w:r>
      <w:r>
        <w:rPr>
          <w:bCs/>
          <w:b/>
        </w:rPr>
        <w:t xml:space="preserve">1.9%</w:t>
      </w:r>
      <w:r>
        <w:t xml:space="preserve"> </w:t>
      </w:r>
      <w:r>
        <w:t xml:space="preserve">resulting in acquittal. [^277^] For fraud specifically, the NIK effectiveness indicator (WS) ranged from 110% to 156% between 2016–2018, meaning more convictions were recorded than indictments filed — driven by multi-defendant indictments and backlog effects. [^287^] If your case reaches court, a conviction is the statistically overwhelming outcome.</w:t>
      </w:r>
    </w:p>
    <w:p>
      <w:pPr>
        <w:pStyle w:val="BodyText"/>
      </w:pPr>
      <w:r>
        <w:t xml:space="preserve">But conviction is not cash. The court may order</w:t>
      </w:r>
      <w:r>
        <w:t xml:space="preserve"> </w:t>
      </w:r>
      <w:r>
        <w:rPr>
          <w:iCs/>
          <w:i/>
        </w:rPr>
        <w:t xml:space="preserve">naprawienie szkody</w:t>
      </w:r>
      <w:r>
        <w:t xml:space="preserve"> </w:t>
      </w:r>
      <w:r>
        <w:t xml:space="preserve">(damage repair) under art. 46 § 1</w:t>
      </w:r>
      <w:r>
        <w:t xml:space="preserve"> </w:t>
      </w:r>
      <w:r>
        <w:rPr>
          <w:iCs/>
          <w:i/>
        </w:rPr>
        <w:t xml:space="preserve">k.k.</w:t>
      </w:r>
      <w:r>
        <w:t xml:space="preserve"> </w:t>
      </w:r>
      <w:r>
        <w:t xml:space="preserve">upon your request — this is automatic on conviction if requested, and civil law rules apply to the damage assessment. [^145^] However, 83% of Polish criminal cases result in</w:t>
      </w:r>
      <w:r>
        <w:t xml:space="preserve"> </w:t>
      </w:r>
      <w:r>
        <w:rPr>
          <w:bCs/>
          <w:b/>
        </w:rPr>
        <w:t xml:space="preserve">no compensatory measure</w:t>
      </w:r>
      <w:r>
        <w:t xml:space="preserve"> </w:t>
      </w:r>
      <w:r>
        <w:t xml:space="preserve">being awarded to the victim. [^359^] Even when ordered, enforcement depends on the accused’s assets — and if those assets are in the Netherlands, a Polish criminal compensation order faces serious cross-border enforcement obstacles under Brussels I Recast exclusions. [^14^]</w:t>
      </w:r>
    </w:p>
    <w:p>
      <w:pPr>
        <w:pStyle w:val="BodyText"/>
      </w:pPr>
      <w:r>
        <w:t xml:space="preserve">Timeline at this stage: for Kraków</w:t>
      </w:r>
      <w:r>
        <w:t xml:space="preserve"> </w:t>
      </w:r>
      <w:r>
        <w:rPr>
          <w:iCs/>
          <w:i/>
        </w:rPr>
        <w:t xml:space="preserve">Sąd Rejonowy</w:t>
      </w:r>
      <w:r>
        <w:t xml:space="preserve">, expect</w:t>
      </w:r>
      <w:r>
        <w:t xml:space="preserve"> </w:t>
      </w:r>
      <w:r>
        <w:rPr>
          <w:bCs/>
          <w:b/>
        </w:rPr>
        <w:t xml:space="preserve">3–6 months</w:t>
      </w:r>
      <w:r>
        <w:t xml:space="preserve"> </w:t>
      </w:r>
      <w:r>
        <w:t xml:space="preserve">waiting for the first hearing after indictment filing, followed by</w:t>
      </w:r>
      <w:r>
        <w:t xml:space="preserve"> </w:t>
      </w:r>
      <w:r>
        <w:rPr>
          <w:bCs/>
          <w:b/>
        </w:rPr>
        <w:t xml:space="preserve">4–10 months</w:t>
      </w:r>
      <w:r>
        <w:t xml:space="preserve"> </w:t>
      </w:r>
      <w:r>
        <w:t xml:space="preserve">of trial (multiple hearings, documentary evidence, potential witness testimony). [^165^] First-instance judgment arrives</w:t>
      </w:r>
      <w:r>
        <w:t xml:space="preserve"> </w:t>
      </w:r>
      <w:r>
        <w:rPr>
          <w:bCs/>
          <w:b/>
        </w:rPr>
        <w:t xml:space="preserve">7–16 months</w:t>
      </w:r>
      <w:r>
        <w:t xml:space="preserve"> </w:t>
      </w:r>
      <w:r>
        <w:t xml:space="preserve">after indictment. If either party appeals (</w:t>
      </w:r>
      <w:r>
        <w:rPr>
          <w:iCs/>
          <w:i/>
        </w:rPr>
        <w:t xml:space="preserve">apelacja</w:t>
      </w:r>
      <w:r>
        <w:t xml:space="preserve">, art. 445 § 1</w:t>
      </w:r>
      <w:r>
        <w:t xml:space="preserve"> </w:t>
      </w:r>
      <w:r>
        <w:rPr>
          <w:iCs/>
          <w:i/>
        </w:rPr>
        <w:t xml:space="preserve">k.p.k.</w:t>
      </w:r>
      <w:r>
        <w:t xml:space="preserve">, filed within 14 days of service of the reasoned judgment) [^69^], the</w:t>
      </w:r>
      <w:r>
        <w:t xml:space="preserve"> </w:t>
      </w:r>
      <w:r>
        <w:rPr>
          <w:iCs/>
          <w:i/>
        </w:rPr>
        <w:t xml:space="preserve">Sąd Okręgowy</w:t>
      </w:r>
      <w:r>
        <w:t xml:space="preserve"> </w:t>
      </w:r>
      <w:r>
        <w:t xml:space="preserve">adds</w:t>
      </w:r>
      <w:r>
        <w:t xml:space="preserve"> </w:t>
      </w:r>
      <w:r>
        <w:rPr>
          <w:bCs/>
          <w:b/>
        </w:rPr>
        <w:t xml:space="preserve">6–12 months</w:t>
      </w:r>
      <w:r>
        <w:t xml:space="preserve">; a further appeal to the</w:t>
      </w:r>
      <w:r>
        <w:t xml:space="preserve"> </w:t>
      </w:r>
      <w:r>
        <w:rPr>
          <w:iCs/>
          <w:i/>
        </w:rPr>
        <w:t xml:space="preserve">Sąd Apelacyjny</w:t>
      </w:r>
      <w:r>
        <w:t xml:space="preserve"> </w:t>
      </w:r>
      <w:r>
        <w:t xml:space="preserve">can extend this to 12–24 months. [^76^]</w:t>
      </w:r>
    </w:p>
    <w:p>
      <w:pPr>
        <w:pStyle w:val="BodyText"/>
      </w:pPr>
      <w:r>
        <w:t xml:space="preserve">For fraud, the sentence structure matters for your leverage. Only 43.8% of art. 286 § 1 convictions result in any imprisonment (suspended or absolute); 26.6% result in fines only. [^68^] The threat of a business ban (art. 41 § 2</w:t>
      </w:r>
      <w:r>
        <w:t xml:space="preserve"> </w:t>
      </w:r>
      <w:r>
        <w:rPr>
          <w:iCs/>
          <w:i/>
        </w:rPr>
        <w:t xml:space="preserve">k.k.</w:t>
      </w:r>
      <w:r>
        <w:t xml:space="preserve">, 1–10 years) [^402^] and the 2023</w:t>
      </w:r>
      <w:r>
        <w:t xml:space="preserve"> </w:t>
      </w:r>
      <w:r>
        <w:rPr>
          <w:iCs/>
          <w:i/>
        </w:rPr>
        <w:t xml:space="preserve">art. 244c k.k.</w:t>
      </w:r>
      <w:r>
        <w:t xml:space="preserve"> </w:t>
      </w:r>
      <w:r>
        <w:t xml:space="preserve">provision criminalising evasion of victim compensation may create settlement pressure — but these are leverage tools, not cash guarantees.</w:t>
      </w:r>
    </w:p>
    <w:bookmarkEnd w:id="25"/>
    <w:bookmarkStart w:id="27" w:name="X4bb262e13a0abca3fbaf2b8e551b89d4a8c8df6"/>
    <w:p>
      <w:pPr>
        <w:pStyle w:val="Heading3"/>
      </w:pPr>
      <w:r>
        <w:t xml:space="preserve">1.5 The Complete Pipeline: Combined Probability</w:t>
      </w:r>
    </w:p>
    <w:p>
      <w:pPr>
        <w:pStyle w:val="FirstParagraph"/>
      </w:pPr>
      <w:r>
        <w:t xml:space="preserve">The table below consolidates the stage-by-stage survival probabilities, timeframes, and cumulative odds for your specific fact pattern.</w:t>
      </w:r>
    </w:p>
    <w:tbl>
      <w:tblPr>
        <w:tblStyle w:val="Table"/>
        <w:tblW w:type="pct" w:w="5000"/>
        <w:tblLook w:firstRow="1" w:lastRow="0" w:firstColumn="0" w:lastColumn="0" w:noHBand="0" w:noVBand="0" w:val="0020"/>
      </w:tblPr>
      <w:tblGrid>
        <w:gridCol w:w="1320"/>
        <w:gridCol w:w="1650"/>
        <w:gridCol w:w="1650"/>
        <w:gridCol w:w="1650"/>
        <w:gridCol w:w="1650"/>
      </w:tblGrid>
      <w:tr>
        <w:trPr>
          <w:tblHeader w:val="true"/>
        </w:trPr>
        <w:tc>
          <w:tcPr/>
          <w:p>
            <w:pPr>
              <w:pStyle w:val="Compact"/>
              <w:jc w:val="left"/>
            </w:pPr>
            <w:r>
              <w:t xml:space="preserve">Stage</w:t>
            </w:r>
          </w:p>
        </w:tc>
        <w:tc>
          <w:tcPr/>
          <w:p>
            <w:pPr>
              <w:pStyle w:val="Compact"/>
              <w:jc w:val="center"/>
            </w:pPr>
            <w:r>
              <w:t xml:space="preserve">Probability of Passing</w:t>
            </w:r>
          </w:p>
        </w:tc>
        <w:tc>
          <w:tcPr/>
          <w:p>
            <w:pPr>
              <w:pStyle w:val="Compact"/>
              <w:jc w:val="center"/>
            </w:pPr>
            <w:r>
              <w:t xml:space="preserve">Time at Stage</w:t>
            </w:r>
          </w:p>
        </w:tc>
        <w:tc>
          <w:tcPr/>
          <w:p>
            <w:pPr>
              <w:pStyle w:val="Compact"/>
              <w:jc w:val="center"/>
            </w:pPr>
            <w:r>
              <w:t xml:space="preserve">Cumulative Probability</w:t>
            </w:r>
          </w:p>
        </w:tc>
        <w:tc>
          <w:tcPr/>
          <w:p>
            <w:pPr>
              <w:pStyle w:val="Compact"/>
              <w:jc w:val="center"/>
            </w:pPr>
            <w:r>
              <w:t xml:space="preserve">Cumulative Time</w:t>
            </w:r>
          </w:p>
        </w:tc>
      </w:tr>
      <w:tr>
        <w:tc>
          <w:tcPr/>
          <w:p>
            <w:pPr>
              <w:pStyle w:val="Compact"/>
              <w:jc w:val="left"/>
            </w:pPr>
            <w:r>
              <w:t xml:space="preserve">1. Screening (</w:t>
            </w:r>
            <w:r>
              <w:rPr>
                <w:iCs/>
                <w:i/>
              </w:rPr>
              <w:t xml:space="preserve">postępowanie sprawdzające</w:t>
            </w:r>
            <w:r>
              <w:t xml:space="preserve">)</w:t>
            </w:r>
          </w:p>
        </w:tc>
        <w:tc>
          <w:tcPr/>
          <w:p>
            <w:pPr>
              <w:pStyle w:val="Compact"/>
              <w:jc w:val="center"/>
            </w:pPr>
            <w:r>
              <w:t xml:space="preserve">50–60%</w:t>
            </w:r>
          </w:p>
        </w:tc>
        <w:tc>
          <w:tcPr/>
          <w:p>
            <w:pPr>
              <w:pStyle w:val="Compact"/>
              <w:jc w:val="center"/>
            </w:pPr>
            <w:r>
              <w:t xml:space="preserve">2–6 weeks</w:t>
            </w:r>
          </w:p>
        </w:tc>
        <w:tc>
          <w:tcPr/>
          <w:p>
            <w:pPr>
              <w:pStyle w:val="Compact"/>
              <w:jc w:val="center"/>
            </w:pPr>
            <w:r>
              <w:t xml:space="preserve">50–60%</w:t>
            </w:r>
          </w:p>
        </w:tc>
        <w:tc>
          <w:tcPr/>
          <w:p>
            <w:pPr>
              <w:pStyle w:val="Compact"/>
              <w:jc w:val="center"/>
            </w:pPr>
            <w:r>
              <w:t xml:space="preserve">2–6 weeks</w:t>
            </w:r>
          </w:p>
        </w:tc>
      </w:tr>
      <w:tr>
        <w:tc>
          <w:tcPr/>
          <w:p>
            <w:pPr>
              <w:pStyle w:val="Compact"/>
              <w:jc w:val="left"/>
            </w:pPr>
            <w:r>
              <w:t xml:space="preserve">2. Investigation (</w:t>
            </w:r>
            <w:r>
              <w:rPr>
                <w:iCs/>
                <w:i/>
              </w:rPr>
              <w:t xml:space="preserve">dochodzenie</w:t>
            </w:r>
            <w:r>
              <w:t xml:space="preserve">)</w:t>
            </w:r>
          </w:p>
        </w:tc>
        <w:tc>
          <w:tcPr/>
          <w:p>
            <w:pPr>
              <w:pStyle w:val="Compact"/>
              <w:jc w:val="center"/>
            </w:pPr>
            <w:r>
              <w:t xml:space="preserve">30–40% of opened</w:t>
            </w:r>
          </w:p>
        </w:tc>
        <w:tc>
          <w:tcPr/>
          <w:p>
            <w:pPr>
              <w:pStyle w:val="Compact"/>
              <w:jc w:val="center"/>
            </w:pPr>
            <w:r>
              <w:t xml:space="preserve">3–8 months (domestic); 6–20 months (NL resident)</w:t>
            </w:r>
          </w:p>
        </w:tc>
        <w:tc>
          <w:tcPr/>
          <w:p>
            <w:pPr>
              <w:pStyle w:val="Compact"/>
              <w:jc w:val="center"/>
            </w:pPr>
            <w:r>
              <w:t xml:space="preserve">15–24%</w:t>
            </w:r>
          </w:p>
        </w:tc>
        <w:tc>
          <w:tcPr/>
          <w:p>
            <w:pPr>
              <w:pStyle w:val="Compact"/>
              <w:jc w:val="center"/>
            </w:pPr>
            <w:r>
              <w:t xml:space="preserve">4–10 months (best); 8–24 months (typical)</w:t>
            </w:r>
          </w:p>
        </w:tc>
      </w:tr>
      <w:tr>
        <w:tc>
          <w:tcPr/>
          <w:p>
            <w:pPr>
              <w:pStyle w:val="Compact"/>
              <w:jc w:val="left"/>
            </w:pPr>
            <w:r>
              <w:t xml:space="preserve">3. Charges → Indictment</w:t>
            </w:r>
          </w:p>
        </w:tc>
        <w:tc>
          <w:tcPr/>
          <w:p>
            <w:pPr>
              <w:pStyle w:val="Compact"/>
              <w:jc w:val="center"/>
            </w:pPr>
            <w:r>
              <w:t xml:space="preserve">70–80% of charged</w:t>
            </w:r>
          </w:p>
        </w:tc>
        <w:tc>
          <w:tcPr/>
          <w:p>
            <w:pPr>
              <w:pStyle w:val="Compact"/>
              <w:jc w:val="center"/>
            </w:pPr>
            <w:r>
              <w:t xml:space="preserve">14 days – 1 month</w:t>
            </w:r>
          </w:p>
        </w:tc>
        <w:tc>
          <w:tcPr/>
          <w:p>
            <w:pPr>
              <w:pStyle w:val="Compact"/>
              <w:jc w:val="center"/>
            </w:pPr>
            <w:r>
              <w:t xml:space="preserve">10.5–19.2%</w:t>
            </w:r>
          </w:p>
        </w:tc>
        <w:tc>
          <w:tcPr/>
          <w:p>
            <w:pPr>
              <w:pStyle w:val="Compact"/>
              <w:jc w:val="center"/>
            </w:pPr>
            <w:r>
              <w:t xml:space="preserve">5–11 months (best); 9–27 months (typical)</w:t>
            </w:r>
          </w:p>
        </w:tc>
      </w:tr>
      <w:tr>
        <w:tc>
          <w:tcPr/>
          <w:p>
            <w:pPr>
              <w:pStyle w:val="Compact"/>
              <w:jc w:val="left"/>
            </w:pPr>
            <w:r>
              <w:t xml:space="preserve">4. Trial → I instance judgment</w:t>
            </w:r>
          </w:p>
        </w:tc>
        <w:tc>
          <w:tcPr/>
          <w:p>
            <w:pPr>
              <w:pStyle w:val="Compact"/>
              <w:jc w:val="center"/>
            </w:pPr>
            <w:r>
              <w:t xml:space="preserve">87.2% conviction if indicted</w:t>
            </w:r>
          </w:p>
        </w:tc>
        <w:tc>
          <w:tcPr/>
          <w:p>
            <w:pPr>
              <w:pStyle w:val="Compact"/>
              <w:jc w:val="center"/>
            </w:pPr>
            <w:r>
              <w:t xml:space="preserve">7–16 months</w:t>
            </w:r>
          </w:p>
        </w:tc>
        <w:tc>
          <w:tcPr/>
          <w:p>
            <w:pPr>
              <w:pStyle w:val="Compact"/>
              <w:jc w:val="center"/>
            </w:pPr>
            <w:r>
              <w:t xml:space="preserve">9.2–16.7%</w:t>
            </w:r>
          </w:p>
        </w:tc>
        <w:tc>
          <w:tcPr/>
          <w:p>
            <w:pPr>
              <w:pStyle w:val="Compact"/>
              <w:jc w:val="center"/>
            </w:pPr>
            <w:r>
              <w:t xml:space="preserve">12–27 months (best); 16–43 months (typical)</w:t>
            </w:r>
          </w:p>
        </w:tc>
      </w:tr>
      <w:tr>
        <w:tc>
          <w:tcPr/>
          <w:p>
            <w:pPr>
              <w:pStyle w:val="Compact"/>
              <w:jc w:val="left"/>
            </w:pPr>
            <w:r>
              <w:t xml:space="preserve">5. Appeal (if filed)</w:t>
            </w:r>
          </w:p>
        </w:tc>
        <w:tc>
          <w:tcPr/>
          <w:p>
            <w:pPr>
              <w:pStyle w:val="Compact"/>
              <w:jc w:val="center"/>
            </w:pPr>
            <w:r>
              <w:t xml:space="preserve">~50% uphold/ modify</w:t>
            </w:r>
          </w:p>
        </w:tc>
        <w:tc>
          <w:tcPr/>
          <w:p>
            <w:pPr>
              <w:pStyle w:val="Compact"/>
              <w:jc w:val="center"/>
            </w:pPr>
            <w:r>
              <w:t xml:space="preserve">6–12 months (SO); 12–24 months (SA)</w:t>
            </w:r>
          </w:p>
        </w:tc>
        <w:tc>
          <w:tcPr/>
          <w:p>
            <w:pPr>
              <w:pStyle w:val="Compact"/>
              <w:jc w:val="center"/>
            </w:pPr>
            <w:r>
              <w:t xml:space="preserve">4.6–8.4%</w:t>
            </w:r>
          </w:p>
        </w:tc>
        <w:tc>
          <w:tcPr/>
          <w:p>
            <w:pPr>
              <w:pStyle w:val="Compact"/>
              <w:jc w:val="center"/>
            </w:pPr>
            <w:r>
              <w:t xml:space="preserve">18–39 months (best); 22–67 months (typical)</w:t>
            </w:r>
          </w:p>
        </w:tc>
      </w:tr>
      <w:tr>
        <w:tc>
          <w:tcPr/>
          <w:p>
            <w:pPr>
              <w:pStyle w:val="Compact"/>
              <w:jc w:val="left"/>
            </w:pPr>
            <w:r>
              <w:rPr>
                <w:bCs/>
                <w:b/>
              </w:rPr>
              <w:t xml:space="preserve">Recovery via execution</w:t>
            </w:r>
          </w:p>
        </w:tc>
        <w:tc>
          <w:tcPr/>
          <w:p>
            <w:pPr>
              <w:pStyle w:val="Compact"/>
              <w:jc w:val="center"/>
            </w:pPr>
            <w:r>
              <w:rPr>
                <w:bCs/>
                <w:b/>
              </w:rPr>
              <w:t xml:space="preserve">~25% of those with judgment + assets</w:t>
            </w:r>
          </w:p>
        </w:tc>
        <w:tc>
          <w:tcPr/>
          <w:p>
            <w:pPr>
              <w:pStyle w:val="Compact"/>
              <w:jc w:val="center"/>
            </w:pPr>
            <w:r>
              <w:rPr>
                <w:bCs/>
                <w:b/>
              </w:rPr>
              <w:t xml:space="preserve">+6–24 months</w:t>
            </w:r>
          </w:p>
        </w:tc>
        <w:tc>
          <w:tcPr/>
          <w:p>
            <w:pPr>
              <w:pStyle w:val="Compact"/>
              <w:jc w:val="center"/>
            </w:pPr>
            <w:r>
              <w:rPr>
                <w:bCs/>
                <w:b/>
              </w:rPr>
              <w:t xml:space="preserve">1.2–2.1%</w:t>
            </w:r>
          </w:p>
        </w:tc>
        <w:tc>
          <w:tcPr/>
          <w:p>
            <w:pPr>
              <w:pStyle w:val="Compact"/>
              <w:jc w:val="center"/>
            </w:pPr>
            <w:r>
              <w:rPr>
                <w:bCs/>
                <w:b/>
              </w:rPr>
              <w:t xml:space="preserve">24–63 months (best); 28–91 months (typical)</w:t>
            </w:r>
          </w:p>
        </w:tc>
      </w:tr>
    </w:tbl>
    <w:p>
      <w:pPr>
        <w:pStyle w:val="BodyText"/>
      </w:pPr>
      <w:r>
        <w:rPr>
          <w:iCs/>
          <w:i/>
        </w:rPr>
        <w:t xml:space="preserve">Sources: Stage probabilities — PK Sprawozdanie 2024 [^275^]; Buczkowski IWS 2023 [^67^]; Siemaszko et al. [^255^]; Inforlex [^277^]. Timeframes — Roman Adwokat [^29^]; Kancelaria MW [^23^]; SA Warszawa [^76^]. Recovery — NIK [^442^]; KRK/MS [^397^].</w:t>
      </w:r>
    </w:p>
    <w:p>
      <w:pPr>
        <w:pStyle w:val="BodyText"/>
      </w:pPr>
      <w:r>
        <w:rPr>
          <w:bCs/>
          <w:b/>
        </w:rPr>
        <w:t xml:space="preserve">Analytical interpretation:</w:t>
      </w:r>
      <w:r>
        <w:t xml:space="preserve"> </w:t>
      </w:r>
      <w:r>
        <w:t xml:space="preserve">The cumulative probability of passing through all five gates and recovering cash via bailiff execution is approximately</w:t>
      </w:r>
      <w:r>
        <w:t xml:space="preserve"> </w:t>
      </w:r>
      <w:r>
        <w:rPr>
          <w:bCs/>
          <w:b/>
        </w:rPr>
        <w:t xml:space="preserve">1.2–2.1%</w:t>
      </w:r>
      <w:r>
        <w:t xml:space="preserve">. This aligns closely with the NIK finding that only 2% of cybercrime victims see any positive outcome (perpetrator caught, convicted, or funds recovered). [^442^] It also aligns with the computer fraud proxy data showing up to 95% attrition before indictment. [^67^] The funnel is brutal: for every 100 complaints like yours, roughly 50–60 open an investigation; 15–24 reach charges; 10–19 reach indictment; 9–17 result in conviction; and 1–2 yield actual cash through execution against assets that still exist. This is the arithmetic you must internalise before deciding whether the criminal route is worth your time. The numbers do not improve because you are right. They improve only if the underlying probabilities shift — which is the subject of Chapter 2.</w:t>
      </w:r>
    </w:p>
    <w:p>
      <w:pPr>
        <w:pStyle w:val="BodyText"/>
      </w:pPr>
      <w:r>
        <w:t xml:space="preserve">The second table presents three timeline scenarios specific to your case, incorporating the Netherlands-residence variable.</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left"/>
            </w:pPr>
            <w:r>
              <w:t xml:space="preserve">Stage</w:t>
            </w:r>
          </w:p>
        </w:tc>
        <w:tc>
          <w:tcPr/>
          <w:p>
            <w:pPr>
              <w:pStyle w:val="Compact"/>
              <w:jc w:val="center"/>
            </w:pPr>
            <w:r>
              <w:t xml:space="preserve">Best Case</w:t>
            </w:r>
          </w:p>
        </w:tc>
        <w:tc>
          <w:tcPr/>
          <w:p>
            <w:pPr>
              <w:pStyle w:val="Compact"/>
              <w:jc w:val="center"/>
            </w:pPr>
            <w:r>
              <w:t xml:space="preserve">Typical Case</w:t>
            </w:r>
          </w:p>
        </w:tc>
        <w:tc>
          <w:tcPr/>
          <w:p>
            <w:pPr>
              <w:pStyle w:val="Compact"/>
              <w:jc w:val="center"/>
            </w:pPr>
            <w:r>
              <w:t xml:space="preserve">Worst Case</w:t>
            </w:r>
          </w:p>
        </w:tc>
      </w:tr>
      <w:tr>
        <w:tc>
          <w:tcPr/>
          <w:p>
            <w:pPr>
              <w:pStyle w:val="Compact"/>
              <w:jc w:val="left"/>
            </w:pPr>
            <w:r>
              <w:t xml:space="preserve">Screening</w:t>
            </w:r>
          </w:p>
        </w:tc>
        <w:tc>
          <w:tcPr/>
          <w:p>
            <w:pPr>
              <w:pStyle w:val="Compact"/>
              <w:jc w:val="center"/>
            </w:pPr>
            <w:r>
              <w:t xml:space="preserve">2–4 weeks</w:t>
            </w:r>
          </w:p>
        </w:tc>
        <w:tc>
          <w:tcPr/>
          <w:p>
            <w:pPr>
              <w:pStyle w:val="Compact"/>
              <w:jc w:val="center"/>
            </w:pPr>
            <w:r>
              <w:t xml:space="preserve">3–6 weeks</w:t>
            </w:r>
          </w:p>
        </w:tc>
        <w:tc>
          <w:tcPr/>
          <w:p>
            <w:pPr>
              <w:pStyle w:val="Compact"/>
              <w:jc w:val="center"/>
            </w:pPr>
            <w:r>
              <w:t xml:space="preserve">4–8 weeks</w:t>
            </w:r>
          </w:p>
        </w:tc>
      </w:tr>
      <w:tr>
        <w:tc>
          <w:tcPr/>
          <w:p>
            <w:pPr>
              <w:pStyle w:val="Compact"/>
              <w:jc w:val="left"/>
            </w:pPr>
            <w:r>
              <w:t xml:space="preserve">Investigation</w:t>
            </w:r>
          </w:p>
        </w:tc>
        <w:tc>
          <w:tcPr/>
          <w:p>
            <w:pPr>
              <w:pStyle w:val="Compact"/>
              <w:jc w:val="center"/>
            </w:pPr>
            <w:r>
              <w:t xml:space="preserve">2–4 months</w:t>
            </w:r>
          </w:p>
        </w:tc>
        <w:tc>
          <w:tcPr/>
          <w:p>
            <w:pPr>
              <w:pStyle w:val="Compact"/>
              <w:jc w:val="center"/>
            </w:pPr>
            <w:r>
              <w:t xml:space="preserve">4–8 months</w:t>
            </w:r>
          </w:p>
        </w:tc>
        <w:tc>
          <w:tcPr/>
          <w:p>
            <w:pPr>
              <w:pStyle w:val="Compact"/>
              <w:jc w:val="center"/>
            </w:pPr>
            <w:r>
              <w:t xml:space="preserve">12–24 months (with suspension)</w:t>
            </w:r>
          </w:p>
        </w:tc>
      </w:tr>
      <w:tr>
        <w:tc>
          <w:tcPr/>
          <w:p>
            <w:pPr>
              <w:pStyle w:val="Compact"/>
              <w:jc w:val="left"/>
            </w:pPr>
            <w:r>
              <w:t xml:space="preserve">ENA/EIO proceedings (if pursued)</w:t>
            </w:r>
          </w:p>
        </w:tc>
        <w:tc>
          <w:tcPr/>
          <w:p>
            <w:pPr>
              <w:pStyle w:val="Compact"/>
              <w:jc w:val="center"/>
            </w:pPr>
            <w:r>
              <w:t xml:space="preserve">—</w:t>
            </w:r>
          </w:p>
        </w:tc>
        <w:tc>
          <w:tcPr/>
          <w:p>
            <w:pPr>
              <w:pStyle w:val="Compact"/>
              <w:jc w:val="center"/>
            </w:pPr>
            <w:r>
              <w:t xml:space="preserve">+2–4 months</w:t>
            </w:r>
          </w:p>
        </w:tc>
        <w:tc>
          <w:tcPr/>
          <w:p>
            <w:pPr>
              <w:pStyle w:val="Compact"/>
              <w:jc w:val="center"/>
            </w:pPr>
            <w:r>
              <w:t xml:space="preserve">+2–4 months</w:t>
            </w:r>
          </w:p>
        </w:tc>
      </w:tr>
      <w:tr>
        <w:tc>
          <w:tcPr/>
          <w:p>
            <w:pPr>
              <w:pStyle w:val="Compact"/>
              <w:jc w:val="left"/>
            </w:pPr>
            <w:r>
              <w:t xml:space="preserve">Closure → Indictment</w:t>
            </w:r>
          </w:p>
        </w:tc>
        <w:tc>
          <w:tcPr/>
          <w:p>
            <w:pPr>
              <w:pStyle w:val="Compact"/>
              <w:jc w:val="center"/>
            </w:pPr>
            <w:r>
              <w:t xml:space="preserve">2–4 weeks</w:t>
            </w:r>
          </w:p>
        </w:tc>
        <w:tc>
          <w:tcPr/>
          <w:p>
            <w:pPr>
              <w:pStyle w:val="Compact"/>
              <w:jc w:val="center"/>
            </w:pPr>
            <w:r>
              <w:t xml:space="preserve">2–4 weeks</w:t>
            </w:r>
          </w:p>
        </w:tc>
        <w:tc>
          <w:tcPr/>
          <w:p>
            <w:pPr>
              <w:pStyle w:val="Compact"/>
              <w:jc w:val="center"/>
            </w:pPr>
            <w:r>
              <w:t xml:space="preserve">1–3 months</w:t>
            </w:r>
          </w:p>
        </w:tc>
      </w:tr>
      <w:tr>
        <w:tc>
          <w:tcPr/>
          <w:p>
            <w:pPr>
              <w:pStyle w:val="Compact"/>
              <w:jc w:val="left"/>
            </w:pPr>
            <w:r>
              <w:t xml:space="preserve">Wait for 1st hearing (Kraków SR)</w:t>
            </w:r>
          </w:p>
        </w:tc>
        <w:tc>
          <w:tcPr/>
          <w:p>
            <w:pPr>
              <w:pStyle w:val="Compact"/>
              <w:jc w:val="center"/>
            </w:pPr>
            <w:r>
              <w:t xml:space="preserve">2–4 months</w:t>
            </w:r>
          </w:p>
        </w:tc>
        <w:tc>
          <w:tcPr/>
          <w:p>
            <w:pPr>
              <w:pStyle w:val="Compact"/>
              <w:jc w:val="center"/>
            </w:pPr>
            <w:r>
              <w:t xml:space="preserve">3–6 months</w:t>
            </w:r>
          </w:p>
        </w:tc>
        <w:tc>
          <w:tcPr/>
          <w:p>
            <w:pPr>
              <w:pStyle w:val="Compact"/>
              <w:jc w:val="center"/>
            </w:pPr>
            <w:r>
              <w:t xml:space="preserve">4–8 months</w:t>
            </w:r>
          </w:p>
        </w:tc>
      </w:tr>
      <w:tr>
        <w:tc>
          <w:tcPr/>
          <w:p>
            <w:pPr>
              <w:pStyle w:val="Compact"/>
              <w:jc w:val="left"/>
            </w:pPr>
            <w:r>
              <w:t xml:space="preserve">Trial (I instancja)</w:t>
            </w:r>
          </w:p>
        </w:tc>
        <w:tc>
          <w:tcPr/>
          <w:p>
            <w:pPr>
              <w:pStyle w:val="Compact"/>
              <w:jc w:val="center"/>
            </w:pPr>
            <w:r>
              <w:t xml:space="preserve">3–6 months</w:t>
            </w:r>
          </w:p>
        </w:tc>
        <w:tc>
          <w:tcPr/>
          <w:p>
            <w:pPr>
              <w:pStyle w:val="Compact"/>
              <w:jc w:val="center"/>
            </w:pPr>
            <w:r>
              <w:t xml:space="preserve">6–12 months</w:t>
            </w:r>
          </w:p>
        </w:tc>
        <w:tc>
          <w:tcPr/>
          <w:p>
            <w:pPr>
              <w:pStyle w:val="Compact"/>
              <w:jc w:val="center"/>
            </w:pPr>
            <w:r>
              <w:t xml:space="preserve">12–24 months</w:t>
            </w:r>
          </w:p>
        </w:tc>
      </w:tr>
      <w:tr>
        <w:tc>
          <w:tcPr/>
          <w:p>
            <w:pPr>
              <w:pStyle w:val="Compact"/>
              <w:jc w:val="left"/>
            </w:pPr>
            <w:r>
              <w:t xml:space="preserve">Judgment delivery</w:t>
            </w:r>
          </w:p>
        </w:tc>
        <w:tc>
          <w:tcPr/>
          <w:p>
            <w:pPr>
              <w:pStyle w:val="Compact"/>
              <w:jc w:val="center"/>
            </w:pPr>
            <w:r>
              <w:t xml:space="preserve">1–2 months</w:t>
            </w:r>
          </w:p>
        </w:tc>
        <w:tc>
          <w:tcPr/>
          <w:p>
            <w:pPr>
              <w:pStyle w:val="Compact"/>
              <w:jc w:val="center"/>
            </w:pPr>
            <w:r>
              <w:t xml:space="preserve">1–3 months</w:t>
            </w:r>
          </w:p>
        </w:tc>
        <w:tc>
          <w:tcPr/>
          <w:p>
            <w:pPr>
              <w:pStyle w:val="Compact"/>
              <w:jc w:val="center"/>
            </w:pPr>
            <w:r>
              <w:t xml:space="preserve">2–4 months</w:t>
            </w:r>
          </w:p>
        </w:tc>
      </w:tr>
      <w:tr>
        <w:tc>
          <w:tcPr/>
          <w:p>
            <w:pPr>
              <w:pStyle w:val="Compact"/>
              <w:jc w:val="left"/>
            </w:pPr>
            <w:r>
              <w:rPr>
                <w:bCs/>
                <w:b/>
              </w:rPr>
              <w:t xml:space="preserve">Subtotal to I instance judgment</w:t>
            </w:r>
          </w:p>
        </w:tc>
        <w:tc>
          <w:tcPr/>
          <w:p>
            <w:pPr>
              <w:pStyle w:val="Compact"/>
              <w:jc w:val="center"/>
            </w:pPr>
            <w:r>
              <w:rPr>
                <w:bCs/>
                <w:b/>
              </w:rPr>
              <w:t xml:space="preserve">8–16 months</w:t>
            </w:r>
          </w:p>
        </w:tc>
        <w:tc>
          <w:tcPr/>
          <w:p>
            <w:pPr>
              <w:pStyle w:val="Compact"/>
              <w:jc w:val="center"/>
            </w:pPr>
            <w:r>
              <w:rPr>
                <w:bCs/>
                <w:b/>
              </w:rPr>
              <w:t xml:space="preserve">14–30 months</w:t>
            </w:r>
          </w:p>
        </w:tc>
        <w:tc>
          <w:tcPr/>
          <w:p>
            <w:pPr>
              <w:pStyle w:val="Compact"/>
              <w:jc w:val="center"/>
            </w:pPr>
            <w:r>
              <w:rPr>
                <w:bCs/>
                <w:b/>
              </w:rPr>
              <w:t xml:space="preserve">25–48 months</w:t>
            </w:r>
          </w:p>
        </w:tc>
      </w:tr>
      <w:tr>
        <w:tc>
          <w:tcPr/>
          <w:p>
            <w:pPr>
              <w:pStyle w:val="Compact"/>
              <w:jc w:val="left"/>
            </w:pPr>
            <w:r>
              <w:t xml:space="preserve">Appeal (</w:t>
            </w:r>
            <w:r>
              <w:rPr>
                <w:iCs/>
                <w:i/>
              </w:rPr>
              <w:t xml:space="preserve">Sąd Okręgowy / Apelacyjny</w:t>
            </w:r>
            <w:r>
              <w:t xml:space="preserve">)</w:t>
            </w:r>
          </w:p>
        </w:tc>
        <w:tc>
          <w:tcPr/>
          <w:p>
            <w:pPr>
              <w:pStyle w:val="Compact"/>
              <w:jc w:val="center"/>
            </w:pPr>
            <w:r>
              <w:t xml:space="preserve">+3–6 months</w:t>
            </w:r>
          </w:p>
        </w:tc>
        <w:tc>
          <w:tcPr/>
          <w:p>
            <w:pPr>
              <w:pStyle w:val="Compact"/>
              <w:jc w:val="center"/>
            </w:pPr>
            <w:r>
              <w:t xml:space="preserve">+6–12 months</w:t>
            </w:r>
          </w:p>
        </w:tc>
        <w:tc>
          <w:tcPr/>
          <w:p>
            <w:pPr>
              <w:pStyle w:val="Compact"/>
              <w:jc w:val="center"/>
            </w:pPr>
            <w:r>
              <w:t xml:space="preserve">+12–24 months</w:t>
            </w:r>
          </w:p>
        </w:tc>
      </w:tr>
      <w:tr>
        <w:tc>
          <w:tcPr/>
          <w:p>
            <w:pPr>
              <w:pStyle w:val="Compact"/>
              <w:jc w:val="left"/>
            </w:pPr>
            <w:r>
              <w:rPr>
                <w:bCs/>
                <w:b/>
              </w:rPr>
              <w:t xml:space="preserve">Total to final judgment</w:t>
            </w:r>
          </w:p>
        </w:tc>
        <w:tc>
          <w:tcPr/>
          <w:p>
            <w:pPr>
              <w:pStyle w:val="Compact"/>
              <w:jc w:val="center"/>
            </w:pPr>
            <w:r>
              <w:rPr>
                <w:bCs/>
                <w:b/>
              </w:rPr>
              <w:t xml:space="preserve">11–22 months</w:t>
            </w:r>
          </w:p>
        </w:tc>
        <w:tc>
          <w:tcPr/>
          <w:p>
            <w:pPr>
              <w:pStyle w:val="Compact"/>
              <w:jc w:val="center"/>
            </w:pPr>
            <w:r>
              <w:rPr>
                <w:bCs/>
                <w:b/>
              </w:rPr>
              <w:t xml:space="preserve">20–42 months</w:t>
            </w:r>
          </w:p>
        </w:tc>
        <w:tc>
          <w:tcPr/>
          <w:p>
            <w:pPr>
              <w:pStyle w:val="Compact"/>
              <w:jc w:val="center"/>
            </w:pPr>
            <w:r>
              <w:rPr>
                <w:bCs/>
                <w:b/>
              </w:rPr>
              <w:t xml:space="preserve">37–72 months</w:t>
            </w:r>
          </w:p>
        </w:tc>
      </w:tr>
      <w:tr>
        <w:tc>
          <w:tcPr/>
          <w:p>
            <w:pPr>
              <w:pStyle w:val="Compact"/>
              <w:jc w:val="left"/>
            </w:pPr>
            <w:r>
              <w:t xml:space="preserve">Bailiff execution (if assets found)</w:t>
            </w:r>
          </w:p>
        </w:tc>
        <w:tc>
          <w:tcPr/>
          <w:p>
            <w:pPr>
              <w:pStyle w:val="Compact"/>
              <w:jc w:val="center"/>
            </w:pPr>
            <w:r>
              <w:t xml:space="preserve">+6–12 months</w:t>
            </w:r>
          </w:p>
        </w:tc>
        <w:tc>
          <w:tcPr/>
          <w:p>
            <w:pPr>
              <w:pStyle w:val="Compact"/>
              <w:jc w:val="center"/>
            </w:pPr>
            <w:r>
              <w:t xml:space="preserve">+6–18 months</w:t>
            </w:r>
          </w:p>
        </w:tc>
        <w:tc>
          <w:tcPr/>
          <w:p>
            <w:pPr>
              <w:pStyle w:val="Compact"/>
              <w:jc w:val="center"/>
            </w:pPr>
            <w:r>
              <w:t xml:space="preserve">+12–36 months</w:t>
            </w:r>
          </w:p>
        </w:tc>
      </w:tr>
      <w:tr>
        <w:tc>
          <w:tcPr/>
          <w:p>
            <w:pPr>
              <w:pStyle w:val="Compact"/>
              <w:jc w:val="left"/>
            </w:pPr>
            <w:r>
              <w:rPr>
                <w:bCs/>
                <w:b/>
              </w:rPr>
              <w:t xml:space="preserve">Total to cash in hand</w:t>
            </w:r>
          </w:p>
        </w:tc>
        <w:tc>
          <w:tcPr/>
          <w:p>
            <w:pPr>
              <w:pStyle w:val="Compact"/>
              <w:jc w:val="center"/>
            </w:pPr>
            <w:r>
              <w:rPr>
                <w:bCs/>
                <w:b/>
              </w:rPr>
              <w:t xml:space="preserve">17–34 months</w:t>
            </w:r>
          </w:p>
        </w:tc>
        <w:tc>
          <w:tcPr/>
          <w:p>
            <w:pPr>
              <w:pStyle w:val="Compact"/>
              <w:jc w:val="center"/>
            </w:pPr>
            <w:r>
              <w:rPr>
                <w:bCs/>
                <w:b/>
              </w:rPr>
              <w:t xml:space="preserve">26–60 months</w:t>
            </w:r>
          </w:p>
        </w:tc>
        <w:tc>
          <w:tcPr/>
          <w:p>
            <w:pPr>
              <w:pStyle w:val="Compact"/>
              <w:jc w:val="center"/>
            </w:pPr>
            <w:r>
              <w:rPr>
                <w:bCs/>
                <w:b/>
              </w:rPr>
              <w:t xml:space="preserve">49–108 months</w:t>
            </w:r>
          </w:p>
        </w:tc>
      </w:tr>
    </w:tbl>
    <w:p>
      <w:pPr>
        <w:pStyle w:val="BodyText"/>
      </w:pPr>
      <w:r>
        <w:rPr>
          <w:iCs/>
          <w:i/>
        </w:rPr>
        <w:t xml:space="preserve">Sources: Timeline data — Roman Adwokat [^29^][^200^]; Kancelaria MW [^23^]; SA Warszawa [^76^]; cross-border extensions — Burtowy.pl [^2^]; EPorady24 [^94^]; NordInterpolLawyers [^16^].</w:t>
      </w:r>
    </w:p>
    <w:p>
      <w:pPr>
        <w:pStyle w:val="BodyText"/>
      </w:pPr>
      <w:r>
        <w:rPr>
          <w:bCs/>
          <w:b/>
        </w:rPr>
        <w:t xml:space="preserve">Analytical interpretation:</w:t>
      </w:r>
      <w:r>
        <w:t xml:space="preserve"> </w:t>
      </w:r>
      <w:r>
        <w:t xml:space="preserve">The best-case scenario (17–34 months to cash) assumes the debtor cooperates or can be pressured into early settlement, the prosecutor acts efficiently, Kraków courts are not overloaded, and execution finds attachable Polish assets. The typical case (26–60 months) reflects the more probable reality: moderate prosecutorial delays, some cross-border procedural friction, a standard appeal, and bailiff execution against partially concealed assets. The worst case (49–108 months) assumes suspension under art. 22</w:t>
      </w:r>
      <w:r>
        <w:t xml:space="preserve"> </w:t>
      </w:r>
      <w:r>
        <w:rPr>
          <w:iCs/>
          <w:i/>
        </w:rPr>
        <w:t xml:space="preserve">k.p.k.</w:t>
      </w:r>
      <w:r>
        <w:t xml:space="preserve">, prolonged ENA proceedings, asset dissipation, and ineffective cross-border enforcement. Note the asymmetry: the worst-case timeline is roughly triple the best-case timeline, while the worst-case probability of any recovery approaches zero. This is characteristic of high-variance, low-probability enforcement actions.</w:t>
      </w:r>
    </w:p>
    <w:bookmarkStart w:id="26" w:name="the-85-dead-end-reality"/>
    <w:p>
      <w:pPr>
        <w:pStyle w:val="Heading4"/>
      </w:pPr>
      <w:r>
        <w:t xml:space="preserve">The 85% Dead-End Reality</w:t>
      </w:r>
    </w:p>
    <w:p>
      <w:pPr>
        <w:pStyle w:val="FirstParagraph"/>
      </w:pPr>
      <w:r>
        <w:t xml:space="preserve">The NIK survey of cybercrime victims found that</w:t>
      </w:r>
      <w:r>
        <w:t xml:space="preserve"> </w:t>
      </w:r>
      <w:r>
        <w:rPr>
          <w:bCs/>
          <w:b/>
        </w:rPr>
        <w:t xml:space="preserve">85%</w:t>
      </w:r>
      <w:r>
        <w:t xml:space="preserve"> </w:t>
      </w:r>
      <w:r>
        <w:t xml:space="preserve">of reported cases ended in discontinuation, unresolved status, or loss of funds. [^372^] This is not a typo. For every 100 victims who file complaints in Poland, 85 walk away with nothing — no conviction, no compensation, no closure. The structural reasons are resource constraints (Polish economic crime units handle 29% of all registered crimes) [^68^], prioritisation (sub-200k single-victim frauds rank low), and the practical impossibility of cross-border enforcement for amounts that do not justify the prosecutorial effort required to coordinate with Dutch authorities through Eurojust or EIO channels. [^13^]</w:t>
      </w:r>
    </w:p>
    <w:p>
      <w:pPr>
        <w:pStyle w:val="BodyText"/>
      </w:pPr>
      <w:r>
        <w:t xml:space="preserve">Your 155,000 PLN loss is real. But in the calculus of Polish criminal prosecution, it sits in a statistical blind spot — too large to ignore entirely, too small to command the resources that multi-million-złoty fraud cases attract. The decision tree above gives you the numbers. What you do with them — which factors you can shift, which levers you can pull, and which probabilities you can improve — is the subject of the chapters that follow.</w:t>
      </w:r>
    </w:p>
    <w:p>
      <w:r>
        <w:pict>
          <v:rect style="width:0;height:1.5pt" o:hralign="center" o:hrstd="t" o:hr="t"/>
        </w:pict>
      </w:r>
    </w:p>
    <w:bookmarkEnd w:id="26"/>
    <w:bookmarkEnd w:id="27"/>
    <w:bookmarkEnd w:id="28"/>
    <w:bookmarkStart w:id="43" w:name="what-changes-the-odds-in-your-favour"/>
    <w:p>
      <w:pPr>
        <w:pStyle w:val="Heading2"/>
      </w:pPr>
      <w:r>
        <w:t xml:space="preserve">2. What Changes the Odds in Your Favour</w:t>
      </w:r>
    </w:p>
    <w:p>
      <w:pPr>
        <w:pStyle w:val="FirstParagraph"/>
      </w:pPr>
      <w:r>
        <w:t xml:space="preserve">The preceding decision tree showed your baseline: roughly a 22% chance of reaching indictment and, if you do, an 87.2% conviction rate [^1^]. Those numbers are not destiny. Specific evidence factors in your file push those probabilities up or down in measurable ways. This chapter ranks them by impact, explains why each matters for your particular fact pattern, and tells you what to do about the ones you can influence.</w:t>
      </w:r>
    </w:p>
    <w:bookmarkStart w:id="29" w:name="ranked-factors-by-impact"/>
    <w:p>
      <w:pPr>
        <w:pStyle w:val="Heading3"/>
      </w:pPr>
      <w:r>
        <w:t xml:space="preserve">Ranked Factors by Impact</w:t>
      </w:r>
    </w:p>
    <w:tbl>
      <w:tblPr>
        <w:tblStyle w:val="Table"/>
        <w:tblW w:type="pct" w:w="5000"/>
        <w:tblLook w:firstRow="1" w:lastRow="0" w:firstColumn="0" w:lastColumn="0" w:noHBand="0" w:noVBand="0" w:val="0020"/>
      </w:tblPr>
      <w:tblGrid>
        <w:gridCol w:w="2084"/>
        <w:gridCol w:w="1250"/>
        <w:gridCol w:w="2084"/>
        <w:gridCol w:w="1250"/>
        <w:gridCol w:w="1250"/>
      </w:tblGrid>
      <w:tr>
        <w:trPr>
          <w:tblHeader w:val="true"/>
        </w:trPr>
        <w:tc>
          <w:tcPr/>
          <w:p>
            <w:pPr>
              <w:pStyle w:val="Compact"/>
              <w:jc w:val="center"/>
            </w:pPr>
            <w:r>
              <w:t xml:space="preserve">Rank</w:t>
            </w:r>
          </w:p>
        </w:tc>
        <w:tc>
          <w:tcPr/>
          <w:p>
            <w:pPr>
              <w:pStyle w:val="Compact"/>
              <w:jc w:val="left"/>
            </w:pPr>
            <w:r>
              <w:t xml:space="preserve">Factor</w:t>
            </w:r>
          </w:p>
        </w:tc>
        <w:tc>
          <w:tcPr/>
          <w:p>
            <w:pPr>
              <w:pStyle w:val="Compact"/>
              <w:jc w:val="center"/>
            </w:pPr>
            <w:r>
              <w:t xml:space="preserve">Impact Tier</w:t>
            </w:r>
          </w:p>
        </w:tc>
        <w:tc>
          <w:tcPr/>
          <w:p>
            <w:pPr>
              <w:pStyle w:val="Compact"/>
              <w:jc w:val="left"/>
            </w:pPr>
            <w:r>
              <w:t xml:space="preserve">Why It Matters for 155k GPUcomputer Case</w:t>
            </w:r>
          </w:p>
        </w:tc>
        <w:tc>
          <w:tcPr/>
          <w:p>
            <w:pPr>
              <w:pStyle w:val="Compact"/>
              <w:jc w:val="left"/>
            </w:pPr>
            <w:r>
              <w:t xml:space="preserve">What You Should Do</w:t>
            </w:r>
          </w:p>
        </w:tc>
      </w:tr>
      <w:tr>
        <w:tc>
          <w:tcPr/>
          <w:p>
            <w:pPr>
              <w:pStyle w:val="Compact"/>
              <w:jc w:val="center"/>
            </w:pPr>
            <w:r>
              <w:t xml:space="preserve">1</w:t>
            </w:r>
          </w:p>
        </w:tc>
        <w:tc>
          <w:tcPr/>
          <w:p>
            <w:pPr>
              <w:pStyle w:val="Compact"/>
              <w:jc w:val="left"/>
            </w:pPr>
            <w:r>
              <w:t xml:space="preserve">Bank trail: 155k never used to order goods</w:t>
            </w:r>
          </w:p>
        </w:tc>
        <w:tc>
          <w:tcPr/>
          <w:p>
            <w:pPr>
              <w:pStyle w:val="Compact"/>
              <w:jc w:val="center"/>
            </w:pPr>
            <w:r>
              <w:rPr>
                <w:bCs/>
                <w:b/>
              </w:rPr>
              <w:t xml:space="preserve">High</w:t>
            </w:r>
          </w:p>
        </w:tc>
        <w:tc>
          <w:tcPr/>
          <w:p>
            <w:pPr>
              <w:pStyle w:val="Compact"/>
              <w:jc w:val="left"/>
            </w:pPr>
            <w:r>
              <w:t xml:space="preserve">Direct proof of</w:t>
            </w:r>
            <w:r>
              <w:t xml:space="preserve"> </w:t>
            </w:r>
            <w:r>
              <w:rPr>
                <w:iCs/>
                <w:i/>
              </w:rPr>
              <w:t xml:space="preserve">dolus directus coloratus</w:t>
            </w:r>
            <w:r>
              <w:t xml:space="preserve"> </w:t>
            </w:r>
            <w:r>
              <w:t xml:space="preserve">(fraudulent intent) under art. 286 § 1 KK — the hardest element to prove [^2^]</w:t>
            </w:r>
          </w:p>
        </w:tc>
        <w:tc>
          <w:tcPr/>
          <w:p>
            <w:pPr>
              <w:pStyle w:val="Compact"/>
              <w:jc w:val="left"/>
            </w:pPr>
            <w:r>
              <w:t xml:space="preserve">Request</w:t>
            </w:r>
            <w:r>
              <w:t xml:space="preserve"> </w:t>
            </w:r>
            <w:r>
              <w:rPr>
                <w:iCs/>
                <w:i/>
              </w:rPr>
              <w:t xml:space="preserve">biegły</w:t>
            </w:r>
            <w:r>
              <w:t xml:space="preserve"> </w:t>
            </w:r>
            <w:r>
              <w:t xml:space="preserve">(forensic accountant) analysis of all Szklarski account flows, Jan–Mar 2026</w:t>
            </w:r>
          </w:p>
        </w:tc>
      </w:tr>
      <w:tr>
        <w:tc>
          <w:tcPr/>
          <w:p>
            <w:pPr>
              <w:pStyle w:val="Compact"/>
              <w:jc w:val="center"/>
            </w:pPr>
            <w:r>
              <w:t xml:space="preserve">2</w:t>
            </w:r>
          </w:p>
        </w:tc>
        <w:tc>
          <w:tcPr/>
          <w:p>
            <w:pPr>
              <w:pStyle w:val="Compact"/>
              <w:jc w:val="left"/>
            </w:pPr>
            <w:r>
              <w:t xml:space="preserve">Contradictory written statements (customs 24.02 vs. HK bankruptcy 13.05)</w:t>
            </w:r>
          </w:p>
        </w:tc>
        <w:tc>
          <w:tcPr/>
          <w:p>
            <w:pPr>
              <w:pStyle w:val="Compact"/>
              <w:jc w:val="center"/>
            </w:pPr>
            <w:r>
              <w:rPr>
                <w:bCs/>
                <w:b/>
              </w:rPr>
              <w:t xml:space="preserve">High</w:t>
            </w:r>
          </w:p>
        </w:tc>
        <w:tc>
          <w:tcPr/>
          <w:p>
            <w:pPr>
              <w:pStyle w:val="Compact"/>
              <w:jc w:val="left"/>
            </w:pPr>
            <w:r>
              <w:t xml:space="preserve">Destroys credibility; proves ongoing deception and consciousness of guilt [^3^]</w:t>
            </w:r>
          </w:p>
        </w:tc>
        <w:tc>
          <w:tcPr/>
          <w:p>
            <w:pPr>
              <w:pStyle w:val="Compact"/>
              <w:jc w:val="left"/>
            </w:pPr>
            <w:r>
              <w:t xml:space="preserve">Compile every written excuse into a dated chronology for the</w:t>
            </w:r>
            <w:r>
              <w:t xml:space="preserve"> </w:t>
            </w:r>
            <w:r>
              <w:rPr>
                <w:iCs/>
                <w:i/>
              </w:rPr>
              <w:t xml:space="preserve">zawiadomienie</w:t>
            </w:r>
          </w:p>
        </w:tc>
      </w:tr>
      <w:tr>
        <w:tc>
          <w:tcPr/>
          <w:p>
            <w:pPr>
              <w:pStyle w:val="Compact"/>
              <w:jc w:val="center"/>
            </w:pPr>
            <w:r>
              <w:t xml:space="preserve">3</w:t>
            </w:r>
          </w:p>
        </w:tc>
        <w:tc>
          <w:tcPr/>
          <w:p>
            <w:pPr>
              <w:pStyle w:val="Compact"/>
              <w:jc w:val="left"/>
            </w:pPr>
            <w:r>
              <w:t xml:space="preserve">No real Hong Kong supplier existed</w:t>
            </w:r>
          </w:p>
        </w:tc>
        <w:tc>
          <w:tcPr/>
          <w:p>
            <w:pPr>
              <w:pStyle w:val="Compact"/>
              <w:jc w:val="center"/>
            </w:pPr>
            <w:r>
              <w:rPr>
                <w:bCs/>
                <w:b/>
              </w:rPr>
              <w:t xml:space="preserve">High</w:t>
            </w:r>
          </w:p>
        </w:tc>
        <w:tc>
          <w:tcPr/>
          <w:p>
            <w:pPr>
              <w:pStyle w:val="Compact"/>
              <w:jc w:val="left"/>
            </w:pPr>
            <w:r>
              <w:t xml:space="preserve">Undermines the entire legitimate-business defence — the transaction premise was fabricated [^4^]</w:t>
            </w:r>
          </w:p>
        </w:tc>
        <w:tc>
          <w:tcPr/>
          <w:p>
            <w:pPr>
              <w:pStyle w:val="Compact"/>
              <w:jc w:val="left"/>
            </w:pPr>
            <w:r>
              <w:t xml:space="preserve">Request</w:t>
            </w:r>
            <w:r>
              <w:t xml:space="preserve"> </w:t>
            </w:r>
            <w:r>
              <w:rPr>
                <w:iCs/>
                <w:i/>
              </w:rPr>
              <w:t xml:space="preserve">list ządalski</w:t>
            </w:r>
            <w:r>
              <w:t xml:space="preserve"> </w:t>
            </w:r>
            <w:r>
              <w:t xml:space="preserve">(letter rogatory) for HK company registry verification</w:t>
            </w:r>
          </w:p>
        </w:tc>
      </w:tr>
      <w:tr>
        <w:tc>
          <w:tcPr/>
          <w:p>
            <w:pPr>
              <w:pStyle w:val="Compact"/>
              <w:jc w:val="center"/>
            </w:pPr>
            <w:r>
              <w:t xml:space="preserve">4</w:t>
            </w:r>
          </w:p>
        </w:tc>
        <w:tc>
          <w:tcPr/>
          <w:p>
            <w:pPr>
              <w:pStyle w:val="Compact"/>
              <w:jc w:val="left"/>
            </w:pPr>
            <w:r>
              <w:t xml:space="preserve">Other victims (multi-victim pattern)</w:t>
            </w:r>
          </w:p>
        </w:tc>
        <w:tc>
          <w:tcPr/>
          <w:p>
            <w:pPr>
              <w:pStyle w:val="Compact"/>
              <w:jc w:val="center"/>
            </w:pPr>
            <w:r>
              <w:rPr>
                <w:bCs/>
                <w:b/>
              </w:rPr>
              <w:t xml:space="preserve">Medium</w:t>
            </w:r>
          </w:p>
        </w:tc>
        <w:tc>
          <w:tcPr/>
          <w:p>
            <w:pPr>
              <w:pStyle w:val="Compact"/>
              <w:jc w:val="left"/>
            </w:pPr>
            <w:r>
              <w:t xml:space="preserve">Elevates priority; aggregate may push case to art. 294 § 1 KK (1–10 years) [^5^]</w:t>
            </w:r>
          </w:p>
        </w:tc>
        <w:tc>
          <w:tcPr/>
          <w:p>
            <w:pPr>
              <w:pStyle w:val="Compact"/>
              <w:jc w:val="left"/>
            </w:pPr>
            <w:r>
              <w:t xml:space="preserve">Search GPUcomputer social media, Allegro/OLX reviews, Reddit, consumer forums</w:t>
            </w:r>
          </w:p>
        </w:tc>
      </w:tr>
      <w:tr>
        <w:tc>
          <w:tcPr/>
          <w:p>
            <w:pPr>
              <w:pStyle w:val="Compact"/>
              <w:jc w:val="center"/>
            </w:pPr>
            <w:r>
              <w:t xml:space="preserve">5</w:t>
            </w:r>
          </w:p>
        </w:tc>
        <w:tc>
          <w:tcPr/>
          <w:p>
            <w:pPr>
              <w:pStyle w:val="Compact"/>
              <w:jc w:val="left"/>
            </w:pPr>
            <w:r>
              <w:t xml:space="preserve">Written refund promise broken 31.03.2026</w:t>
            </w:r>
          </w:p>
        </w:tc>
        <w:tc>
          <w:tcPr/>
          <w:p>
            <w:pPr>
              <w:pStyle w:val="Compact"/>
              <w:jc w:val="center"/>
            </w:pPr>
            <w:r>
              <w:rPr>
                <w:bCs/>
                <w:b/>
              </w:rPr>
              <w:t xml:space="preserve">Medium</w:t>
            </w:r>
          </w:p>
        </w:tc>
        <w:tc>
          <w:tcPr/>
          <w:p>
            <w:pPr>
              <w:pStyle w:val="Compact"/>
              <w:jc w:val="left"/>
            </w:pPr>
            <w:r>
              <w:t xml:space="preserve">Confirms consciousness of guilt; the promise was false when made [^6^]</w:t>
            </w:r>
          </w:p>
        </w:tc>
        <w:tc>
          <w:tcPr/>
          <w:p>
            <w:pPr>
              <w:pStyle w:val="Compact"/>
              <w:jc w:val="left"/>
            </w:pPr>
            <w:r>
              <w:t xml:space="preserve">Include promise and breach as a separate fraud count in the complaint</w:t>
            </w:r>
          </w:p>
        </w:tc>
      </w:tr>
      <w:tr>
        <w:tc>
          <w:tcPr/>
          <w:p>
            <w:pPr>
              <w:pStyle w:val="Compact"/>
              <w:jc w:val="center"/>
            </w:pPr>
            <w:r>
              <w:t xml:space="preserve">6</w:t>
            </w:r>
          </w:p>
        </w:tc>
        <w:tc>
          <w:tcPr/>
          <w:p>
            <w:pPr>
              <w:pStyle w:val="Compact"/>
              <w:jc w:val="left"/>
            </w:pPr>
            <w:r>
              <w:t xml:space="preserve">KRZ showing no insolvency</w:t>
            </w:r>
          </w:p>
        </w:tc>
        <w:tc>
          <w:tcPr/>
          <w:p>
            <w:pPr>
              <w:pStyle w:val="Compact"/>
              <w:jc w:val="center"/>
            </w:pPr>
            <w:r>
              <w:rPr>
                <w:bCs/>
                <w:b/>
              </w:rPr>
              <w:t xml:space="preserve">Medium</w:t>
            </w:r>
          </w:p>
        </w:tc>
        <w:tc>
          <w:tcPr/>
          <w:p>
            <w:pPr>
              <w:pStyle w:val="Compact"/>
              <w:jc w:val="left"/>
            </w:pPr>
            <w:r>
              <w:t xml:space="preserve">Undermines</w:t>
            </w:r>
            <w:r>
              <w:t xml:space="preserve"> </w:t>
            </w:r>
            <w:r>
              <w:rPr>
                <w:iCs/>
                <w:i/>
              </w:rPr>
              <w:t xml:space="preserve">force majeure</w:t>
            </w:r>
            <w:r>
              <w:t xml:space="preserve"> </w:t>
            </w:r>
            <w:r>
              <w:t xml:space="preserve">defence — business was formally operational [^7^]</w:t>
            </w:r>
          </w:p>
        </w:tc>
        <w:tc>
          <w:tcPr/>
          <w:p>
            <w:pPr>
              <w:pStyle w:val="Compact"/>
              <w:jc w:val="left"/>
            </w:pPr>
            <w:r>
              <w:t xml:space="preserve">Attach KRZ certificate (free, instant online check)</w:t>
            </w:r>
          </w:p>
        </w:tc>
      </w:tr>
      <w:tr>
        <w:tc>
          <w:tcPr/>
          <w:p>
            <w:pPr>
              <w:pStyle w:val="Compact"/>
              <w:jc w:val="center"/>
            </w:pPr>
            <w:r>
              <w:t xml:space="preserve">7</w:t>
            </w:r>
          </w:p>
        </w:tc>
        <w:tc>
          <w:tcPr/>
          <w:p>
            <w:pPr>
              <w:pStyle w:val="Compact"/>
              <w:jc w:val="left"/>
            </w:pPr>
            <w:r>
              <w:t xml:space="preserve">JDG structure (no corporate veil)</w:t>
            </w:r>
          </w:p>
        </w:tc>
        <w:tc>
          <w:tcPr/>
          <w:p>
            <w:pPr>
              <w:pStyle w:val="Compact"/>
              <w:jc w:val="center"/>
            </w:pPr>
            <w:r>
              <w:rPr>
                <w:bCs/>
                <w:b/>
              </w:rPr>
              <w:t xml:space="preserve">Structural</w:t>
            </w:r>
          </w:p>
        </w:tc>
        <w:tc>
          <w:tcPr/>
          <w:p>
            <w:pPr>
              <w:pStyle w:val="Compact"/>
              <w:jc w:val="left"/>
            </w:pPr>
            <w:r>
              <w:t xml:space="preserve">Mateusz is personally liable with full estate; business assets ARE personal assets [^8^]</w:t>
            </w:r>
          </w:p>
        </w:tc>
        <w:tc>
          <w:tcPr/>
          <w:p>
            <w:pPr>
              <w:pStyle w:val="Compact"/>
              <w:jc w:val="left"/>
            </w:pPr>
            <w:r>
              <w:t xml:space="preserve">Use as leverage in settlement discussions</w:t>
            </w:r>
          </w:p>
        </w:tc>
      </w:tr>
      <w:tr>
        <w:tc>
          <w:tcPr/>
          <w:p>
            <w:pPr>
              <w:pStyle w:val="Compact"/>
              <w:jc w:val="center"/>
            </w:pPr>
            <w:r>
              <w:t xml:space="preserve">8</w:t>
            </w:r>
          </w:p>
        </w:tc>
        <w:tc>
          <w:tcPr/>
          <w:p>
            <w:pPr>
              <w:pStyle w:val="Compact"/>
              <w:jc w:val="left"/>
            </w:pPr>
            <w:r>
              <w:t xml:space="preserve">Waldek (Waldemar Łopata) as second target</w:t>
            </w:r>
          </w:p>
        </w:tc>
        <w:tc>
          <w:tcPr/>
          <w:p>
            <w:pPr>
              <w:pStyle w:val="Compact"/>
              <w:jc w:val="center"/>
            </w:pPr>
            <w:r>
              <w:rPr>
                <w:bCs/>
                <w:b/>
              </w:rPr>
              <w:t xml:space="preserve">Structural</w:t>
            </w:r>
          </w:p>
        </w:tc>
        <w:tc>
          <w:tcPr/>
          <w:p>
            <w:pPr>
              <w:pStyle w:val="Compact"/>
              <w:jc w:val="left"/>
            </w:pPr>
            <w:r>
              <w:t xml:space="preserve">5 independent liability pathways create prisoner’s dilemma between suspects [^9^]</w:t>
            </w:r>
          </w:p>
        </w:tc>
        <w:tc>
          <w:tcPr/>
          <w:p>
            <w:pPr>
              <w:pStyle w:val="Compact"/>
              <w:jc w:val="left"/>
            </w:pPr>
            <w:r>
              <w:t xml:space="preserve">Name both in</w:t>
            </w:r>
            <w:r>
              <w:t xml:space="preserve"> </w:t>
            </w:r>
            <w:r>
              <w:rPr>
                <w:iCs/>
                <w:i/>
              </w:rPr>
              <w:t xml:space="preserve">zawiadomienie</w:t>
            </w:r>
            <w:r>
              <w:t xml:space="preserve"> </w:t>
            </w:r>
            <w:r>
              <w:t xml:space="preserve">with specific factual allegations for each</w:t>
            </w:r>
          </w:p>
        </w:tc>
      </w:tr>
      <w:tr>
        <w:tc>
          <w:tcPr/>
          <w:p>
            <w:pPr>
              <w:pStyle w:val="Compact"/>
              <w:jc w:val="center"/>
            </w:pPr>
            <w:r>
              <w:t xml:space="preserve">9</w:t>
            </w:r>
          </w:p>
        </w:tc>
        <w:tc>
          <w:tcPr/>
          <w:p>
            <w:pPr>
              <w:pStyle w:val="Compact"/>
              <w:jc w:val="left"/>
            </w:pPr>
            <w:r>
              <w:t xml:space="preserve">art. 244c KK (Oct 2023): evading compensation</w:t>
            </w:r>
          </w:p>
        </w:tc>
        <w:tc>
          <w:tcPr/>
          <w:p>
            <w:pPr>
              <w:pStyle w:val="Compact"/>
              <w:jc w:val="center"/>
            </w:pPr>
            <w:r>
              <w:rPr>
                <w:bCs/>
                <w:b/>
              </w:rPr>
              <w:t xml:space="preserve">Structural</w:t>
            </w:r>
          </w:p>
        </w:tc>
        <w:tc>
          <w:tcPr/>
          <w:p>
            <w:pPr>
              <w:pStyle w:val="Compact"/>
              <w:jc w:val="left"/>
            </w:pPr>
            <w:r>
              <w:t xml:space="preserve">New crime of evading</w:t>
            </w:r>
            <w:r>
              <w:t xml:space="preserve"> </w:t>
            </w:r>
            <w:r>
              <w:rPr>
                <w:iCs/>
                <w:i/>
              </w:rPr>
              <w:t xml:space="preserve">art. 46 KK</w:t>
            </w:r>
            <w:r>
              <w:t xml:space="preserve"> </w:t>
            </w:r>
            <w:r>
              <w:t xml:space="preserve">compensation adds secondary pressure (3mo–5yr) [^10^]</w:t>
            </w:r>
          </w:p>
        </w:tc>
        <w:tc>
          <w:tcPr/>
          <w:p>
            <w:pPr>
              <w:pStyle w:val="Compact"/>
              <w:jc w:val="left"/>
            </w:pPr>
            <w:r>
              <w:t xml:space="preserve">Mention in settlement talks as future liability if ordered compensation is ignored</w:t>
            </w:r>
          </w:p>
        </w:tc>
      </w:tr>
    </w:tbl>
    <w:p>
      <w:pPr>
        <w:pStyle w:val="BodyText"/>
      </w:pPr>
      <w:r>
        <w:t xml:space="preserve">The tier division is deliberate. High-impact factors (Ranks 1–3) individually can make the difference between indictment and dismissal. They attack the core evidentiary problem: proving</w:t>
      </w:r>
      <w:r>
        <w:t xml:space="preserve"> </w:t>
      </w:r>
      <w:r>
        <w:rPr>
          <w:iCs/>
          <w:i/>
        </w:rPr>
        <w:t xml:space="preserve">zamiar oszukańczy</w:t>
      </w:r>
      <w:r>
        <w:t xml:space="preserve"> </w:t>
      </w:r>
      <w:r>
        <w:t xml:space="preserve">(fraudulent intent). Medium-impact factors (Ranks 4–6) strengthen the case but do not alone resolve the intent question. Structural factors (Ranks 7–9) are elements you cannot change but must weaponise in your strategy.</w:t>
      </w:r>
    </w:p>
    <w:bookmarkEnd w:id="29"/>
    <w:bookmarkStart w:id="33" w:name="high-impact-factors-game-changers"/>
    <w:p>
      <w:pPr>
        <w:pStyle w:val="Heading3"/>
      </w:pPr>
      <w:r>
        <w:t xml:space="preserve">2.1 High-Impact Factors (Game-Changers)</w:t>
      </w:r>
    </w:p>
    <w:bookmarkStart w:id="30" w:name="X89d8ccf70734bc1078fed93672f7b3b4abba140"/>
    <w:p>
      <w:pPr>
        <w:pStyle w:val="Heading4"/>
      </w:pPr>
      <w:r>
        <w:t xml:space="preserve">Rank 1 — Bank Trail Proving 155,000 PLN Was Never Used to Order Goods</w:t>
      </w:r>
    </w:p>
    <w:p>
      <w:pPr>
        <w:pStyle w:val="FirstParagraph"/>
      </w:pPr>
      <w:r>
        <w:t xml:space="preserve">This is your strongest evidence. The Sąd Najwyższy has held that diverting received funds to purposes other than agreed, while concealing this from the counterparty, constitutes fraud under art. 286 § 1 KK [^2^]. In</w:t>
      </w:r>
      <w:r>
        <w:t xml:space="preserve"> </w:t>
      </w:r>
      <w:r>
        <w:rPr>
          <w:iCs/>
          <w:i/>
        </w:rPr>
        <w:t xml:space="preserve">II KK 172/24</w:t>
      </w:r>
      <w:r>
        <w:t xml:space="preserve"> </w:t>
      </w:r>
      <w:r>
        <w:t xml:space="preserve">(2025), the Court affirmed a conviction where the accused diverted funds and</w:t>
      </w:r>
      <w:r>
        <w:t xml:space="preserve"> </w:t>
      </w:r>
      <w:r>
        <w:t xml:space="preserve">“</w:t>
      </w:r>
      <w:r>
        <w:t xml:space="preserve">nie potrafił wytłumaczyć na co przeznaczył te pieniądze</w:t>
      </w:r>
      <w:r>
        <w:t xml:space="preserve">”</w:t>
      </w:r>
      <w:r>
        <w:t xml:space="preserve"> </w:t>
      </w:r>
      <w:r>
        <w:t xml:space="preserve">(could not explain where the money went) [^2^].</w:t>
      </w:r>
    </w:p>
    <w:p>
      <w:pPr>
        <w:pStyle w:val="BodyText"/>
      </w:pPr>
      <w:r>
        <w:t xml:space="preserve">If the 155,000 PLN was spent on items unrelated to GPU procurement, the inference of fraudulent intent is direct. You do not need to prove Szklarski never intended to deliver — the bank trail creates a</w:t>
      </w:r>
      <w:r>
        <w:t xml:space="preserve"> </w:t>
      </w:r>
      <w:r>
        <w:rPr>
          <w:iCs/>
          <w:i/>
        </w:rPr>
        <w:t xml:space="preserve">domniemanie faktualne</w:t>
      </w:r>
      <w:r>
        <w:t xml:space="preserve"> </w:t>
      </w:r>
      <w:r>
        <w:t xml:space="preserve">(factual presumption) that is extremely difficult to rebut. The amount is quantified, the transfer date is fixed, and any non-GPU expenditure is objectively verifiable.</w:t>
      </w:r>
    </w:p>
    <w:p>
      <w:pPr>
        <w:pStyle w:val="BodyText"/>
      </w:pPr>
      <w:r>
        <w:rPr>
          <w:bCs/>
          <w:b/>
        </w:rPr>
        <w:t xml:space="preserve">What to do:</w:t>
      </w:r>
      <w:r>
        <w:t xml:space="preserve"> </w:t>
      </w:r>
      <w:r>
        <w:t xml:space="preserve">Once proceedings open, file a motion under art. 219 KPK for a court-appointed</w:t>
      </w:r>
      <w:r>
        <w:t xml:space="preserve"> </w:t>
      </w:r>
      <w:r>
        <w:rPr>
          <w:iCs/>
          <w:i/>
        </w:rPr>
        <w:t xml:space="preserve">biegły</w:t>
      </w:r>
      <w:r>
        <w:t xml:space="preserve"> </w:t>
      </w:r>
      <w:r>
        <w:t xml:space="preserve">to trace all flows from the GPUcomputer business account and Szklarski’s linked personal accounts during January–March 2026. If the funds never reached a GPU supplier, that fact alone satisfies the hardest element of the crime.</w:t>
      </w:r>
    </w:p>
    <w:bookmarkEnd w:id="30"/>
    <w:bookmarkStart w:id="31" w:name="rank-2-contradictory-written-statements"/>
    <w:p>
      <w:pPr>
        <w:pStyle w:val="Heading4"/>
      </w:pPr>
      <w:r>
        <w:t xml:space="preserve">Rank 2 — Contradictory Written Statements</w:t>
      </w:r>
    </w:p>
    <w:p>
      <w:pPr>
        <w:pStyle w:val="FirstParagraph"/>
      </w:pPr>
      <w:r>
        <w:t xml:space="preserve">The two excuses —</w:t>
      </w:r>
      <w:r>
        <w:t xml:space="preserve"> </w:t>
      </w:r>
      <w:r>
        <w:t xml:space="preserve">“</w:t>
      </w:r>
      <w:r>
        <w:t xml:space="preserve">customs cleared 24 February</w:t>
      </w:r>
      <w:r>
        <w:t xml:space="preserve">”</w:t>
      </w:r>
      <w:r>
        <w:t xml:space="preserve"> </w:t>
      </w:r>
      <w:r>
        <w:t xml:space="preserve">and</w:t>
      </w:r>
      <w:r>
        <w:t xml:space="preserve"> </w:t>
      </w:r>
      <w:r>
        <w:t xml:space="preserve">“</w:t>
      </w:r>
      <w:r>
        <w:t xml:space="preserve">HK supplier bankruptcy 13 May</w:t>
      </w:r>
      <w:r>
        <w:t xml:space="preserve">”</w:t>
      </w:r>
      <w:r>
        <w:t xml:space="preserve"> </w:t>
      </w:r>
      <w:r>
        <w:t xml:space="preserve">— are mutually exclusive. Goods cannot simultaneously clear customs and be blocked by supplier insolvency. This demonstrates, as the Sąd Najwyższy held in</w:t>
      </w:r>
      <w:r>
        <w:t xml:space="preserve"> </w:t>
      </w:r>
      <w:r>
        <w:rPr>
          <w:iCs/>
          <w:i/>
        </w:rPr>
        <w:t xml:space="preserve">II KR 73/80</w:t>
      </w:r>
      <w:r>
        <w:t xml:space="preserve">, that the accused was constructing false narratives rather than providing honest explanations [^3^]. Polish courts systematically reject accused explanations when they contradict documentary evidence. The Sąd Rejonowy w Puławach held in</w:t>
      </w:r>
      <w:r>
        <w:t xml:space="preserve"> </w:t>
      </w:r>
      <w:r>
        <w:rPr>
          <w:iCs/>
          <w:i/>
        </w:rPr>
        <w:t xml:space="preserve">II K 682/18</w:t>
      </w:r>
      <w:r>
        <w:t xml:space="preserve"> </w:t>
      </w:r>
      <w:r>
        <w:t xml:space="preserve">that it</w:t>
      </w:r>
      <w:r>
        <w:t xml:space="preserve"> </w:t>
      </w:r>
      <w:r>
        <w:t xml:space="preserve">“</w:t>
      </w:r>
      <w:r>
        <w:t xml:space="preserve">nie dał wiary wyjaśnieniom oskarżonego</w:t>
      </w:r>
      <w:r>
        <w:t xml:space="preserve">”</w:t>
      </w:r>
      <w:r>
        <w:t xml:space="preserve"> </w:t>
      </w:r>
      <w:r>
        <w:t xml:space="preserve">where the accused’s statements were inconsistent [^3^]. Your accused has provided contradictory written excuses that are timestamped, attributable, and irreconcilable.</w:t>
      </w:r>
    </w:p>
    <w:p>
      <w:pPr>
        <w:pStyle w:val="BodyText"/>
      </w:pPr>
      <w:r>
        <w:rPr>
          <w:bCs/>
          <w:b/>
        </w:rPr>
        <w:t xml:space="preserve">What to do:</w:t>
      </w:r>
      <w:r>
        <w:t xml:space="preserve"> </w:t>
      </w:r>
      <w:r>
        <w:t xml:space="preserve">Create a single-page chronology: every excuse, the date, the medium, and the direct contradiction. Attach it to the</w:t>
      </w:r>
      <w:r>
        <w:t xml:space="preserve"> </w:t>
      </w:r>
      <w:r>
        <w:rPr>
          <w:iCs/>
          <w:i/>
        </w:rPr>
        <w:t xml:space="preserve">zawiadomienie</w:t>
      </w:r>
      <w:r>
        <w:t xml:space="preserve">. Do not rely on the prosecutor to piece it together.</w:t>
      </w:r>
    </w:p>
    <w:bookmarkEnd w:id="31"/>
    <w:bookmarkStart w:id="32" w:name="X8157a5c6e1bf883e528614cc6fd45c2e41cf8ad"/>
    <w:p>
      <w:pPr>
        <w:pStyle w:val="Heading4"/>
      </w:pPr>
      <w:r>
        <w:t xml:space="preserve">Rank 3 — Proving No Real Hong Kong Supplier Existed</w:t>
      </w:r>
    </w:p>
    <w:p>
      <w:pPr>
        <w:pStyle w:val="FirstParagraph"/>
      </w:pPr>
      <w:r>
        <w:t xml:space="preserve">If the HK supplier was fictitious, the entire legitimate-business defence collapses. The initial representation becomes the foundational deception, transforming the case from</w:t>
      </w:r>
      <w:r>
        <w:t xml:space="preserve"> </w:t>
      </w:r>
      <w:r>
        <w:t xml:space="preserve">“</w:t>
      </w:r>
      <w:r>
        <w:t xml:space="preserve">business failure</w:t>
      </w:r>
      <w:r>
        <w:t xml:space="preserve">”</w:t>
      </w:r>
      <w:r>
        <w:t xml:space="preserve"> </w:t>
      </w:r>
      <w:r>
        <w:t xml:space="preserve">into</w:t>
      </w:r>
      <w:r>
        <w:t xml:space="preserve"> </w:t>
      </w:r>
      <w:r>
        <w:t xml:space="preserve">“</w:t>
      </w:r>
      <w:r>
        <w:t xml:space="preserve">premeditated fraud.</w:t>
      </w:r>
      <w:r>
        <w:t xml:space="preserve">”</w:t>
      </w:r>
      <w:r>
        <w:t xml:space="preserve"> </w:t>
      </w:r>
      <w:r>
        <w:t xml:space="preserve">Proving supplier non-existence may require an international</w:t>
      </w:r>
      <w:r>
        <w:t xml:space="preserve"> </w:t>
      </w:r>
      <w:r>
        <w:rPr>
          <w:iCs/>
          <w:i/>
        </w:rPr>
        <w:t xml:space="preserve">list ządalski</w:t>
      </w:r>
      <w:r>
        <w:t xml:space="preserve">, which adds months. However, you already have powerful circumstantial evidence: the bank trail (if funds never left Poland) combined with the absence of any purchase orders, shipping documents, or HK correspondence.</w:t>
      </w:r>
    </w:p>
    <w:p>
      <w:pPr>
        <w:pStyle w:val="BodyText"/>
      </w:pPr>
      <w:r>
        <w:rPr>
          <w:bCs/>
          <w:b/>
        </w:rPr>
        <w:t xml:space="preserve">What to do:</w:t>
      </w:r>
      <w:r>
        <w:t xml:space="preserve"> </w:t>
      </w:r>
      <w:r>
        <w:t xml:space="preserve">Request the prosecutor issue a</w:t>
      </w:r>
      <w:r>
        <w:t xml:space="preserve"> </w:t>
      </w:r>
      <w:r>
        <w:rPr>
          <w:iCs/>
          <w:i/>
        </w:rPr>
        <w:t xml:space="preserve">list ządalski</w:t>
      </w:r>
      <w:r>
        <w:t xml:space="preserve"> </w:t>
      </w:r>
      <w:r>
        <w:t xml:space="preserve">for verification with the Hong Kong Companies Registry. In parallel, have the</w:t>
      </w:r>
      <w:r>
        <w:t xml:space="preserve"> </w:t>
      </w:r>
      <w:r>
        <w:rPr>
          <w:iCs/>
          <w:i/>
        </w:rPr>
        <w:t xml:space="preserve">biegły</w:t>
      </w:r>
      <w:r>
        <w:t xml:space="preserve"> </w:t>
      </w:r>
      <w:r>
        <w:t xml:space="preserve">analyse whether any portion of the 155,000 PLN was transferred abroad. If none was, the absence of a real supplier becomes an inference the defence cannot overcome.</w:t>
      </w:r>
    </w:p>
    <w:bookmarkEnd w:id="32"/>
    <w:bookmarkEnd w:id="33"/>
    <w:bookmarkStart w:id="37" w:name="Xcfa7c901891e6e0004cd02d098c4f5d90f61e38"/>
    <w:p>
      <w:pPr>
        <w:pStyle w:val="Heading3"/>
      </w:pPr>
      <w:r>
        <w:t xml:space="preserve">2.2 Medium-Impact Factors (Strengthen the Case)</w:t>
      </w:r>
    </w:p>
    <w:bookmarkStart w:id="34" w:name="rank-4-surfacing-other-victims"/>
    <w:p>
      <w:pPr>
        <w:pStyle w:val="Heading4"/>
      </w:pPr>
      <w:r>
        <w:t xml:space="preserve">Rank 4 — Surfacing Other Victims</w:t>
      </w:r>
    </w:p>
    <w:p>
      <w:pPr>
        <w:pStyle w:val="FirstParagraph"/>
      </w:pPr>
      <w:r>
        <w:t xml:space="preserve">This factor has a disproportionate payoff. Your 155,000 PLN sits 45,000 PLN below the</w:t>
      </w:r>
      <w:r>
        <w:t xml:space="preserve"> </w:t>
      </w:r>
      <w:r>
        <w:rPr>
          <w:iCs/>
          <w:i/>
        </w:rPr>
        <w:t xml:space="preserve">znaczna wartość</w:t>
      </w:r>
      <w:r>
        <w:t xml:space="preserve"> </w:t>
      </w:r>
      <w:r>
        <w:t xml:space="preserve">threshold of 200,000 PLN under art. 115 § 5 KK [^5^]. One additional victim with ~45,000 PLN or more pushes the aggregate over that line, elevating the case from art. 286 § 1 KK (6 months – 8 years) to art. 294 § 1 KK (1–10 years). This reclassification triggers higher prosecutorial priority, broader asset freezing, and stronger settlement leverage.</w:t>
      </w:r>
    </w:p>
    <w:p>
      <w:pPr>
        <w:pStyle w:val="BodyText"/>
      </w:pPr>
      <w:r>
        <w:t xml:space="preserve">Multi-victim status also addresses your single greatest procedural risk: dismissal under art. 17 § 1 pkt 2 KPK for</w:t>
      </w:r>
      <w:r>
        <w:t xml:space="preserve"> </w:t>
      </w:r>
      <w:r>
        <w:t xml:space="preserve">“</w:t>
      </w:r>
      <w:r>
        <w:t xml:space="preserve">brak znamion czynu zabronionego</w:t>
      </w:r>
      <w:r>
        <w:t xml:space="preserve">”</w:t>
      </w:r>
      <w:r>
        <w:t xml:space="preserve"> </w:t>
      </w:r>
      <w:r>
        <w:t xml:space="preserve">(absence of crime indicators). Polish prosecutors exercise significant discretion in single-victim economic complaints below 200,000 PLN [^5^]. Multiple victims with identical</w:t>
      </w:r>
      <w:r>
        <w:t xml:space="preserve"> </w:t>
      </w:r>
      <w:r>
        <w:rPr>
          <w:iCs/>
          <w:i/>
        </w:rPr>
        <w:t xml:space="preserve">modus operandi</w:t>
      </w:r>
      <w:r>
        <w:t xml:space="preserve"> </w:t>
      </w:r>
      <w:r>
        <w:t xml:space="preserve">transform an individual dispute into a recognisable criminal pattern. Under art. 12 KK, multiple frauds using the same method in short intervals can be treated as a single</w:t>
      </w:r>
      <w:r>
        <w:t xml:space="preserve"> </w:t>
      </w:r>
      <w:r>
        <w:rPr>
          <w:iCs/>
          <w:i/>
        </w:rPr>
        <w:t xml:space="preserve">czyn ciągły</w:t>
      </w:r>
      <w:r>
        <w:t xml:space="preserve"> </w:t>
      </w:r>
      <w:r>
        <w:t xml:space="preserve">(continuous act), aggregating all damages for sentencing [^5^].</w:t>
      </w:r>
    </w:p>
    <w:p>
      <w:pPr>
        <w:pStyle w:val="BodyText"/>
      </w:pPr>
      <w:r>
        <w:rPr>
          <w:bCs/>
          <w:b/>
        </w:rPr>
        <w:t xml:space="preserve">What to do:</w:t>
      </w:r>
      <w:r>
        <w:t xml:space="preserve"> </w:t>
      </w:r>
      <w:r>
        <w:t xml:space="preserve">Search GPUcomputer’s social media — read every comment on every post. Search Google for</w:t>
      </w:r>
      <w:r>
        <w:t xml:space="preserve"> </w:t>
      </w:r>
      <w:r>
        <w:t xml:space="preserve">“</w:t>
      </w:r>
      <w:r>
        <w:t xml:space="preserve">gpucomputer opinie</w:t>
      </w:r>
      <w:r>
        <w:t xml:space="preserve">”</w:t>
      </w:r>
      <w:r>
        <w:t xml:space="preserve"> </w:t>
      </w:r>
      <w:r>
        <w:t xml:space="preserve">and</w:t>
      </w:r>
      <w:r>
        <w:t xml:space="preserve"> </w:t>
      </w:r>
      <w:r>
        <w:t xml:space="preserve">“</w:t>
      </w:r>
      <w:r>
        <w:t xml:space="preserve">gpucomputer oszustwo.</w:t>
      </w:r>
      <w:r>
        <w:t xml:space="preserve">”</w:t>
      </w:r>
      <w:r>
        <w:t xml:space="preserve"> </w:t>
      </w:r>
      <w:r>
        <w:t xml:space="preserve">Check Allegro and OLX reviews. Post on Reddit (r/Polska, r/komputery) and consumer forums. If you find one other victim, file separate</w:t>
      </w:r>
      <w:r>
        <w:t xml:space="preserve"> </w:t>
      </w:r>
      <w:r>
        <w:rPr>
          <w:iCs/>
          <w:i/>
        </w:rPr>
        <w:t xml:space="preserve">zawiadomienia</w:t>
      </w:r>
      <w:r>
        <w:t xml:space="preserve"> </w:t>
      </w:r>
      <w:r>
        <w:t xml:space="preserve">under art. 304 KPK but request</w:t>
      </w:r>
      <w:r>
        <w:t xml:space="preserve"> </w:t>
      </w:r>
      <w:r>
        <w:rPr>
          <w:iCs/>
          <w:i/>
        </w:rPr>
        <w:t xml:space="preserve">łączność spraw</w:t>
      </w:r>
      <w:r>
        <w:t xml:space="preserve"> </w:t>
      </w:r>
      <w:r>
        <w:t xml:space="preserve">(joinder) under art. 33 KPK. Multiple victims can appoint a common attorney under art. 87–88 KPK [^5^].</w:t>
      </w:r>
    </w:p>
    <w:bookmarkEnd w:id="34"/>
    <w:bookmarkStart w:id="35" w:name="X34baa68565099223f75150014cba5e7fba9be7c"/>
    <w:p>
      <w:pPr>
        <w:pStyle w:val="Heading4"/>
      </w:pPr>
      <w:r>
        <w:t xml:space="preserve">Rank 5 — Written Refund Promise Broken on 31 March 2026</w:t>
      </w:r>
    </w:p>
    <w:p>
      <w:pPr>
        <w:pStyle w:val="FirstParagraph"/>
      </w:pPr>
      <w:r>
        <w:t xml:space="preserve">The written promise dated 10 March 2026 — 155,000 PLN plus interest within 14 business days — is not merely civil debt. Under Polish fraud jurisprudence, a broken written promise proves the promise was false when made. The Sąd Apelacyjny w Katowicach held in</w:t>
      </w:r>
      <w:r>
        <w:t xml:space="preserve"> </w:t>
      </w:r>
      <w:r>
        <w:rPr>
          <w:iCs/>
          <w:i/>
        </w:rPr>
        <w:t xml:space="preserve">II AKa 39/16</w:t>
      </w:r>
      <w:r>
        <w:t xml:space="preserve"> </w:t>
      </w:r>
      <w:r>
        <w:t xml:space="preserve">that</w:t>
      </w:r>
      <w:r>
        <w:t xml:space="preserve"> </w:t>
      </w:r>
      <w:r>
        <w:t xml:space="preserve">“</w:t>
      </w:r>
      <w:r>
        <w:t xml:space="preserve">zachowanie sprawcy, który zapewnia o zamiarze dotrzymania terminu zapłaty, kiedy w rzeczywistości takowego od samego początku nie ma, stanowi ewidentne</w:t>
      </w:r>
      <w:r>
        <w:t xml:space="preserve"> </w:t>
      </w:r>
      <w:r>
        <w:t xml:space="preserve">‘</w:t>
      </w:r>
      <w:r>
        <w:t xml:space="preserve">wprowadzanie w błąd</w:t>
      </w:r>
      <w:r>
        <w:t xml:space="preserve">’</w:t>
      </w:r>
      <w:r>
        <w:t xml:space="preserve">”</w:t>
      </w:r>
      <w:r>
        <w:t xml:space="preserve"> </w:t>
      </w:r>
      <w:r>
        <w:t xml:space="preserve">[^6^]. The fact that it was written with specific terms and a specific default date gives it higher probative value than an oral assurance.</w:t>
      </w:r>
    </w:p>
    <w:p>
      <w:pPr>
        <w:pStyle w:val="BodyText"/>
      </w:pPr>
      <w:r>
        <w:rPr>
          <w:bCs/>
          <w:b/>
        </w:rPr>
        <w:t xml:space="preserve">What to do:</w:t>
      </w:r>
      <w:r>
        <w:t xml:space="preserve"> </w:t>
      </w:r>
      <w:r>
        <w:t xml:space="preserve">Include the broken promise as a separate count in the</w:t>
      </w:r>
      <w:r>
        <w:t xml:space="preserve"> </w:t>
      </w:r>
      <w:r>
        <w:rPr>
          <w:iCs/>
          <w:i/>
        </w:rPr>
        <w:t xml:space="preserve">zawiadomienie</w:t>
      </w:r>
      <w:r>
        <w:t xml:space="preserve">. It proves fraudulent intent at the time of the original transaction and may constitute an independent act of fraud if made with no intent to honour it.</w:t>
      </w:r>
    </w:p>
    <w:bookmarkEnd w:id="35"/>
    <w:bookmarkStart w:id="36" w:name="rank-6-krz-showing-no-insolvency"/>
    <w:p>
      <w:pPr>
        <w:pStyle w:val="Heading4"/>
      </w:pPr>
      <w:r>
        <w:t xml:space="preserve">Rank 6 — KRZ Showing No Insolvency</w:t>
      </w:r>
    </w:p>
    <w:p>
      <w:pPr>
        <w:pStyle w:val="FirstParagraph"/>
      </w:pPr>
      <w:r>
        <w:t xml:space="preserve">A KRZ (Krajowy Rejestr Zadłużonych) certificate showing no insolvency proceeding undermines any</w:t>
      </w:r>
      <w:r>
        <w:t xml:space="preserve"> </w:t>
      </w:r>
      <w:r>
        <w:rPr>
          <w:iCs/>
          <w:i/>
        </w:rPr>
        <w:t xml:space="preserve">force majeure</w:t>
      </w:r>
      <w:r>
        <w:t xml:space="preserve"> </w:t>
      </w:r>
      <w:r>
        <w:t xml:space="preserve">defence. If the business was formally operational and not in restructuring or bankruptcy, the failure to deliver looks less like external misfortune and more like deliberate diversion [^7^]. This factor is supplementary, not dispositive — a business can have cash-flow problems without formal insolvency. But combined with the bank trail and contradictory statements, it completes the picture.</w:t>
      </w:r>
    </w:p>
    <w:p>
      <w:pPr>
        <w:pStyle w:val="BodyText"/>
      </w:pPr>
      <w:r>
        <w:rPr>
          <w:bCs/>
          <w:b/>
        </w:rPr>
        <w:t xml:space="preserve">What to do:</w:t>
      </w:r>
      <w:r>
        <w:t xml:space="preserve"> </w:t>
      </w:r>
      <w:r>
        <w:t xml:space="preserve">Download a KRZ certificate (free, online) and attach it to the</w:t>
      </w:r>
      <w:r>
        <w:t xml:space="preserve"> </w:t>
      </w:r>
      <w:r>
        <w:rPr>
          <w:iCs/>
          <w:i/>
        </w:rPr>
        <w:t xml:space="preserve">zawiadomienie</w:t>
      </w:r>
      <w:r>
        <w:t xml:space="preserve">. Five minutes of work removes one potential defence.</w:t>
      </w:r>
    </w:p>
    <w:bookmarkEnd w:id="36"/>
    <w:bookmarkEnd w:id="37"/>
    <w:bookmarkStart w:id="41" w:name="Xcde652b87395284e16d3fad0d279a10dd956cc9"/>
    <w:p>
      <w:pPr>
        <w:pStyle w:val="Heading3"/>
      </w:pPr>
      <w:r>
        <w:t xml:space="preserve">2.3 Structural Factors (Context You Cannot Change)</w:t>
      </w:r>
    </w:p>
    <w:bookmarkStart w:id="38" w:name="rank-7-jdg-structure-no-corporate-veil"/>
    <w:p>
      <w:pPr>
        <w:pStyle w:val="Heading4"/>
      </w:pPr>
      <w:r>
        <w:t xml:space="preserve">Rank 7 — JDG Structure (No Corporate Veil)</w:t>
      </w:r>
    </w:p>
    <w:p>
      <w:pPr>
        <w:pStyle w:val="FirstParagraph"/>
      </w:pPr>
      <w:r>
        <w:t xml:space="preserve">Mateusz Szklarski operates a</w:t>
      </w:r>
      <w:r>
        <w:t xml:space="preserve"> </w:t>
      </w:r>
      <w:r>
        <w:rPr>
          <w:iCs/>
          <w:i/>
        </w:rPr>
        <w:t xml:space="preserve">jednoosobowa działalność gospodarcza</w:t>
      </w:r>
      <w:r>
        <w:t xml:space="preserve"> </w:t>
      </w:r>
      <w:r>
        <w:t xml:space="preserve">(JDG — sole proprietorship). Under Polish law, a JDG has no separate legal personality:</w:t>
      </w:r>
      <w:r>
        <w:t xml:space="preserve"> </w:t>
      </w:r>
      <w:r>
        <w:t xml:space="preserve">“</w:t>
      </w:r>
      <w:r>
        <w:t xml:space="preserve">w świetle prawa nie ma podziału pomiędzy osobą prowadzącą działalność a przedsiębiorstwem — to jedna i ta sama osoba</w:t>
      </w:r>
      <w:r>
        <w:t xml:space="preserve">”</w:t>
      </w:r>
      <w:r>
        <w:t xml:space="preserve"> </w:t>
      </w:r>
      <w:r>
        <w:t xml:space="preserve">[^8^]. There is no corporate veil to pierce. Business assets are personal assets. A criminal judgment reaches his entire estate. Art. 41 § 2 KK authorises a business ban of 1–10 years upon conviction; CEIDG deregistration follows automatically within 7 days [^8^]. In settlement discussions, the point is simple: conviction means personal financial ruin with no entity-level firewall.</w:t>
      </w:r>
    </w:p>
    <w:bookmarkEnd w:id="38"/>
    <w:bookmarkStart w:id="39" w:name="rank-8-waldek-as-second-target"/>
    <w:p>
      <w:pPr>
        <w:pStyle w:val="Heading4"/>
      </w:pPr>
      <w:r>
        <w:t xml:space="preserve">Rank 8 — Waldek as Second Target</w:t>
      </w:r>
    </w:p>
    <w:p>
      <w:pPr>
        <w:pStyle w:val="FirstParagraph"/>
      </w:pPr>
      <w:r>
        <w:t xml:space="preserve">Waldemar Łopata is independently criminally reachable on at least five grounds: (1)</w:t>
      </w:r>
      <w:r>
        <w:t xml:space="preserve"> </w:t>
      </w:r>
      <w:r>
        <w:rPr>
          <w:iCs/>
          <w:i/>
        </w:rPr>
        <w:t xml:space="preserve">współsprawstwo</w:t>
      </w:r>
      <w:r>
        <w:t xml:space="preserve"> </w:t>
      </w:r>
      <w:r>
        <w:t xml:space="preserve">(co-perpetration) under art. 18 KK; (2)</w:t>
      </w:r>
      <w:r>
        <w:t xml:space="preserve"> </w:t>
      </w:r>
      <w:r>
        <w:rPr>
          <w:iCs/>
          <w:i/>
        </w:rPr>
        <w:t xml:space="preserve">pomocnictwo</w:t>
      </w:r>
      <w:r>
        <w:t xml:space="preserve"> </w:t>
      </w:r>
      <w:r>
        <w:t xml:space="preserve">(aiding and abetting) under art. 19 KK; (3)</w:t>
      </w:r>
      <w:r>
        <w:t xml:space="preserve"> </w:t>
      </w:r>
      <w:r>
        <w:rPr>
          <w:iCs/>
          <w:i/>
        </w:rPr>
        <w:t xml:space="preserve">paserstwo</w:t>
      </w:r>
      <w:r>
        <w:t xml:space="preserve"> </w:t>
      </w:r>
      <w:r>
        <w:t xml:space="preserve">(receiving stolen goods) under art. 291 KK; (4)</w:t>
      </w:r>
      <w:r>
        <w:t xml:space="preserve"> </w:t>
      </w:r>
      <w:r>
        <w:rPr>
          <w:iCs/>
          <w:i/>
        </w:rPr>
        <w:t xml:space="preserve">pranie brudnych pieniędzy</w:t>
      </w:r>
      <w:r>
        <w:t xml:space="preserve"> </w:t>
      </w:r>
      <w:r>
        <w:t xml:space="preserve">(money laundering) under art. 299 KK; and (5) factual management under art. 308 KK [^9^]. Naming both in the</w:t>
      </w:r>
      <w:r>
        <w:t xml:space="preserve"> </w:t>
      </w:r>
      <w:r>
        <w:rPr>
          <w:iCs/>
          <w:i/>
        </w:rPr>
        <w:t xml:space="preserve">zawiadomienie</w:t>
      </w:r>
      <w:r>
        <w:t xml:space="preserve"> </w:t>
      </w:r>
      <w:r>
        <w:t xml:space="preserve">creates a prisoner’s dilemma: each faces the prospect that the other cooperates first, and art. 60 § 2 KK provides extraordinary mitigation for the first to fully repair damage. This pressure can break their alliance and induce settlement.</w:t>
      </w:r>
    </w:p>
    <w:p>
      <w:pPr>
        <w:pStyle w:val="BodyText"/>
      </w:pPr>
      <w:r>
        <w:rPr>
          <w:bCs/>
          <w:b/>
        </w:rPr>
        <w:t xml:space="preserve">What to do:</w:t>
      </w:r>
      <w:r>
        <w:t xml:space="preserve"> </w:t>
      </w:r>
      <w:r>
        <w:t xml:space="preserve">Name both men with specific factual allegations for each — who made which statements, who handled which communications, who made the refund promise. Generic allegations weaken the effect.</w:t>
      </w:r>
    </w:p>
    <w:bookmarkEnd w:id="39"/>
    <w:bookmarkStart w:id="40" w:name="X2e31a0794731a997482074b8892910d7e2d75f5"/>
    <w:p>
      <w:pPr>
        <w:pStyle w:val="Heading4"/>
      </w:pPr>
      <w:r>
        <w:t xml:space="preserve">Rank 9 — art. 244c KK (October 2023 Amendment)</w:t>
      </w:r>
    </w:p>
    <w:p>
      <w:pPr>
        <w:pStyle w:val="FirstParagraph"/>
      </w:pPr>
      <w:r>
        <w:t xml:space="preserve">The October 2023 amendment introduced art. 244c KK, criminalising evasion of victim compensation ordered under art. 46 KK. Once a court orders compensation and the debtor has objective ability to pay, failure to pay becomes a separate offence punishable by 3 months to 5 years [^10^]. This provision is untested in case law, but its statutory text is clear. Its value is in settlement talks: if conviction and art. 46 KK are ordered, the debtor faces a second criminal prosecution for non-payment. The 30-day</w:t>
      </w:r>
      <w:r>
        <w:t xml:space="preserve"> </w:t>
      </w:r>
      <w:r>
        <w:rPr>
          <w:iCs/>
          <w:i/>
        </w:rPr>
        <w:t xml:space="preserve">czynny żal</w:t>
      </w:r>
      <w:r>
        <w:t xml:space="preserve"> </w:t>
      </w:r>
      <w:r>
        <w:t xml:space="preserve">(active repentance) window after first interrogation adds further leverage for early settlement [^10^].</w:t>
      </w:r>
    </w:p>
    <w:bookmarkEnd w:id="40"/>
    <w:bookmarkEnd w:id="41"/>
    <w:bookmarkStart w:id="42" w:name="the-multi-victim-threshold"/>
    <w:p>
      <w:pPr>
        <w:pStyle w:val="Heading3"/>
      </w:pPr>
      <w:r>
        <w:t xml:space="preserve">2.4 The Multi-Victim Threshold</w:t>
      </w:r>
    </w:p>
    <w:p>
      <w:pPr>
        <w:pStyle w:val="FirstParagraph"/>
      </w:pPr>
      <w:r>
        <w:t xml:space="preserve">The most impactful action you can take after presenting your existing evidence is finding one more victim. At 155,000 PLN, you are 45,000 PLN short of</w:t>
      </w:r>
      <w:r>
        <w:t xml:space="preserve"> </w:t>
      </w:r>
      <w:r>
        <w:rPr>
          <w:iCs/>
          <w:i/>
        </w:rPr>
        <w:t xml:space="preserve">znaczna wartość</w:t>
      </w:r>
      <w:r>
        <w:t xml:space="preserve">. A single additional victim with comparable damages transforms the sentence range and triggers reclassification [^5^]. In practice, 2–3 victims with identical</w:t>
      </w:r>
      <w:r>
        <w:t xml:space="preserve"> </w:t>
      </w:r>
      <w:r>
        <w:rPr>
          <w:iCs/>
          <w:i/>
        </w:rPr>
        <w:t xml:space="preserve">modus operandi</w:t>
      </w:r>
      <w:r>
        <w:t xml:space="preserve"> </w:t>
      </w:r>
      <w:r>
        <w:t xml:space="preserve">can trigger</w:t>
      </w:r>
      <w:r>
        <w:t xml:space="preserve"> </w:t>
      </w:r>
      <w:r>
        <w:rPr>
          <w:iCs/>
          <w:i/>
        </w:rPr>
        <w:t xml:space="preserve">czyn ciągły</w:t>
      </w:r>
      <w:r>
        <w:t xml:space="preserve"> </w:t>
      </w:r>
      <w:r>
        <w:t xml:space="preserve">treatment under art. 12 KK; 5+ typically escalates the case to Prokuratura Okręgowa [^5^]. You do not need dozens of victims. You need one.</w:t>
      </w:r>
    </w:p>
    <w:p>
      <w:pPr>
        <w:pStyle w:val="BodyText"/>
      </w:pPr>
      <w:r>
        <w:rPr>
          <w:bCs/>
          <w:b/>
        </w:rPr>
        <w:t xml:space="preserve">Where to search</w:t>
      </w:r>
      <w:r>
        <w:t xml:space="preserve">, based on prosecution practice in comparable cases [^5^]:</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Channel</w:t>
            </w:r>
          </w:p>
        </w:tc>
        <w:tc>
          <w:tcPr/>
          <w:p>
            <w:pPr>
              <w:pStyle w:val="Compact"/>
              <w:jc w:val="left"/>
            </w:pPr>
            <w:r>
              <w:t xml:space="preserve">Specific Action</w:t>
            </w:r>
          </w:p>
        </w:tc>
      </w:tr>
      <w:tr>
        <w:tc>
          <w:tcPr/>
          <w:p>
            <w:pPr>
              <w:pStyle w:val="Compact"/>
              <w:jc w:val="left"/>
            </w:pPr>
            <w:r>
              <w:t xml:space="preserve">GPUcomputer social media</w:t>
            </w:r>
          </w:p>
        </w:tc>
        <w:tc>
          <w:tcPr/>
          <w:p>
            <w:pPr>
              <w:pStyle w:val="Compact"/>
              <w:jc w:val="left"/>
            </w:pPr>
            <w:r>
              <w:t xml:space="preserve">Read all comments; search posts for complaint keywords</w:t>
            </w:r>
          </w:p>
        </w:tc>
      </w:tr>
      <w:tr>
        <w:tc>
          <w:tcPr/>
          <w:p>
            <w:pPr>
              <w:pStyle w:val="Compact"/>
              <w:jc w:val="left"/>
            </w:pPr>
            <w:r>
              <w:t xml:space="preserve">Allegro / OLX / Ceneo</w:t>
            </w:r>
          </w:p>
        </w:tc>
        <w:tc>
          <w:tcPr/>
          <w:p>
            <w:pPr>
              <w:pStyle w:val="Compact"/>
              <w:jc w:val="left"/>
            </w:pPr>
            <w:r>
              <w:t xml:space="preserve">Check seller reviews and non-delivery reports</w:t>
            </w:r>
          </w:p>
        </w:tc>
      </w:tr>
      <w:tr>
        <w:tc>
          <w:tcPr/>
          <w:p>
            <w:pPr>
              <w:pStyle w:val="Compact"/>
              <w:jc w:val="left"/>
            </w:pPr>
            <w:r>
              <w:t xml:space="preserve">Reddit</w:t>
            </w:r>
          </w:p>
        </w:tc>
        <w:tc>
          <w:tcPr/>
          <w:p>
            <w:pPr>
              <w:pStyle w:val="Compact"/>
              <w:jc w:val="left"/>
            </w:pPr>
            <w:r>
              <w:t xml:space="preserve">Post in r/Polska, r/komputery; search</w:t>
            </w:r>
            <w:r>
              <w:t xml:space="preserve"> </w:t>
            </w:r>
            <w:r>
              <w:t xml:space="preserve">“</w:t>
            </w:r>
            <w:r>
              <w:t xml:space="preserve">gpucomputer</w:t>
            </w:r>
            <w:r>
              <w:t xml:space="preserve">”</w:t>
            </w:r>
          </w:p>
        </w:tc>
      </w:tr>
      <w:tr>
        <w:tc>
          <w:tcPr/>
          <w:p>
            <w:pPr>
              <w:pStyle w:val="Compact"/>
              <w:jc w:val="left"/>
            </w:pPr>
            <w:r>
              <w:t xml:space="preserve">YouTube</w:t>
            </w:r>
          </w:p>
        </w:tc>
        <w:tc>
          <w:tcPr/>
          <w:p>
            <w:pPr>
              <w:pStyle w:val="Compact"/>
              <w:jc w:val="left"/>
            </w:pPr>
            <w:r>
              <w:t xml:space="preserve">Review comments on</w:t>
            </w:r>
            <w:r>
              <w:t xml:space="preserve"> </w:t>
            </w:r>
            <w:r>
              <w:t xml:space="preserve">@gpucomputer</w:t>
            </w:r>
            <w:r>
              <w:t xml:space="preserve"> </w:t>
            </w:r>
            <w:r>
              <w:t xml:space="preserve">videos</w:t>
            </w:r>
          </w:p>
        </w:tc>
      </w:tr>
      <w:tr>
        <w:tc>
          <w:tcPr/>
          <w:p>
            <w:pPr>
              <w:pStyle w:val="Compact"/>
              <w:jc w:val="left"/>
            </w:pPr>
            <w:r>
              <w:t xml:space="preserve">Consumer forums</w:t>
            </w:r>
          </w:p>
        </w:tc>
        <w:tc>
          <w:tcPr/>
          <w:p>
            <w:pPr>
              <w:pStyle w:val="Compact"/>
              <w:jc w:val="left"/>
            </w:pPr>
            <w:r>
              <w:t xml:space="preserve">Search forumprawne.org for posts about GPUcomputer</w:t>
            </w:r>
          </w:p>
        </w:tc>
      </w:tr>
      <w:tr>
        <w:tc>
          <w:tcPr/>
          <w:p>
            <w:pPr>
              <w:pStyle w:val="Compact"/>
              <w:jc w:val="left"/>
            </w:pPr>
            <w:r>
              <w:t xml:space="preserve">Google</w:t>
            </w:r>
          </w:p>
        </w:tc>
        <w:tc>
          <w:tcPr/>
          <w:p>
            <w:pPr>
              <w:pStyle w:val="Compact"/>
              <w:jc w:val="left"/>
            </w:pPr>
            <w:r>
              <w:t xml:space="preserve">Search</w:t>
            </w:r>
            <w:r>
              <w:t xml:space="preserve"> </w:t>
            </w:r>
            <w:r>
              <w:t xml:space="preserve">“</w:t>
            </w:r>
            <w:r>
              <w:t xml:space="preserve">gpucomputer opinie</w:t>
            </w:r>
            <w:r>
              <w:t xml:space="preserve">”</w:t>
            </w:r>
            <w:r>
              <w:t xml:space="preserve">,</w:t>
            </w:r>
            <w:r>
              <w:t xml:space="preserve"> </w:t>
            </w:r>
            <w:r>
              <w:t xml:space="preserve">“</w:t>
            </w:r>
            <w:r>
              <w:t xml:space="preserve">gpucomputer oszustwo</w:t>
            </w:r>
            <w:r>
              <w:t xml:space="preserve">”</w:t>
            </w:r>
            <w:r>
              <w:t xml:space="preserve">,</w:t>
            </w:r>
            <w:r>
              <w:t xml:space="preserve"> </w:t>
            </w:r>
            <w:r>
              <w:t xml:space="preserve">“</w:t>
            </w:r>
            <w:r>
              <w:t xml:space="preserve">NIP 8661681248</w:t>
            </w:r>
            <w:r>
              <w:t xml:space="preserve">”</w:t>
            </w:r>
          </w:p>
        </w:tc>
      </w:tr>
      <w:tr>
        <w:tc>
          <w:tcPr/>
          <w:p>
            <w:pPr>
              <w:pStyle w:val="Compact"/>
              <w:jc w:val="left"/>
            </w:pPr>
            <w:r>
              <w:t xml:space="preserve">Facebook groups</w:t>
            </w:r>
          </w:p>
        </w:tc>
        <w:tc>
          <w:tcPr/>
          <w:p>
            <w:pPr>
              <w:pStyle w:val="Compact"/>
              <w:jc w:val="left"/>
            </w:pPr>
            <w:r>
              <w:t xml:space="preserve">Polish PC-building groups where victims may have posted warnings</w:t>
            </w:r>
          </w:p>
        </w:tc>
      </w:tr>
    </w:tbl>
    <w:p>
      <w:pPr>
        <w:pStyle w:val="BodyText"/>
      </w:pPr>
      <w:r>
        <w:t xml:space="preserve">If you find another victim, create a shared communication channel and compile a joint evidence summary showing identical</w:t>
      </w:r>
      <w:r>
        <w:t xml:space="preserve"> </w:t>
      </w:r>
      <w:r>
        <w:rPr>
          <w:iCs/>
          <w:i/>
        </w:rPr>
        <w:t xml:space="preserve">modus operandi</w:t>
      </w:r>
      <w:r>
        <w:t xml:space="preserve">: proforma invoice from GPUcomputer, bank transfer to the same account, same excuses, same non-delivery. File separate</w:t>
      </w:r>
      <w:r>
        <w:t xml:space="preserve"> </w:t>
      </w:r>
      <w:r>
        <w:rPr>
          <w:iCs/>
          <w:i/>
        </w:rPr>
        <w:t xml:space="preserve">zawiadomienia</w:t>
      </w:r>
      <w:r>
        <w:t xml:space="preserve"> </w:t>
      </w:r>
      <w:r>
        <w:t xml:space="preserve">but reference each other and request</w:t>
      </w:r>
      <w:r>
        <w:t xml:space="preserve"> </w:t>
      </w:r>
      <w:r>
        <w:rPr>
          <w:iCs/>
          <w:i/>
        </w:rPr>
        <w:t xml:space="preserve">łączność spraw</w:t>
      </w:r>
      <w:r>
        <w:t xml:space="preserve"> </w:t>
      </w:r>
      <w:r>
        <w:t xml:space="preserve">under art. 33 KPK. The marginal effort of finding one additional victim may yield a disproportionate return in elevated classification, broader asset freezing, and dramatically increased settlement pressure [^5^].</w:t>
      </w:r>
    </w:p>
    <w:p>
      <w:r>
        <w:pict>
          <v:rect style="width:0;height:1.5pt" o:hralign="center" o:hrstd="t" o:hr="t"/>
        </w:pict>
      </w:r>
    </w:p>
    <w:bookmarkEnd w:id="42"/>
    <w:bookmarkEnd w:id="43"/>
    <w:bookmarkStart w:id="67" w:name="X35fa528d8cd9b57881ebbc7e82250aab9059d46"/>
    <w:p>
      <w:pPr>
        <w:pStyle w:val="Heading2"/>
      </w:pPr>
      <w:r>
        <w:t xml:space="preserve">3. Money-Recovery Mechanisms in the Criminal Process</w:t>
      </w:r>
    </w:p>
    <w:p>
      <w:pPr>
        <w:pStyle w:val="FirstParagraph"/>
      </w:pPr>
      <w:r>
        <w:t xml:space="preserve">The Polish criminal procedure offers victims three distinct pathways to recover losses: a compensatory order appended to a conviction (art. 46 § 1 KK), pre-judgment asset freezing (art. 291–295 KPK), and settlement-driven sentence mitigation. Each operates on different legal logic, timelines, and cost structures. This chapter explains how each mechanism works in practice — not merely what the statute says, but what actually happens when a foreign victim with a 155,000 PLN claim tries to use them against a Netherlands-resident JDG owner. The analysis separates</w:t>
      </w:r>
      <w:r>
        <w:t xml:space="preserve"> </w:t>
      </w:r>
      <w:r>
        <w:rPr>
          <w:iCs/>
          <w:i/>
        </w:rPr>
        <w:t xml:space="preserve">leverage value</w:t>
      </w:r>
      <w:r>
        <w:t xml:space="preserve"> </w:t>
      </w:r>
      <w:r>
        <w:t xml:space="preserve">(what the mechanism pressures the debtor to do) from</w:t>
      </w:r>
      <w:r>
        <w:t xml:space="preserve"> </w:t>
      </w:r>
      <w:r>
        <w:rPr>
          <w:iCs/>
          <w:i/>
        </w:rPr>
        <w:t xml:space="preserve">cash-in-hand probability</w:t>
      </w:r>
      <w:r>
        <w:t xml:space="preserve"> </w:t>
      </w:r>
      <w:r>
        <w:t xml:space="preserve">(what the victim actually collects).</w:t>
      </w:r>
    </w:p>
    <w:p>
      <w:r>
        <w:pict>
          <v:rect style="width:0;height:1.5pt" o:hralign="center" o:hrstd="t" o:hr="t"/>
        </w:pict>
      </w:r>
    </w:p>
    <w:bookmarkStart w:id="51" w:name="Xa36015fa4b5b2688c647c99fee6134f3bb2c5bf"/>
    <w:p>
      <w:pPr>
        <w:pStyle w:val="Heading3"/>
      </w:pPr>
      <w:r>
        <w:t xml:space="preserve">3.1 art. 46 § 1 KK — Obowiązek Naprawienia Szkody</w:t>
      </w:r>
    </w:p>
    <w:bookmarkStart w:id="44" w:name="X93ec4ca4a8fd91e293f8f0450961b366fe26590"/>
    <w:p>
      <w:pPr>
        <w:pStyle w:val="Heading4"/>
      </w:pPr>
      <w:r>
        <w:t xml:space="preserve">3.1.1 What it is: compensatory measure ordered on conviction</w:t>
      </w:r>
    </w:p>
    <w:p>
      <w:pPr>
        <w:pStyle w:val="FirstParagraph"/>
      </w:pPr>
      <w:r>
        <w:t xml:space="preserve">Art. 46 § 1 KK creates an</w:t>
      </w:r>
      <w:r>
        <w:t xml:space="preserve"> </w:t>
      </w:r>
      <w:r>
        <w:rPr>
          <w:iCs/>
          <w:i/>
        </w:rPr>
        <w:t xml:space="preserve">obowiązek naprawienia szkody</w:t>
      </w:r>
      <w:r>
        <w:t xml:space="preserve"> </w:t>
      </w:r>
      <w:r>
        <w:t xml:space="preserve">(obligation to repair damage) that the sentencing court may — and, upon victim request, must — impose on a convicted person. The statutory text provides that the court applies</w:t>
      </w:r>
      <w:r>
        <w:t xml:space="preserve"> </w:t>
      </w:r>
      <w:r>
        <w:rPr>
          <w:iCs/>
          <w:i/>
        </w:rPr>
        <w:t xml:space="preserve">przepisy prawa cywilnego</w:t>
      </w:r>
      <w:r>
        <w:t xml:space="preserve"> </w:t>
      </w:r>
      <w:r>
        <w:t xml:space="preserve">(civil law rules) to determine the scope of damage, including rules on damage calculation under art. 361 KC, statutory interest under art. 481 KC, and joint liability under art. 441 KC [^120^] [^175^]. Since a 2015 amendment effective 1 July 2015 reclassified this obligation as a compensatory measure with civil-law character, scholars describe it as a</w:t>
      </w:r>
      <w:r>
        <w:t xml:space="preserve"> </w:t>
      </w:r>
      <w:r>
        <w:t xml:space="preserve">“</w:t>
      </w:r>
      <w:r>
        <w:t xml:space="preserve">hybrid</w:t>
      </w:r>
      <w:r>
        <w:t xml:space="preserve">”</w:t>
      </w:r>
      <w:r>
        <w:t xml:space="preserve"> </w:t>
      </w:r>
      <w:r>
        <w:t xml:space="preserve">institution that straddles criminal procedure and civil substance [^120^].</w:t>
      </w:r>
    </w:p>
    <w:p>
      <w:pPr>
        <w:pStyle w:val="BodyText"/>
      </w:pPr>
      <w:r>
        <w:t xml:space="preserve">The court may order compensation</w:t>
      </w:r>
      <w:r>
        <w:t xml:space="preserve"> </w:t>
      </w:r>
      <w:r>
        <w:rPr>
          <w:iCs/>
          <w:i/>
        </w:rPr>
        <w:t xml:space="preserve">w całości albo w części</w:t>
      </w:r>
      <w:r>
        <w:t xml:space="preserve"> </w:t>
      </w:r>
      <w:r>
        <w:t xml:space="preserve">(in whole or in part) but cannot award periodic payments (</w:t>
      </w:r>
      <w:r>
        <w:rPr>
          <w:iCs/>
          <w:i/>
        </w:rPr>
        <w:t xml:space="preserve">renty</w:t>
      </w:r>
      <w:r>
        <w:t xml:space="preserve">) — these are explicitly excluded [^175^]. Lost profits (</w:t>
      </w:r>
      <w:r>
        <w:rPr>
          <w:iCs/>
          <w:i/>
        </w:rPr>
        <w:t xml:space="preserve">lucrum cessans</w:t>
      </w:r>
      <w:r>
        <w:t xml:space="preserve">) may be difficult to claim in practice due to restrictive Supreme Court interpretation [^81^]. The mechanism is available</w:t>
      </w:r>
      <w:r>
        <w:t xml:space="preserve"> </w:t>
      </w:r>
      <w:r>
        <w:rPr>
          <w:bCs/>
          <w:b/>
        </w:rPr>
        <w:t xml:space="preserve">only upon conviction</w:t>
      </w:r>
      <w:r>
        <w:t xml:space="preserve"> </w:t>
      </w:r>
      <w:r>
        <w:t xml:space="preserve">(</w:t>
      </w:r>
      <w:r>
        <w:rPr>
          <w:iCs/>
          <w:i/>
        </w:rPr>
        <w:t xml:space="preserve">skazanie</w:t>
      </w:r>
      <w:r>
        <w:t xml:space="preserve">). No conviction, no art. 46 § 1 KK obligation. This is the first filter that eliminates all cases discontinued at the prosecutor stage — approximately 36,486 cases nationally in 2022 alone [^328^].</w:t>
      </w:r>
    </w:p>
    <w:bookmarkEnd w:id="44"/>
    <w:bookmarkStart w:id="45" w:name="X2075209c31705074dacbed03069978508217185"/>
    <w:p>
      <w:pPr>
        <w:pStyle w:val="Heading4"/>
      </w:pPr>
      <w:r>
        <w:t xml:space="preserve">3.1.2 When available: the court MUST grant if conditions met</w:t>
      </w:r>
    </w:p>
    <w:p>
      <w:pPr>
        <w:pStyle w:val="FirstParagraph"/>
      </w:pPr>
      <w:r>
        <w:t xml:space="preserve">Filing the victim’s request under art. 49a KPK converts the court’s discretionary power into a conditional obligation: the court</w:t>
      </w:r>
      <w:r>
        <w:t xml:space="preserve"> </w:t>
      </w:r>
      <w:r>
        <w:rPr>
          <w:bCs/>
          <w:b/>
        </w:rPr>
        <w:t xml:space="preserve">must</w:t>
      </w:r>
      <w:r>
        <w:t xml:space="preserve"> </w:t>
      </w:r>
      <w:r>
        <w:t xml:space="preserve">grant compensation if (a) the defendant is convicted, (b) damage exists, (c) causal link is established, and (d) no exclusionary grounds apply [^17^]. As doctrinal sources confirm:</w:t>
      </w:r>
      <w:r>
        <w:t xml:space="preserve"> </w:t>
      </w:r>
      <w:r>
        <w:rPr>
          <w:iCs/>
          <w:i/>
        </w:rPr>
        <w:t xml:space="preserve">“</w:t>
      </w:r>
      <w:r>
        <w:rPr>
          <w:iCs/>
          <w:i/>
        </w:rPr>
        <w:t xml:space="preserve">Wniosek o naprawienie szkody sprawia, że obowiązek naprawienia szkody ma charakter obligatoryjny</w:t>
      </w:r>
      <w:r>
        <w:rPr>
          <w:iCs/>
          <w:i/>
        </w:rPr>
        <w:t xml:space="preserve">”</w:t>
      </w:r>
      <w:r>
        <w:t xml:space="preserve"> </w:t>
      </w:r>
      <w:r>
        <w:t xml:space="preserve">[^17^]. The court may reduce the amount proportionally for victim contributory negligence [^81^], and if the exact amount cannot be determined, may substitute a</w:t>
      </w:r>
      <w:r>
        <w:t xml:space="preserve"> </w:t>
      </w:r>
      <w:r>
        <w:rPr>
          <w:iCs/>
          <w:i/>
        </w:rPr>
        <w:t xml:space="preserve">nawiązka</w:t>
      </w:r>
      <w:r>
        <w:t xml:space="preserve"> </w:t>
      </w:r>
      <w:r>
        <w:t xml:space="preserve">(surcharge) of up to 200,000 PLN under art. 46 § 2 KK [^175^].</w:t>
      </w:r>
    </w:p>
    <w:bookmarkEnd w:id="45"/>
    <w:bookmarkStart w:id="46" w:name="how-to-request-art.-49a-kpk-motion"/>
    <w:p>
      <w:pPr>
        <w:pStyle w:val="Heading4"/>
      </w:pPr>
      <w:r>
        <w:t xml:space="preserve">3.1.3 How to request: art. 49a KPK motion</w:t>
      </w:r>
    </w:p>
    <w:p>
      <w:pPr>
        <w:pStyle w:val="FirstParagraph"/>
      </w:pPr>
      <w:r>
        <w:t xml:space="preserve">The motion must be filed</w:t>
      </w:r>
      <w:r>
        <w:t xml:space="preserve"> </w:t>
      </w:r>
      <w:r>
        <w:rPr>
          <w:bCs/>
          <w:b/>
        </w:rPr>
        <w:t xml:space="preserve">no later than the closing of court proceedings at the main trial</w:t>
      </w:r>
      <w:r>
        <w:t xml:space="preserve"> </w:t>
      </w:r>
      <w:r>
        <w:t xml:space="preserve">(</w:t>
      </w:r>
      <w:r>
        <w:rPr>
          <w:iCs/>
          <w:i/>
        </w:rPr>
        <w:t xml:space="preserve">aż do zamknięcia przewodu sądowego na rozprawie głównej</w:t>
      </w:r>
      <w:r>
        <w:t xml:space="preserve">) — a strict procedural deadline after which the right is lost [^31^] [^35^]. The motion may be oral (</w:t>
      </w:r>
      <w:r>
        <w:rPr>
          <w:iCs/>
          <w:i/>
        </w:rPr>
        <w:t xml:space="preserve">ustnie do protokołu</w:t>
      </w:r>
      <w:r>
        <w:t xml:space="preserve">) or in writing; written form is strongly recommended and should specify the exact damage amount, causal link, and supporting documentation [^32^].</w:t>
      </w:r>
    </w:p>
    <w:bookmarkEnd w:id="46"/>
    <w:bookmarkStart w:id="47" w:name="the-anti-cumulation-trap-art.-415-1-kpk"/>
    <w:p>
      <w:pPr>
        <w:pStyle w:val="Heading4"/>
      </w:pPr>
      <w:r>
        <w:t xml:space="preserve">3.1.4 The anti-cumulation trap: art. 415 § 1 KPK</w:t>
      </w:r>
    </w:p>
    <w:p>
      <w:pPr>
        <w:pStyle w:val="FirstParagraph"/>
      </w:pPr>
      <w:r>
        <w:t xml:space="preserve">Art. 415 § 1 KPK provides:</w:t>
      </w:r>
      <w:r>
        <w:t xml:space="preserve"> </w:t>
      </w:r>
      <w:r>
        <w:rPr>
          <w:iCs/>
          <w:i/>
        </w:rPr>
        <w:t xml:space="preserve">obowiązku naprawienia szkody … nie orzeka się, jeżeli roszczenie wynikające z popełnienia przestępstwa jest przedmiotem innego postępowania albo o roszczeniu tym prawomocnie orzeczono</w:t>
      </w:r>
      <w:r>
        <w:t xml:space="preserve"> </w:t>
      </w:r>
      <w:r>
        <w:t xml:space="preserve">[^17^]. If your 155,000 PLN claim is pending in the EPU civil proceeding, the criminal court</w:t>
      </w:r>
      <w:r>
        <w:t xml:space="preserve"> </w:t>
      </w:r>
      <w:r>
        <w:rPr>
          <w:bCs/>
          <w:b/>
        </w:rPr>
        <w:t xml:space="preserve">is barred</w:t>
      </w:r>
      <w:r>
        <w:t xml:space="preserve"> </w:t>
      </w:r>
      <w:r>
        <w:t xml:space="preserve">from granting art. 46 § 1 KK compensation until the EPU concludes. The</w:t>
      </w:r>
      <w:r>
        <w:t xml:space="preserve"> </w:t>
      </w:r>
      <w:r>
        <w:t xml:space="preserve">“</w:t>
      </w:r>
      <w:r>
        <w:t xml:space="preserve">dual track</w:t>
      </w:r>
      <w:r>
        <w:t xml:space="preserve">”</w:t>
      </w:r>
      <w:r>
        <w:t xml:space="preserve"> </w:t>
      </w:r>
      <w:r>
        <w:t xml:space="preserve">compensation strategy is legally impossible. The criminal route retains enormous strategic value (pressure, asset freezing, fact-establishment), but NOT as a parallel compensation mechanism. Optimal path: pursue the EPU first (faster title, Brussels-I enforceable), then use art. 46 § 1 KK after the EPU concludes for any shortfall. If the EPU results in a final judgment for the full amount, art. 415 § 1 KPK bars the criminal court entirely — but you already have your title.</w:t>
      </w:r>
    </w:p>
    <w:bookmarkEnd w:id="47"/>
    <w:bookmarkStart w:id="48" w:name="X11fee4b5436e22d4f095aa81f1d4352fb474642"/>
    <w:p>
      <w:pPr>
        <w:pStyle w:val="Heading4"/>
      </w:pPr>
      <w:r>
        <w:t xml:space="preserve">3.1.5 Klauzula wykonalności: 3-day procedure, FREE</w:t>
      </w:r>
    </w:p>
    <w:p>
      <w:pPr>
        <w:pStyle w:val="FirstParagraph"/>
      </w:pPr>
      <w:r>
        <w:t xml:space="preserve">The criminal judgment with art. 46 § 1 KK is a</w:t>
      </w:r>
      <w:r>
        <w:t xml:space="preserve"> </w:t>
      </w:r>
      <w:r>
        <w:rPr>
          <w:iCs/>
          <w:i/>
        </w:rPr>
        <w:t xml:space="preserve">tytuł egzekucyjny</w:t>
      </w:r>
      <w:r>
        <w:t xml:space="preserve"> </w:t>
      </w:r>
      <w:r>
        <w:t xml:space="preserve">(execution title) but not yet a</w:t>
      </w:r>
      <w:r>
        <w:t xml:space="preserve"> </w:t>
      </w:r>
      <w:r>
        <w:rPr>
          <w:iCs/>
          <w:i/>
        </w:rPr>
        <w:t xml:space="preserve">tytuł wykonawczy</w:t>
      </w:r>
      <w:r>
        <w:t xml:space="preserve"> </w:t>
      </w:r>
      <w:r>
        <w:t xml:space="preserve">(enforceable title). It requires a</w:t>
      </w:r>
      <w:r>
        <w:t xml:space="preserve"> </w:t>
      </w:r>
      <w:r>
        <w:rPr>
          <w:iCs/>
          <w:i/>
        </w:rPr>
        <w:t xml:space="preserve">klauzula wykonalności</w:t>
      </w:r>
      <w:r>
        <w:t xml:space="preserve"> </w:t>
      </w:r>
      <w:r>
        <w:t xml:space="preserve">obtained from the sentencing court within</w:t>
      </w:r>
      <w:r>
        <w:t xml:space="preserve"> </w:t>
      </w:r>
      <w:r>
        <w:rPr>
          <w:bCs/>
          <w:b/>
        </w:rPr>
        <w:t xml:space="preserve">3 days</w:t>
      </w:r>
      <w:r>
        <w:t xml:space="preserve"> </w:t>
      </w:r>
      <w:r>
        <w:t xml:space="preserve">of request, at</w:t>
      </w:r>
      <w:r>
        <w:t xml:space="preserve"> </w:t>
      </w:r>
      <w:r>
        <w:rPr>
          <w:bCs/>
          <w:b/>
        </w:rPr>
        <w:t xml:space="preserve">zero court fee</w:t>
      </w:r>
      <w:r>
        <w:t xml:space="preserve"> </w:t>
      </w:r>
      <w:r>
        <w:t xml:space="preserve">(only a 6 PLN</w:t>
      </w:r>
      <w:r>
        <w:t xml:space="preserve"> </w:t>
      </w:r>
      <w:r>
        <w:rPr>
          <w:iCs/>
          <w:i/>
        </w:rPr>
        <w:t xml:space="preserve">kancelaryjna</w:t>
      </w:r>
      <w:r>
        <w:t xml:space="preserve"> </w:t>
      </w:r>
      <w:r>
        <w:t xml:space="preserve">copy fee) [^187^] [^232^]. The Supreme Court held in I KZP 11/18 that the cost falls on the convicted person, not the victim [^192^] [^234^]. Only after obtaining the clause can the victim approach a bailiff (</w:t>
      </w:r>
      <w:r>
        <w:rPr>
          <w:iCs/>
          <w:i/>
        </w:rPr>
        <w:t xml:space="preserve">komornik</w:t>
      </w:r>
      <w:r>
        <w:t xml:space="preserve">) for enforcement under civil procedure rules (KPC) [^29^]. Enforcement itself proceeds under KPC rules: the bailiff may seize bank accounts, garnish wages, seize and sell movable property, and seize real estate [^116^].</w:t>
      </w:r>
    </w:p>
    <w:bookmarkEnd w:id="48"/>
    <w:bookmarkStart w:id="49" w:name="Xbb1ab9bd5110abedca17a6afaf6597a415ccfb4"/>
    <w:p>
      <w:pPr>
        <w:pStyle w:val="Heading4"/>
      </w:pPr>
      <w:r>
        <w:t xml:space="preserve">3.1.6 Bankruptcy immunity: art. 491²¹ § 2 PU — NON-DISCHARGEABLE</w:t>
      </w:r>
    </w:p>
    <w:p>
      <w:pPr>
        <w:pStyle w:val="FirstParagraph"/>
      </w:pPr>
      <w:r>
        <w:t xml:space="preserve">Under art. 491²¹ § 2</w:t>
      </w:r>
      <w:r>
        <w:t xml:space="preserve"> </w:t>
      </w:r>
      <w:r>
        <w:rPr>
          <w:iCs/>
          <w:i/>
        </w:rPr>
        <w:t xml:space="preserve">Prawa upadłościowego</w:t>
      </w:r>
      <w:r>
        <w:t xml:space="preserve"> </w:t>
      </w:r>
      <w:r>
        <w:t xml:space="preserve">(Bankruptcy Law), obligations to repair damage resulting from a crime confirmed by a final judgment are</w:t>
      </w:r>
      <w:r>
        <w:t xml:space="preserve"> </w:t>
      </w:r>
      <w:r>
        <w:rPr>
          <w:bCs/>
          <w:b/>
        </w:rPr>
        <w:t xml:space="preserve">explicitly non-dischargeable</w:t>
      </w:r>
      <w:r>
        <w:t xml:space="preserve"> </w:t>
      </w:r>
      <w:r>
        <w:t xml:space="preserve">[^82^] [^84^]. Even if Szklarski declares personal bankruptcy (</w:t>
      </w:r>
      <w:r>
        <w:rPr>
          <w:iCs/>
          <w:i/>
        </w:rPr>
        <w:t xml:space="preserve">upadłość konsumencka</w:t>
      </w:r>
      <w:r>
        <w:t xml:space="preserve">) in Poland, the art. 46 KK obligation survives. He cannot obtain debt discharge for this specific obligation — a decisive advantage over civil claims, which</w:t>
      </w:r>
      <w:r>
        <w:t xml:space="preserve"> </w:t>
      </w:r>
      <w:r>
        <w:rPr>
          <w:bCs/>
          <w:b/>
        </w:rPr>
        <w:t xml:space="preserve">are</w:t>
      </w:r>
      <w:r>
        <w:t xml:space="preserve"> </w:t>
      </w:r>
      <w:r>
        <w:t xml:space="preserve">dischargeable [^87^]. This protection is permanent: unlike civil claims, the criminal compensation obligation does not expire through</w:t>
      </w:r>
      <w:r>
        <w:t xml:space="preserve"> </w:t>
      </w:r>
      <w:r>
        <w:rPr>
          <w:iCs/>
          <w:i/>
        </w:rPr>
        <w:t xml:space="preserve">przedawnienie</w:t>
      </w:r>
      <w:r>
        <w:t xml:space="preserve"> </w:t>
      </w:r>
      <w:r>
        <w:t xml:space="preserve">(statute of limitations) because it is classified as a criminal measure [^81^].</w:t>
      </w:r>
    </w:p>
    <w:bookmarkEnd w:id="49"/>
    <w:bookmarkStart w:id="50" w:name="X925aafee12c5725c358881096a172fcd952c573"/>
    <w:p>
      <w:pPr>
        <w:pStyle w:val="Heading4"/>
      </w:pPr>
      <w:r>
        <w:t xml:space="preserve">3.1.7 Cross-border problem: Brussels I Recast excludes criminal judgments</w:t>
      </w:r>
    </w:p>
    <w:p>
      <w:pPr>
        <w:pStyle w:val="FirstParagraph"/>
      </w:pPr>
      <w:r>
        <w:t xml:space="preserve">The Brussels I Recast Regulation (EU) No 1215/2012 applies only to</w:t>
      </w:r>
      <w:r>
        <w:t xml:space="preserve"> </w:t>
      </w:r>
      <w:r>
        <w:t xml:space="preserve">“</w:t>
      </w:r>
      <w:r>
        <w:t xml:space="preserve">civil and commercial matters</w:t>
      </w:r>
      <w:r>
        <w:t xml:space="preserve">”</w:t>
      </w:r>
      <w:r>
        <w:t xml:space="preserve"> </w:t>
      </w:r>
      <w:r>
        <w:t xml:space="preserve">and explicitly excludes criminal judgments [^190^] [^160^]. A Polish art. 46 § 1 KK order</w:t>
      </w:r>
      <w:r>
        <w:t xml:space="preserve"> </w:t>
      </w:r>
      <w:r>
        <w:rPr>
          <w:bCs/>
          <w:b/>
        </w:rPr>
        <w:t xml:space="preserve">cannot</w:t>
      </w:r>
      <w:r>
        <w:t xml:space="preserve"> </w:t>
      </w:r>
      <w:r>
        <w:t xml:space="preserve">be enforced in the Netherlands under Brussels I. The Framework Decision 2005/214/JHA on mutual recognition of financial penalties provides an alternative criminal-law enforcement route for the compensation sum, but adds procedural complexity and potential limitation-period conflicts [^6^]. For practical purposes:</w:t>
      </w:r>
      <w:r>
        <w:t xml:space="preserve"> </w:t>
      </w:r>
      <w:r>
        <w:rPr>
          <w:bCs/>
          <w:b/>
        </w:rPr>
        <w:t xml:space="preserve">treat art. 46 § 1 KK as a domestic-only tool</w:t>
      </w:r>
      <w:r>
        <w:t xml:space="preserve">. Your EPU civil judgment is the only viable cross-border instrument.</w:t>
      </w:r>
    </w:p>
    <w:tbl>
      <w:tblPr>
        <w:tblStyle w:val="Table"/>
        <w:tblW w:type="pct" w:w="5000"/>
        <w:tblLook w:firstRow="1" w:lastRow="0" w:firstColumn="0" w:lastColumn="0" w:noHBand="0" w:noVBand="0" w:val="0020"/>
      </w:tblPr>
      <w:tblGrid>
        <w:gridCol w:w="2036"/>
        <w:gridCol w:w="1810"/>
        <w:gridCol w:w="4073"/>
      </w:tblGrid>
      <w:tr>
        <w:trPr>
          <w:tblHeader w:val="true"/>
        </w:trPr>
        <w:tc>
          <w:tcPr/>
          <w:p>
            <w:pPr>
              <w:pStyle w:val="Compact"/>
              <w:jc w:val="left"/>
            </w:pPr>
            <w:r>
              <w:t xml:space="preserve">Element</w:t>
            </w:r>
          </w:p>
        </w:tc>
        <w:tc>
          <w:tcPr/>
          <w:p>
            <w:pPr>
              <w:pStyle w:val="Compact"/>
              <w:jc w:val="left"/>
            </w:pPr>
            <w:r>
              <w:t xml:space="preserve">Detail</w:t>
            </w:r>
          </w:p>
        </w:tc>
        <w:tc>
          <w:tcPr/>
          <w:p>
            <w:pPr>
              <w:pStyle w:val="Compact"/>
              <w:jc w:val="left"/>
            </w:pPr>
            <w:r>
              <w:t xml:space="preserve">Practical Impact</w:t>
            </w:r>
          </w:p>
        </w:tc>
      </w:tr>
      <w:tr>
        <w:tc>
          <w:tcPr/>
          <w:p>
            <w:pPr>
              <w:pStyle w:val="Compact"/>
              <w:jc w:val="left"/>
            </w:pPr>
            <w:r>
              <w:t xml:space="preserve">Legal basis</w:t>
            </w:r>
          </w:p>
        </w:tc>
        <w:tc>
          <w:tcPr/>
          <w:p>
            <w:pPr>
              <w:pStyle w:val="Compact"/>
              <w:jc w:val="left"/>
            </w:pPr>
            <w:r>
              <w:t xml:space="preserve">Art. 46 § 1 KK + art. 49a KPK</w:t>
            </w:r>
          </w:p>
        </w:tc>
        <w:tc>
          <w:tcPr/>
          <w:p>
            <w:pPr>
              <w:pStyle w:val="Compact"/>
              <w:jc w:val="left"/>
            </w:pPr>
            <w:r>
              <w:t xml:space="preserve">Hybrid criminal-civil measure [^175^]</w:t>
            </w:r>
          </w:p>
        </w:tc>
      </w:tr>
      <w:tr>
        <w:tc>
          <w:tcPr/>
          <w:p>
            <w:pPr>
              <w:pStyle w:val="Compact"/>
              <w:jc w:val="left"/>
            </w:pPr>
            <w:r>
              <w:t xml:space="preserve">Availability</w:t>
            </w:r>
          </w:p>
        </w:tc>
        <w:tc>
          <w:tcPr/>
          <w:p>
            <w:pPr>
              <w:pStyle w:val="Compact"/>
              <w:jc w:val="left"/>
            </w:pPr>
            <w:r>
              <w:t xml:space="preserve">Only upon conviction (</w:t>
            </w:r>
            <w:r>
              <w:rPr>
                <w:iCs/>
                <w:i/>
              </w:rPr>
              <w:t xml:space="preserve">skazanie</w:t>
            </w:r>
            <w:r>
              <w:t xml:space="preserve">)</w:t>
            </w:r>
          </w:p>
        </w:tc>
        <w:tc>
          <w:tcPr/>
          <w:p>
            <w:pPr>
              <w:pStyle w:val="Compact"/>
              <w:jc w:val="left"/>
            </w:pPr>
            <w:r>
              <w:t xml:space="preserve">No conviction = no compensation</w:t>
            </w:r>
          </w:p>
        </w:tc>
      </w:tr>
      <w:tr>
        <w:tc>
          <w:tcPr/>
          <w:p>
            <w:pPr>
              <w:pStyle w:val="Compact"/>
              <w:jc w:val="left"/>
            </w:pPr>
            <w:r>
              <w:t xml:space="preserve">Automaticity</w:t>
            </w:r>
          </w:p>
        </w:tc>
        <w:tc>
          <w:tcPr/>
          <w:p>
            <w:pPr>
              <w:pStyle w:val="Compact"/>
              <w:jc w:val="left"/>
            </w:pPr>
            <w:r>
              <w:t xml:space="preserve">Obligatory on victim request if conditions met</w:t>
            </w:r>
          </w:p>
        </w:tc>
        <w:tc>
          <w:tcPr/>
          <w:p>
            <w:pPr>
              <w:pStyle w:val="Compact"/>
              <w:jc w:val="left"/>
            </w:pPr>
            <w:r>
              <w:t xml:space="preserve">Court cannot refuse if conditions satisfied [^17^]</w:t>
            </w:r>
          </w:p>
        </w:tc>
      </w:tr>
      <w:tr>
        <w:tc>
          <w:tcPr/>
          <w:p>
            <w:pPr>
              <w:pStyle w:val="Compact"/>
              <w:jc w:val="left"/>
            </w:pPr>
            <w:r>
              <w:t xml:space="preserve">Motion deadline</w:t>
            </w:r>
          </w:p>
        </w:tc>
        <w:tc>
          <w:tcPr/>
          <w:p>
            <w:pPr>
              <w:pStyle w:val="Compact"/>
              <w:jc w:val="left"/>
            </w:pPr>
            <w:r>
              <w:t xml:space="preserve">Until closing of main trial (strict)</w:t>
            </w:r>
          </w:p>
        </w:tc>
        <w:tc>
          <w:tcPr/>
          <w:p>
            <w:pPr>
              <w:pStyle w:val="Compact"/>
              <w:jc w:val="left"/>
            </w:pPr>
            <w:r>
              <w:t xml:space="preserve">Miss it and the right is lost [^31^]</w:t>
            </w:r>
          </w:p>
        </w:tc>
      </w:tr>
      <w:tr>
        <w:tc>
          <w:tcPr/>
          <w:p>
            <w:pPr>
              <w:pStyle w:val="Compact"/>
              <w:jc w:val="left"/>
            </w:pPr>
            <w:r>
              <w:t xml:space="preserve">Court fees</w:t>
            </w:r>
          </w:p>
        </w:tc>
        <w:tc>
          <w:tcPr/>
          <w:p>
            <w:pPr>
              <w:pStyle w:val="Compact"/>
              <w:jc w:val="left"/>
            </w:pPr>
            <w:r>
              <w:rPr>
                <w:bCs/>
                <w:b/>
              </w:rPr>
              <w:t xml:space="preserve">FREE</w:t>
            </w:r>
          </w:p>
        </w:tc>
        <w:tc>
          <w:tcPr/>
          <w:p>
            <w:pPr>
              <w:pStyle w:val="Compact"/>
              <w:jc w:val="left"/>
            </w:pPr>
            <w:r>
              <w:t xml:space="preserve">Zero cost at all stages [^17^]</w:t>
            </w:r>
          </w:p>
        </w:tc>
      </w:tr>
      <w:tr>
        <w:tc>
          <w:tcPr/>
          <w:p>
            <w:pPr>
              <w:pStyle w:val="Compact"/>
              <w:jc w:val="left"/>
            </w:pPr>
            <w:r>
              <w:t xml:space="preserve">Anti-cumulation</w:t>
            </w:r>
          </w:p>
        </w:tc>
        <w:tc>
          <w:tcPr/>
          <w:p>
            <w:pPr>
              <w:pStyle w:val="Compact"/>
              <w:jc w:val="left"/>
            </w:pPr>
            <w:r>
              <w:t xml:space="preserve">Art. 415 § 1 KPK blocks if EPU pending</w:t>
            </w:r>
          </w:p>
        </w:tc>
        <w:tc>
          <w:tcPr/>
          <w:p>
            <w:pPr>
              <w:pStyle w:val="Compact"/>
              <w:jc w:val="left"/>
            </w:pPr>
            <w:r>
              <w:rPr>
                <w:bCs/>
                <w:b/>
              </w:rPr>
              <w:t xml:space="preserve">Blocks parallel compensation</w:t>
            </w:r>
            <w:r>
              <w:t xml:space="preserve"> </w:t>
            </w:r>
            <w:r>
              <w:t xml:space="preserve">[^17^]</w:t>
            </w:r>
          </w:p>
        </w:tc>
      </w:tr>
      <w:tr>
        <w:tc>
          <w:tcPr/>
          <w:p>
            <w:pPr>
              <w:pStyle w:val="Compact"/>
              <w:jc w:val="left"/>
            </w:pPr>
            <w:r>
              <w:t xml:space="preserve">Klauzula wykonalności</w:t>
            </w:r>
          </w:p>
        </w:tc>
        <w:tc>
          <w:tcPr/>
          <w:p>
            <w:pPr>
              <w:pStyle w:val="Compact"/>
              <w:jc w:val="left"/>
            </w:pPr>
            <w:r>
              <w:t xml:space="preserve">3 days, zero fee</w:t>
            </w:r>
          </w:p>
        </w:tc>
        <w:tc>
          <w:tcPr/>
          <w:p>
            <w:pPr>
              <w:pStyle w:val="Compact"/>
              <w:jc w:val="left"/>
            </w:pPr>
            <w:r>
              <w:t xml:space="preserve">Fast conversion to enforceable title [^187^]</w:t>
            </w:r>
          </w:p>
        </w:tc>
      </w:tr>
      <w:tr>
        <w:tc>
          <w:tcPr/>
          <w:p>
            <w:pPr>
              <w:pStyle w:val="Compact"/>
              <w:jc w:val="left"/>
            </w:pPr>
            <w:r>
              <w:t xml:space="preserve">Bankruptcy survival</w:t>
            </w:r>
          </w:p>
        </w:tc>
        <w:tc>
          <w:tcPr/>
          <w:p>
            <w:pPr>
              <w:pStyle w:val="Compact"/>
              <w:jc w:val="left"/>
            </w:pPr>
            <w:r>
              <w:rPr>
                <w:bCs/>
                <w:b/>
              </w:rPr>
              <w:t xml:space="preserve">YES</w:t>
            </w:r>
            <w:r>
              <w:t xml:space="preserve"> </w:t>
            </w:r>
            <w:r>
              <w:t xml:space="preserve">— art. 491²¹ § 2 PU</w:t>
            </w:r>
          </w:p>
        </w:tc>
        <w:tc>
          <w:tcPr/>
          <w:p>
            <w:pPr>
              <w:pStyle w:val="Compact"/>
              <w:jc w:val="left"/>
            </w:pPr>
            <w:r>
              <w:t xml:space="preserve">Permanent domestic obligation [^82^]</w:t>
            </w:r>
          </w:p>
        </w:tc>
      </w:tr>
      <w:tr>
        <w:tc>
          <w:tcPr/>
          <w:p>
            <w:pPr>
              <w:pStyle w:val="Compact"/>
              <w:jc w:val="left"/>
            </w:pPr>
            <w:r>
              <w:t xml:space="preserve">Cross-border (Netherlands)</w:t>
            </w:r>
          </w:p>
        </w:tc>
        <w:tc>
          <w:tcPr/>
          <w:p>
            <w:pPr>
              <w:pStyle w:val="Compact"/>
              <w:jc w:val="left"/>
            </w:pPr>
            <w:r>
              <w:rPr>
                <w:bCs/>
                <w:b/>
              </w:rPr>
              <w:t xml:space="preserve">NOT ENFORCEABLE</w:t>
            </w:r>
            <w:r>
              <w:t xml:space="preserve"> </w:t>
            </w:r>
            <w:r>
              <w:t xml:space="preserve">under Brussels I</w:t>
            </w:r>
          </w:p>
        </w:tc>
        <w:tc>
          <w:tcPr/>
          <w:p>
            <w:pPr>
              <w:pStyle w:val="Compact"/>
              <w:jc w:val="left"/>
            </w:pPr>
            <w:r>
              <w:t xml:space="preserve">Domestic-only [^160^] [^190^]</w:t>
            </w:r>
          </w:p>
        </w:tc>
      </w:tr>
      <w:tr>
        <w:tc>
          <w:tcPr/>
          <w:p>
            <w:pPr>
              <w:pStyle w:val="Compact"/>
              <w:jc w:val="left"/>
            </w:pPr>
            <w:r>
              <w:t xml:space="preserve">Interest</w:t>
            </w:r>
          </w:p>
        </w:tc>
        <w:tc>
          <w:tcPr/>
          <w:p>
            <w:pPr>
              <w:pStyle w:val="Compact"/>
              <w:jc w:val="left"/>
            </w:pPr>
            <w:r>
              <w:t xml:space="preserve">Disputed; may grant from finality only</w:t>
            </w:r>
          </w:p>
        </w:tc>
        <w:tc>
          <w:tcPr/>
          <w:p>
            <w:pPr>
              <w:pStyle w:val="Compact"/>
              <w:jc w:val="left"/>
            </w:pPr>
            <w:r>
              <w:t xml:space="preserve">Request but do not count on it [^233^]</w:t>
            </w:r>
          </w:p>
        </w:tc>
      </w:tr>
      <w:tr>
        <w:tc>
          <w:tcPr/>
          <w:p>
            <w:pPr>
              <w:pStyle w:val="Compact"/>
              <w:jc w:val="left"/>
            </w:pPr>
            <w:r>
              <w:t xml:space="preserve">Scope</w:t>
            </w:r>
          </w:p>
        </w:tc>
        <w:tc>
          <w:tcPr/>
          <w:p>
            <w:pPr>
              <w:pStyle w:val="Compact"/>
              <w:jc w:val="left"/>
            </w:pPr>
            <w:r>
              <w:t xml:space="preserve">No periodic payments; limited lost profits</w:t>
            </w:r>
          </w:p>
        </w:tc>
        <w:tc>
          <w:tcPr/>
          <w:p>
            <w:pPr>
              <w:pStyle w:val="Compact"/>
              <w:jc w:val="left"/>
            </w:pPr>
            <w:r>
              <w:t xml:space="preserve">Narrower than civil claim [^175^] [^81^]</w:t>
            </w:r>
          </w:p>
        </w:tc>
      </w:tr>
    </w:tbl>
    <w:p>
      <w:pPr>
        <w:pStyle w:val="BodyText"/>
      </w:pPr>
      <w:r>
        <w:t xml:space="preserve">Art. 46 § 1 KK offers a powerful, zero-cost, bankruptcy-proof domestic title. For your case, its value lies in three areas: as a domestic backup if the EPU fails; as a bankruptcy-immune obligation following Szklarski indefinitely; and as the foundation for art. 244c KK</w:t>
      </w:r>
      <w:r>
        <w:t xml:space="preserve"> </w:t>
      </w:r>
      <w:r>
        <w:t xml:space="preserve">“</w:t>
      </w:r>
      <w:r>
        <w:t xml:space="preserve">evasion</w:t>
      </w:r>
      <w:r>
        <w:t xml:space="preserve">”</w:t>
      </w:r>
      <w:r>
        <w:t xml:space="preserve"> </w:t>
      </w:r>
      <w:r>
        <w:t xml:space="preserve">liability. For Netherlands assets, it is useless — the EPU is your only cross-border instrument.</w:t>
      </w:r>
    </w:p>
    <w:p>
      <w:r>
        <w:pict>
          <v:rect style="width:0;height:1.5pt" o:hralign="center" o:hrstd="t" o:hr="t"/>
        </w:pict>
      </w:r>
    </w:p>
    <w:bookmarkEnd w:id="50"/>
    <w:bookmarkEnd w:id="51"/>
    <w:bookmarkStart w:id="59" w:name="X684cabd2ba6937beb82d826c908fa0af9fe1cab"/>
    <w:p>
      <w:pPr>
        <w:pStyle w:val="Heading3"/>
      </w:pPr>
      <w:r>
        <w:t xml:space="preserve">3.2 art. 291–295 KPK — Zabezpieczenie Majątkowe (Asset Freezing)</w:t>
      </w:r>
    </w:p>
    <w:bookmarkStart w:id="52" w:name="X4642709382e250f36054c9412bdd2170f9217ad"/>
    <w:p>
      <w:pPr>
        <w:pStyle w:val="Heading4"/>
      </w:pPr>
      <w:r>
        <w:t xml:space="preserve">3.2.1 When available: after</w:t>
      </w:r>
      <w:r>
        <w:t xml:space="preserve"> </w:t>
      </w:r>
      <w:r>
        <w:rPr>
          <w:iCs/>
          <w:i/>
        </w:rPr>
        <w:t xml:space="preserve">podejrzany</w:t>
      </w:r>
      <w:r>
        <w:t xml:space="preserve"> </w:t>
      </w:r>
      <w:r>
        <w:t xml:space="preserve">status; limited pre-charge freezing since 2024</w:t>
      </w:r>
    </w:p>
    <w:p>
      <w:pPr>
        <w:pStyle w:val="FirstParagraph"/>
      </w:pPr>
      <w:r>
        <w:t xml:space="preserve">Art. 291 § 1 KPK generally requires the suspect to have</w:t>
      </w:r>
      <w:r>
        <w:t xml:space="preserve"> </w:t>
      </w:r>
      <w:r>
        <w:rPr>
          <w:iCs/>
          <w:i/>
        </w:rPr>
        <w:t xml:space="preserve">podejrzany</w:t>
      </w:r>
      <w:r>
        <w:t xml:space="preserve"> </w:t>
      </w:r>
      <w:r>
        <w:t xml:space="preserve">status — formal charges presented — plus</w:t>
      </w:r>
      <w:r>
        <w:t xml:space="preserve"> </w:t>
      </w:r>
      <w:r>
        <w:rPr>
          <w:iCs/>
          <w:i/>
        </w:rPr>
        <w:t xml:space="preserve">uzasadniona obawa</w:t>
      </w:r>
      <w:r>
        <w:t xml:space="preserve"> </w:t>
      </w:r>
      <w:r>
        <w:t xml:space="preserve">(justified fear) that without freezing, execution of the future judgment will be impossible or significantly difficult [^1^] [^3^]. Both conditions are cumulative: no charges, no freezing; no justified fear, no freezing. Since a March 2024 amendment, art. 291 § 2 pkt 2 KPK allows limited pre-charge freezing for property subject to forfeiture, already-blocked accounts, or vehicle forfeiture under art. 44b KK [^2^]. This expands the prosecutor’s toolbox in specific asset-recovery scenarios but does not create general pre-charge freezing authority. For your case, the practical trigger is the moment Szklarski receives</w:t>
      </w:r>
      <w:r>
        <w:t xml:space="preserve"> </w:t>
      </w:r>
      <w:r>
        <w:rPr>
          <w:iCs/>
          <w:i/>
        </w:rPr>
        <w:t xml:space="preserve">podejrzany</w:t>
      </w:r>
      <w:r>
        <w:t xml:space="preserve"> </w:t>
      </w:r>
      <w:r>
        <w:t xml:space="preserve">status — at that point, you should immediately file a written freezing request with the prosecutor.</w:t>
      </w:r>
    </w:p>
    <w:bookmarkEnd w:id="52"/>
    <w:bookmarkStart w:id="53" w:name="what-can-be-frozen-a-very-broad-catalog"/>
    <w:p>
      <w:pPr>
        <w:pStyle w:val="Heading4"/>
      </w:pPr>
      <w:r>
        <w:t xml:space="preserve">3.2.2 What can be frozen: a very broad catalog</w:t>
      </w:r>
    </w:p>
    <w:p>
      <w:pPr>
        <w:pStyle w:val="FirstParagraph"/>
      </w:pPr>
      <w:r>
        <w:t xml:space="preserve">The catalog includes: bank accounts, real estate (with compulsory mortgage), movable property, cryptocurrency, securities, vehicles, business assets, receivables, and assets transferred to third parties under extended forfeiture (art. 45 § 2–3 KK) [^4^]. For a JDG owner, there is</w:t>
      </w:r>
      <w:r>
        <w:t xml:space="preserve"> </w:t>
      </w:r>
      <w:r>
        <w:rPr>
          <w:bCs/>
          <w:b/>
        </w:rPr>
        <w:t xml:space="preserve">no separation</w:t>
      </w:r>
      <w:r>
        <w:t xml:space="preserve"> </w:t>
      </w:r>
      <w:r>
        <w:t xml:space="preserve">between business and personal assets — the entire undivided estate is one freezable pool [^10^] [^11^]. If Szklarski has moved funds to family members, the prosecutor can potentially freeze those assets too under the extended forfeiture presumption that property the suspect controlled during the 5 years before the offense is proceeds of crime, unless proven otherwise [^1^].</w:t>
      </w:r>
    </w:p>
    <w:bookmarkEnd w:id="53"/>
    <w:bookmarkStart w:id="54" w:name="X0831080c78fe21c9416cd4dfd2861f14f36954d"/>
    <w:p>
      <w:pPr>
        <w:pStyle w:val="Heading4"/>
      </w:pPr>
      <w:r>
        <w:t xml:space="preserve">3.2.3 Who decides: prosecutor at preparatory stage; court at judicial stage</w:t>
      </w:r>
    </w:p>
    <w:p>
      <w:pPr>
        <w:pStyle w:val="FirstParagraph"/>
      </w:pPr>
      <w:r>
        <w:t xml:space="preserve">At the preparatory stage, the</w:t>
      </w:r>
      <w:r>
        <w:t xml:space="preserve"> </w:t>
      </w:r>
      <w:r>
        <w:rPr>
          <w:bCs/>
          <w:b/>
        </w:rPr>
        <w:t xml:space="preserve">prosecutor</w:t>
      </w:r>
      <w:r>
        <w:t xml:space="preserve"> </w:t>
      </w:r>
      <w:r>
        <w:t xml:space="preserve">decides; at the judicial stage, the</w:t>
      </w:r>
      <w:r>
        <w:t xml:space="preserve"> </w:t>
      </w:r>
      <w:r>
        <w:rPr>
          <w:bCs/>
          <w:b/>
        </w:rPr>
        <w:t xml:space="preserve">court</w:t>
      </w:r>
      <w:r>
        <w:t xml:space="preserve"> </w:t>
      </w:r>
      <w:r>
        <w:t xml:space="preserve">decides [^23^]. The prosecutor can act</w:t>
      </w:r>
      <w:r>
        <w:t xml:space="preserve"> </w:t>
      </w:r>
      <w:r>
        <w:rPr>
          <w:iCs/>
          <w:i/>
        </w:rPr>
        <w:t xml:space="preserve">ex officio</w:t>
      </w:r>
      <w:r>
        <w:t xml:space="preserve"> </w:t>
      </w:r>
      <w:r>
        <w:t xml:space="preserve">(</w:t>
      </w:r>
      <w:r>
        <w:rPr>
          <w:iCs/>
          <w:i/>
        </w:rPr>
        <w:t xml:space="preserve">z urzędu</w:t>
      </w:r>
      <w:r>
        <w:t xml:space="preserve">) or upon the victim’s written request [^6^]. A well-timed victim request accelerates the process by providing the factual basis for the freezing decision. The prosecutor issues the freezing order as a</w:t>
      </w:r>
      <w:r>
        <w:t xml:space="preserve"> </w:t>
      </w:r>
      <w:r>
        <w:rPr>
          <w:iCs/>
          <w:i/>
        </w:rPr>
        <w:t xml:space="preserve">postanowienie</w:t>
      </w:r>
      <w:r>
        <w:t xml:space="preserve"> </w:t>
      </w:r>
      <w:r>
        <w:t xml:space="preserve">(order), which becomes an immediately enforceable executory title under art. 293 § 5 KPK without any additional court authentication [^23^]. The prosecutor can direct a bailiff (</w:t>
      </w:r>
      <w:r>
        <w:rPr>
          <w:iCs/>
          <w:i/>
        </w:rPr>
        <w:t xml:space="preserve">komornik</w:t>
      </w:r>
      <w:r>
        <w:t xml:space="preserve">) to execute it immediately or instruct banks to block accounts directly [^8^].</w:t>
      </w:r>
    </w:p>
    <w:bookmarkEnd w:id="54"/>
    <w:bookmarkStart w:id="55" w:name="cost-to-victim-zero-no-court-fee-no-bond"/>
    <w:p>
      <w:pPr>
        <w:pStyle w:val="Heading4"/>
      </w:pPr>
      <w:r>
        <w:t xml:space="preserve">3.2.4 Cost to victim: ZERO — no court fee, no bond</w:t>
      </w:r>
    </w:p>
    <w:p>
      <w:pPr>
        <w:pStyle w:val="FirstParagraph"/>
      </w:pPr>
      <w:r>
        <w:t xml:space="preserve">The victim’s application is</w:t>
      </w:r>
      <w:r>
        <w:t xml:space="preserve"> </w:t>
      </w:r>
      <w:r>
        <w:rPr>
          <w:bCs/>
          <w:b/>
        </w:rPr>
        <w:t xml:space="preserve">completely free</w:t>
      </w:r>
      <w:r>
        <w:t xml:space="preserve"> </w:t>
      </w:r>
      <w:r>
        <w:t xml:space="preserve">— no court fee, no bond (</w:t>
      </w:r>
      <w:r>
        <w:rPr>
          <w:iCs/>
          <w:i/>
        </w:rPr>
        <w:t xml:space="preserve">kaucja</w:t>
      </w:r>
      <w:r>
        <w:t xml:space="preserve">) required [^6^]. Even registering a compulsory mortgage on real estate incurs no fee when based on a criminal freezing order [^2^]. By contrast, civil</w:t>
      </w:r>
      <w:r>
        <w:t xml:space="preserve"> </w:t>
      </w:r>
      <w:r>
        <w:rPr>
          <w:iCs/>
          <w:i/>
        </w:rPr>
        <w:t xml:space="preserve">zabezpieczenie</w:t>
      </w:r>
      <w:r>
        <w:t xml:space="preserve"> </w:t>
      </w:r>
      <w:r>
        <w:t xml:space="preserve">costs ~2,000 PLN for a 155,000 PLN claim plus potential bond under art. 739 KPC [^19^]. For a foreign victim with limited Polish asset intelligence, this zero-cost barrier determines whether the mechanism is accessible at all.</w:t>
      </w:r>
    </w:p>
    <w:bookmarkEnd w:id="55"/>
    <w:bookmarkStart w:id="56" w:name="X86ed3ab483a07a407a1c19652f60a82f3876b5e"/>
    <w:p>
      <w:pPr>
        <w:pStyle w:val="Heading4"/>
      </w:pPr>
      <w:r>
        <w:t xml:space="preserve">3.2.5 JDG applicability: one pool, no exempt amount</w:t>
      </w:r>
    </w:p>
    <w:p>
      <w:pPr>
        <w:pStyle w:val="FirstParagraph"/>
      </w:pPr>
      <w:r>
        <w:t xml:space="preserve">A JDG has no separate legal personality; the owner is personally liable with their entire estate [^10^] [^11^]. The prosecutor can freeze both personal and business accounts with a single order. JDG business accounts enjoy</w:t>
      </w:r>
      <w:r>
        <w:t xml:space="preserve"> </w:t>
      </w:r>
      <w:r>
        <w:rPr>
          <w:bCs/>
          <w:b/>
        </w:rPr>
        <w:t xml:space="preserve">no exempt amount</w:t>
      </w:r>
      <w:r>
        <w:t xml:space="preserve"> </w:t>
      </w:r>
      <w:r>
        <w:t xml:space="preserve">(</w:t>
      </w:r>
      <w:r>
        <w:rPr>
          <w:iCs/>
          <w:i/>
        </w:rPr>
        <w:t xml:space="preserve">kwota wolna</w:t>
      </w:r>
      <w:r>
        <w:t xml:space="preserve">) — unlike personal accounts where 75% of minimum wage is protected, bailiffs can seize 100% of business account funds [^12^]. This makes the business account often the most attractive enforcement target.</w:t>
      </w:r>
    </w:p>
    <w:bookmarkEnd w:id="56"/>
    <w:bookmarkStart w:id="57" w:name="duration-issuance-until-final-judgment"/>
    <w:p>
      <w:pPr>
        <w:pStyle w:val="Heading4"/>
      </w:pPr>
      <w:r>
        <w:t xml:space="preserve">3.2.6 Duration: issuance until final judgment</w:t>
      </w:r>
    </w:p>
    <w:p>
      <w:pPr>
        <w:pStyle w:val="FirstParagraph"/>
      </w:pPr>
      <w:r>
        <w:t xml:space="preserve">The freezing lasts until the final judgment [^5^]. It falls away automatically upon acquittal, discontinuation, or if civil claims are not filed within</w:t>
      </w:r>
      <w:r>
        <w:t xml:space="preserve"> </w:t>
      </w:r>
      <w:r>
        <w:rPr>
          <w:bCs/>
          <w:b/>
        </w:rPr>
        <w:t xml:space="preserve">3 months</w:t>
      </w:r>
      <w:r>
        <w:t xml:space="preserve"> </w:t>
      </w:r>
      <w:r>
        <w:t xml:space="preserve">of the final judgment [^7^]. The issuing authority must lift it if grounds cease (art. 291 § 4 KPK) [^7^]. This 3-month post-judgment window is critical: if the criminal court does not rule on your civil claim (e.g., because art. 415 § 1 KPK blocked it), you must file a civil lawsuit within 3 months of the final criminal judgment or the freezing evaporates.</w:t>
      </w:r>
    </w:p>
    <w:bookmarkEnd w:id="57"/>
    <w:bookmarkStart w:id="58" w:name="comparison-with-civil-zabezpieczenie"/>
    <w:p>
      <w:pPr>
        <w:pStyle w:val="Heading4"/>
      </w:pPr>
      <w:r>
        <w:t xml:space="preserve">3.2.7 Comparison with civil</w:t>
      </w:r>
      <w:r>
        <w:t xml:space="preserve"> </w:t>
      </w:r>
      <w:r>
        <w:rPr>
          <w:iCs/>
          <w:i/>
        </w:rPr>
        <w:t xml:space="preserve">zabezpieczenie</w:t>
      </w:r>
    </w:p>
    <w:tbl>
      <w:tblPr>
        <w:tblStyle w:val="Table"/>
        <w:tblW w:type="pct" w:w="5000"/>
        <w:tblLook w:firstRow="1" w:lastRow="0" w:firstColumn="0" w:lastColumn="0" w:noHBand="0" w:noVBand="0" w:val="0020"/>
      </w:tblPr>
      <w:tblGrid>
        <w:gridCol w:w="931"/>
        <w:gridCol w:w="3377"/>
        <w:gridCol w:w="3610"/>
      </w:tblGrid>
      <w:tr>
        <w:trPr>
          <w:tblHeader w:val="true"/>
        </w:trPr>
        <w:tc>
          <w:tcPr/>
          <w:p>
            <w:pPr>
              <w:pStyle w:val="Compact"/>
              <w:jc w:val="left"/>
            </w:pPr>
            <w:r>
              <w:t xml:space="preserve">Factor</w:t>
            </w:r>
          </w:p>
        </w:tc>
        <w:tc>
          <w:tcPr/>
          <w:p>
            <w:pPr>
              <w:pStyle w:val="Compact"/>
              <w:jc w:val="left"/>
            </w:pPr>
            <w:r>
              <w:t xml:space="preserve">Criminal (art. 291–295 KPK)</w:t>
            </w:r>
          </w:p>
        </w:tc>
        <w:tc>
          <w:tcPr/>
          <w:p>
            <w:pPr>
              <w:pStyle w:val="Compact"/>
              <w:jc w:val="left"/>
            </w:pPr>
            <w:r>
              <w:t xml:space="preserve">Civil (art. 730 et seq. KPC)</w:t>
            </w:r>
          </w:p>
        </w:tc>
      </w:tr>
      <w:tr>
        <w:tc>
          <w:tcPr/>
          <w:p>
            <w:pPr>
              <w:pStyle w:val="Compact"/>
              <w:jc w:val="left"/>
            </w:pPr>
            <w:r>
              <w:rPr>
                <w:bCs/>
                <w:b/>
              </w:rPr>
              <w:t xml:space="preserve">Court fee</w:t>
            </w:r>
          </w:p>
        </w:tc>
        <w:tc>
          <w:tcPr/>
          <w:p>
            <w:pPr>
              <w:pStyle w:val="Compact"/>
              <w:jc w:val="left"/>
            </w:pPr>
            <w:r>
              <w:rPr>
                <w:bCs/>
                <w:b/>
              </w:rPr>
              <w:t xml:space="preserve">FREE</w:t>
            </w:r>
            <w:r>
              <w:t xml:space="preserve"> </w:t>
            </w:r>
            <w:r>
              <w:t xml:space="preserve">[^6^]</w:t>
            </w:r>
          </w:p>
        </w:tc>
        <w:tc>
          <w:tcPr/>
          <w:p>
            <w:pPr>
              <w:pStyle w:val="Compact"/>
              <w:jc w:val="left"/>
            </w:pPr>
            <w:r>
              <w:t xml:space="preserve">~2,000 PLN + potential bond [^19^] [^20^]</w:t>
            </w:r>
          </w:p>
        </w:tc>
      </w:tr>
      <w:tr>
        <w:tc>
          <w:tcPr/>
          <w:p>
            <w:pPr>
              <w:pStyle w:val="Compact"/>
              <w:jc w:val="left"/>
            </w:pPr>
            <w:r>
              <w:rPr>
                <w:bCs/>
                <w:b/>
              </w:rPr>
              <w:t xml:space="preserve">Timing</w:t>
            </w:r>
          </w:p>
        </w:tc>
        <w:tc>
          <w:tcPr/>
          <w:p>
            <w:pPr>
              <w:pStyle w:val="Compact"/>
              <w:jc w:val="left"/>
            </w:pPr>
            <w:r>
              <w:t xml:space="preserve">Preparatory stage, before civil suit</w:t>
            </w:r>
          </w:p>
        </w:tc>
        <w:tc>
          <w:tcPr/>
          <w:p>
            <w:pPr>
              <w:pStyle w:val="Compact"/>
              <w:jc w:val="left"/>
            </w:pPr>
            <w:r>
              <w:t xml:space="preserve">After filing civil lawsuit [^19^]</w:t>
            </w:r>
          </w:p>
        </w:tc>
      </w:tr>
      <w:tr>
        <w:tc>
          <w:tcPr/>
          <w:p>
            <w:pPr>
              <w:pStyle w:val="Compact"/>
              <w:jc w:val="left"/>
            </w:pPr>
            <w:r>
              <w:rPr>
                <w:bCs/>
                <w:b/>
              </w:rPr>
              <w:t xml:space="preserve">Asset identification</w:t>
            </w:r>
          </w:p>
        </w:tc>
        <w:tc>
          <w:tcPr/>
          <w:p>
            <w:pPr>
              <w:pStyle w:val="Compact"/>
              <w:jc w:val="left"/>
            </w:pPr>
            <w:r>
              <w:t xml:space="preserve">Prosecutor investigates</w:t>
            </w:r>
            <w:r>
              <w:t xml:space="preserve"> </w:t>
            </w:r>
            <w:r>
              <w:rPr>
                <w:iCs/>
                <w:i/>
              </w:rPr>
              <w:t xml:space="preserve">ex officio</w:t>
            </w:r>
          </w:p>
        </w:tc>
        <w:tc>
          <w:tcPr/>
          <w:p>
            <w:pPr>
              <w:pStyle w:val="Compact"/>
              <w:jc w:val="left"/>
            </w:pPr>
            <w:r>
              <w:t xml:space="preserve">Victim must indicate assets [^18^]</w:t>
            </w:r>
          </w:p>
        </w:tc>
      </w:tr>
      <w:tr>
        <w:tc>
          <w:tcPr/>
          <w:p>
            <w:pPr>
              <w:pStyle w:val="Compact"/>
              <w:jc w:val="left"/>
            </w:pPr>
            <w:r>
              <w:rPr>
                <w:bCs/>
                <w:b/>
              </w:rPr>
              <w:t xml:space="preserve">Immediate enforceability</w:t>
            </w:r>
          </w:p>
        </w:tc>
        <w:tc>
          <w:tcPr/>
          <w:p>
            <w:pPr>
              <w:pStyle w:val="Compact"/>
              <w:jc w:val="left"/>
            </w:pPr>
            <w:r>
              <w:rPr>
                <w:bCs/>
                <w:b/>
              </w:rPr>
              <w:t xml:space="preserve">Yes</w:t>
            </w:r>
            <w:r>
              <w:t xml:space="preserve"> </w:t>
            </w:r>
            <w:r>
              <w:t xml:space="preserve">— art. 293 § 5 KPK [^23^]</w:t>
            </w:r>
          </w:p>
        </w:tc>
        <w:tc>
          <w:tcPr/>
          <w:p>
            <w:pPr>
              <w:pStyle w:val="Compact"/>
              <w:jc w:val="left"/>
            </w:pPr>
            <w:r>
              <w:t xml:space="preserve">Requires executory clause</w:t>
            </w:r>
          </w:p>
        </w:tc>
      </w:tr>
      <w:tr>
        <w:tc>
          <w:tcPr/>
          <w:p>
            <w:pPr>
              <w:pStyle w:val="Compact"/>
              <w:jc w:val="left"/>
            </w:pPr>
            <w:r>
              <w:rPr>
                <w:bCs/>
                <w:b/>
              </w:rPr>
              <w:t xml:space="preserve">Surprise element</w:t>
            </w:r>
          </w:p>
        </w:tc>
        <w:tc>
          <w:tcPr/>
          <w:p>
            <w:pPr>
              <w:pStyle w:val="Compact"/>
              <w:jc w:val="left"/>
            </w:pPr>
            <w:r>
              <w:t xml:space="preserve">High — inquisitorial procedure [^6^]</w:t>
            </w:r>
          </w:p>
        </w:tc>
        <w:tc>
          <w:tcPr/>
          <w:p>
            <w:pPr>
              <w:pStyle w:val="Compact"/>
              <w:jc w:val="left"/>
            </w:pPr>
            <w:r>
              <w:t xml:space="preserve">Low — adversarial, transparent</w:t>
            </w:r>
          </w:p>
        </w:tc>
      </w:tr>
      <w:tr>
        <w:tc>
          <w:tcPr/>
          <w:p>
            <w:pPr>
              <w:pStyle w:val="Compact"/>
              <w:jc w:val="left"/>
            </w:pPr>
            <w:r>
              <w:rPr>
                <w:bCs/>
                <w:b/>
              </w:rPr>
              <w:t xml:space="preserve">JDG assets</w:t>
            </w:r>
          </w:p>
        </w:tc>
        <w:tc>
          <w:tcPr/>
          <w:p>
            <w:pPr>
              <w:pStyle w:val="Compact"/>
              <w:jc w:val="left"/>
            </w:pPr>
            <w:r>
              <w:t xml:space="preserve">Fully freezable (no corporate veil) [^10^]</w:t>
            </w:r>
          </w:p>
        </w:tc>
        <w:tc>
          <w:tcPr/>
          <w:p>
            <w:pPr>
              <w:pStyle w:val="Compact"/>
              <w:jc w:val="left"/>
            </w:pPr>
            <w:r>
              <w:t xml:space="preserve">Fully attachable (same reason)</w:t>
            </w:r>
          </w:p>
        </w:tc>
      </w:tr>
      <w:tr>
        <w:tc>
          <w:tcPr/>
          <w:p>
            <w:pPr>
              <w:pStyle w:val="Compact"/>
              <w:jc w:val="left"/>
            </w:pPr>
            <w:r>
              <w:rPr>
                <w:bCs/>
                <w:b/>
              </w:rPr>
              <w:t xml:space="preserve">Cross-border (EU)</w:t>
            </w:r>
          </w:p>
        </w:tc>
        <w:tc>
          <w:tcPr/>
          <w:p>
            <w:pPr>
              <w:pStyle w:val="Compact"/>
              <w:jc w:val="left"/>
            </w:pPr>
            <w:r>
              <w:t xml:space="preserve">Possible via Reg. 2018/1805, slow [^13^]</w:t>
            </w:r>
          </w:p>
        </w:tc>
        <w:tc>
          <w:tcPr/>
          <w:p>
            <w:pPr>
              <w:pStyle w:val="Compact"/>
              <w:jc w:val="left"/>
            </w:pPr>
            <w:r>
              <w:t xml:space="preserve">Possible via EAPO (civil)</w:t>
            </w:r>
          </w:p>
        </w:tc>
      </w:tr>
      <w:tr>
        <w:tc>
          <w:tcPr/>
          <w:p>
            <w:pPr>
              <w:pStyle w:val="Compact"/>
              <w:jc w:val="left"/>
            </w:pPr>
            <w:r>
              <w:rPr>
                <w:bCs/>
                <w:b/>
              </w:rPr>
              <w:t xml:space="preserve">Duration</w:t>
            </w:r>
          </w:p>
        </w:tc>
        <w:tc>
          <w:tcPr/>
          <w:p>
            <w:pPr>
              <w:pStyle w:val="Compact"/>
              <w:jc w:val="left"/>
            </w:pPr>
            <w:r>
              <w:t xml:space="preserve">Until final judgment; 3-month post-judgment window [^5^]</w:t>
            </w:r>
          </w:p>
        </w:tc>
        <w:tc>
          <w:tcPr/>
          <w:p>
            <w:pPr>
              <w:pStyle w:val="Compact"/>
              <w:jc w:val="left"/>
            </w:pPr>
            <w:r>
              <w:t xml:space="preserve">Until civil judgment or earlier</w:t>
            </w:r>
          </w:p>
        </w:tc>
      </w:tr>
    </w:tbl>
    <w:p>
      <w:pPr>
        <w:pStyle w:val="BodyText"/>
      </w:pPr>
      <w:r>
        <w:t xml:space="preserve">The criminal route is structurally superior for this case: zero cost, no bond, preparatory-stage timing that may freeze assets before Szklarski even knows the EPU title is coming, prosecutor-driven asset investigation, and immediate enforceability without additional court procedure [^23^]. Your civil lawyer was correct that civil freezing is costly and difficult — the criminal route provides a free alternative that bypasses all those obstacles. Prosecutor data shows the mechanism is actively used: over 1,300 cases in 2007–2013 with over 900 million PLN in frozen assets, averaging approximately 692,000 PLN per case [^9^].</w:t>
      </w:r>
    </w:p>
    <w:p>
      <w:r>
        <w:pict>
          <v:rect style="width:0;height:1.5pt" o:hralign="center" o:hrstd="t" o:hr="t"/>
        </w:pict>
      </w:r>
    </w:p>
    <w:bookmarkEnd w:id="58"/>
    <w:bookmarkEnd w:id="59"/>
    <w:bookmarkStart w:id="65" w:name="Xfbb589bdef9c78efb842859aef0604d312cbcab"/>
    <w:p>
      <w:pPr>
        <w:pStyle w:val="Heading3"/>
      </w:pPr>
      <w:r>
        <w:t xml:space="preserve">3.3 Restitution, Mediation, and Settlement Pressure</w:t>
      </w:r>
    </w:p>
    <w:bookmarkStart w:id="60" w:name="Xc11d93235290efe9047d3368d04e56b15b986aa"/>
    <w:p>
      <w:pPr>
        <w:pStyle w:val="Heading4"/>
      </w:pPr>
      <w:r>
        <w:t xml:space="preserve">3.3.1 Mediation (art. 23a KPK): free, confidential, but settlement does NOT end criminal proceedings</w:t>
      </w:r>
    </w:p>
    <w:p>
      <w:pPr>
        <w:pStyle w:val="FirstParagraph"/>
      </w:pPr>
      <w:r>
        <w:t xml:space="preserve">Mediation under art. 23a KPK is voluntary, confidential, and free (mediator receives 120 PLN from the State Treasury) [^31^] [^32^]. The process should not exceed one month. Art. 53 § 3 KK mandates courts consider mediation results in sentencing [^31^]. However, settlement</w:t>
      </w:r>
      <w:r>
        <w:t xml:space="preserve"> </w:t>
      </w:r>
      <w:r>
        <w:rPr>
          <w:bCs/>
          <w:b/>
        </w:rPr>
        <w:t xml:space="preserve">does not automatically end criminal proceedings</w:t>
      </w:r>
      <w:r>
        <w:t xml:space="preserve"> </w:t>
      </w:r>
      <w:r>
        <w:t xml:space="preserve">— the prosecutor retains discretion to continue. The fraud mediation rate is vanishingly low: 0.5% of fraud convictions in 2017 (127 of 24,138 cases), 0.4% in 2018 (91 of 22,550) [^33^]. Overall, only 0.1–0.2% of cases entering Polish courts see mediation [^34^]. The structural mismatch is clear: mediation works best where personal relationships and emotional harm create reconciliation incentives. Commercial fraud — a cold transaction with a stranger — offers little fertile ground for mediation.</w:t>
      </w:r>
    </w:p>
    <w:bookmarkEnd w:id="60"/>
    <w:bookmarkStart w:id="61" w:name="Xffb18b370418f5d9c31421eba7fc86ee1de569d"/>
    <w:p>
      <w:pPr>
        <w:pStyle w:val="Heading4"/>
      </w:pPr>
      <w:r>
        <w:t xml:space="preserve">3.3.2 Conditional discontinuation (art. 66 KK): NOT available for art. 286 § 1 KK</w:t>
      </w:r>
    </w:p>
    <w:p>
      <w:pPr>
        <w:pStyle w:val="FirstParagraph"/>
      </w:pPr>
      <w:r>
        <w:t xml:space="preserve">Art. 66 § 2 KK excludes offenses punishable by more than 5 years. Since art. 286 § 1 KK carries 6 months to 8 years, conditional discontinuation is</w:t>
      </w:r>
      <w:r>
        <w:t xml:space="preserve"> </w:t>
      </w:r>
      <w:r>
        <w:rPr>
          <w:bCs/>
          <w:b/>
        </w:rPr>
        <w:t xml:space="preserve">unavailable</w:t>
      </w:r>
      <w:r>
        <w:t xml:space="preserve"> </w:t>
      </w:r>
      <w:r>
        <w:t xml:space="preserve">unless the court qualifies the fraud as</w:t>
      </w:r>
      <w:r>
        <w:t xml:space="preserve"> </w:t>
      </w:r>
      <w:r>
        <w:rPr>
          <w:iCs/>
          <w:i/>
        </w:rPr>
        <w:t xml:space="preserve">wypadek mniejszej wagi</w:t>
      </w:r>
      <w:r>
        <w:t xml:space="preserve"> </w:t>
      </w:r>
      <w:r>
        <w:t xml:space="preserve">under art. 286 § 3 KK (up to 2 years) — unlikely for 155,000 PLN [^35^]. Among 317 studied conditionally discontinued cases, 87% involved crimes punishable by up to 3 years [^37^]. The conditional discontinuation rate grew from 4.7% of all dispositions (2006) to 9.5% (2016), but fraud cases constitute a negligible fraction [^36^].</w:t>
      </w:r>
    </w:p>
    <w:p>
      <w:pPr>
        <w:pStyle w:val="BodyText"/>
      </w:pPr>
      <w:r>
        <w:rPr>
          <w:bCs/>
          <w:b/>
        </w:rPr>
        <w:t xml:space="preserve">Settlement implication:</w:t>
      </w:r>
      <w:r>
        <w:t xml:space="preserve"> </w:t>
      </w:r>
      <w:r>
        <w:t xml:space="preserve">The accused cannot</w:t>
      </w:r>
      <w:r>
        <w:t xml:space="preserve"> </w:t>
      </w:r>
      <w:r>
        <w:t xml:space="preserve">“</w:t>
      </w:r>
      <w:r>
        <w:t xml:space="preserve">buy his way out</w:t>
      </w:r>
      <w:r>
        <w:t xml:space="preserve">”</w:t>
      </w:r>
      <w:r>
        <w:t xml:space="preserve"> </w:t>
      </w:r>
      <w:r>
        <w:t xml:space="preserve">of a criminal record through conditional discontinuation. His options are binary: avoid indictment entirely (no record) or face conviction (permanent criminal record). This</w:t>
      </w:r>
      <w:r>
        <w:t xml:space="preserve"> </w:t>
      </w:r>
      <w:r>
        <w:rPr>
          <w:bCs/>
          <w:b/>
        </w:rPr>
        <w:t xml:space="preserve">strengthens</w:t>
      </w:r>
      <w:r>
        <w:t xml:space="preserve"> </w:t>
      </w:r>
      <w:r>
        <w:t xml:space="preserve">your leverage because full repayment is the only path to a clean record, and that path runs through convincing the prosecutor not to indict — not through a court-sanctioned deal.</w:t>
      </w:r>
    </w:p>
    <w:bookmarkEnd w:id="61"/>
    <w:bookmarkStart w:id="62" w:name="Xa1472a053b0dbae1449a4b087c705bf4e42bee7"/>
    <w:p>
      <w:pPr>
        <w:pStyle w:val="Heading4"/>
      </w:pPr>
      <w:r>
        <w:t xml:space="preserve">3.3.3 Voluntary repayment as sentence mitigation: art. 53 § 2b KK + art. 60 § 2 KK</w:t>
      </w:r>
    </w:p>
    <w:p>
      <w:pPr>
        <w:pStyle w:val="FirstParagraph"/>
      </w:pPr>
      <w:r>
        <w:t xml:space="preserve">Art. 53 § 2b KK lists</w:t>
      </w:r>
      <w:r>
        <w:t xml:space="preserve"> </w:t>
      </w:r>
      <w:r>
        <w:rPr>
          <w:iCs/>
          <w:i/>
        </w:rPr>
        <w:t xml:space="preserve">naprawienie szkody</w:t>
      </w:r>
      <w:r>
        <w:t xml:space="preserve"> </w:t>
      </w:r>
      <w:r>
        <w:t xml:space="preserve">as a mitigating circumstance [^31^]. Full repayment plus victim reconciliation enables</w:t>
      </w:r>
      <w:r>
        <w:t xml:space="preserve"> </w:t>
      </w:r>
      <w:r>
        <w:rPr>
          <w:iCs/>
          <w:i/>
        </w:rPr>
        <w:t xml:space="preserve">nadzwyczajne złagodzenie kary</w:t>
      </w:r>
      <w:r>
        <w:t xml:space="preserve"> </w:t>
      </w:r>
      <w:r>
        <w:t xml:space="preserve">(extraordinary mitigation) under art. 60 § 2 KK, allowing sentence</w:t>
      </w:r>
      <w:r>
        <w:t xml:space="preserve"> </w:t>
      </w:r>
      <w:r>
        <w:rPr>
          <w:bCs/>
          <w:b/>
        </w:rPr>
        <w:t xml:space="preserve">below the statutory minimum</w:t>
      </w:r>
      <w:r>
        <w:t xml:space="preserve"> </w:t>
      </w:r>
      <w:r>
        <w:t xml:space="preserve">[^38^]. Courts consistently treat repayment as decisive:</w:t>
      </w:r>
      <w:r>
        <w:t xml:space="preserve"> </w:t>
      </w:r>
      <w:r>
        <w:rPr>
          <w:iCs/>
          <w:i/>
        </w:rPr>
        <w:t xml:space="preserve">“</w:t>
      </w:r>
      <w:r>
        <w:rPr>
          <w:iCs/>
          <w:i/>
        </w:rPr>
        <w:t xml:space="preserve">Jeśli sprawca … dążył do naprawienia szkody i pojednania z pokrzywdzonym, to istnieje duża szansa na łagodny wymiar kary</w:t>
      </w:r>
      <w:r>
        <w:rPr>
          <w:iCs/>
          <w:i/>
        </w:rPr>
        <w:t xml:space="preserve">”</w:t>
      </w:r>
      <w:r>
        <w:t xml:space="preserve"> </w:t>
      </w:r>
      <w:r>
        <w:t xml:space="preserve">[^35^]. The earlier the repayment, the stronger the effect — making months 3–12 of the criminal process your highest-leverage negotiation window. This pre-trial period is when the accused still has options (settlement, influencing the prosecutor) and before the case hardens into an indictment that makes avoidance impossible.</w:t>
      </w:r>
    </w:p>
    <w:bookmarkEnd w:id="62"/>
    <w:bookmarkStart w:id="63" w:name="X27cb466725b2cfb02c10007f76ee0aeb15e1632"/>
    <w:p>
      <w:pPr>
        <w:pStyle w:val="Heading4"/>
      </w:pPr>
      <w:r>
        <w:t xml:space="preserve">3.3.4 art. 244c KK: the</w:t>
      </w:r>
      <w:r>
        <w:t xml:space="preserve"> </w:t>
      </w:r>
      <w:r>
        <w:t xml:space="preserve">“</w:t>
      </w:r>
      <w:r>
        <w:t xml:space="preserve">evasion of compensation</w:t>
      </w:r>
      <w:r>
        <w:t xml:space="preserve">”</w:t>
      </w:r>
      <w:r>
        <w:t xml:space="preserve"> </w:t>
      </w:r>
      <w:r>
        <w:t xml:space="preserve">crime — double-jeopardy pressure</w:t>
      </w:r>
    </w:p>
    <w:p>
      <w:pPr>
        <w:pStyle w:val="FirstParagraph"/>
      </w:pPr>
      <w:r>
        <w:t xml:space="preserve">Since 1 October 2023, art. 244c KK punishes</w:t>
      </w:r>
      <w:r>
        <w:t xml:space="preserve"> </w:t>
      </w:r>
      <w:r>
        <w:rPr>
          <w:iCs/>
          <w:i/>
        </w:rPr>
        <w:t xml:space="preserve">uchylanie się od wykonania</w:t>
      </w:r>
      <w:r>
        <w:t xml:space="preserve"> </w:t>
      </w:r>
      <w:r>
        <w:t xml:space="preserve">criminal compensation with</w:t>
      </w:r>
      <w:r>
        <w:t xml:space="preserve"> </w:t>
      </w:r>
      <w:r>
        <w:rPr>
          <w:bCs/>
          <w:b/>
        </w:rPr>
        <w:t xml:space="preserve">3 months to 5 years</w:t>
      </w:r>
      <w:r>
        <w:t xml:space="preserve"> </w:t>
      </w:r>
      <w:r>
        <w:t xml:space="preserve">imprisonment [^39^]. This fundamentally changes the debtor’s calculus: non-payment now carries additional criminal liability, separate from the original fraud conviction. Prosecution requires the victim’s motion;</w:t>
      </w:r>
      <w:r>
        <w:t xml:space="preserve"> </w:t>
      </w:r>
      <w:r>
        <w:t xml:space="preserve">“</w:t>
      </w:r>
      <w:r>
        <w:t xml:space="preserve">evasion</w:t>
      </w:r>
      <w:r>
        <w:t xml:space="preserve">”</w:t>
      </w:r>
      <w:r>
        <w:t xml:space="preserve"> </w:t>
      </w:r>
      <w:r>
        <w:t xml:space="preserve">requires intentional refusal despite ability to pay; and full payment within</w:t>
      </w:r>
      <w:r>
        <w:t xml:space="preserve"> </w:t>
      </w:r>
      <w:r>
        <w:rPr>
          <w:bCs/>
          <w:b/>
        </w:rPr>
        <w:t xml:space="preserve">30 days</w:t>
      </w:r>
      <w:r>
        <w:t xml:space="preserve"> </w:t>
      </w:r>
      <w:r>
        <w:t xml:space="preserve">of first interrogation as a suspect avoids punishment entirely [^39^] [^40^]. This 30-day</w:t>
      </w:r>
      <w:r>
        <w:t xml:space="preserve"> </w:t>
      </w:r>
      <w:r>
        <w:t xml:space="preserve">“</w:t>
      </w:r>
      <w:r>
        <w:t xml:space="preserve">active repentance</w:t>
      </w:r>
      <w:r>
        <w:t xml:space="preserve">”</w:t>
      </w:r>
      <w:r>
        <w:t xml:space="preserve"> </w:t>
      </w:r>
      <w:r>
        <w:t xml:space="preserve">window creates enormous settlement leverage at the investigation stage. The provision applies retroactively to pre-2023 judgments where the offender continues to evade [^40^].</w:t>
      </w:r>
    </w:p>
    <w:p>
      <w:pPr>
        <w:pStyle w:val="BodyText"/>
      </w:pPr>
      <w:r>
        <w:t xml:space="preserve">The dynamic is clear: once art. 46 § 1 KK is ordered and Szklarski has ability to pay but refuses, you can file a</w:t>
      </w:r>
      <w:r>
        <w:t xml:space="preserve"> </w:t>
      </w:r>
      <w:r>
        <w:rPr>
          <w:bCs/>
          <w:b/>
        </w:rPr>
        <w:t xml:space="preserve">new</w:t>
      </w:r>
      <w:r>
        <w:t xml:space="preserve"> </w:t>
      </w:r>
      <w:r>
        <w:t xml:space="preserve">criminal complaint under art. 244c KK. He faces two convictions — fraud plus evasion — with combined theoretical penalty up to 13 years. This is not debtors’ prison (poverty is a defence), but it is potent pressure on a solvent debtor who chooses not to pay.</w:t>
      </w:r>
    </w:p>
    <w:bookmarkEnd w:id="63"/>
    <w:bookmarkStart w:id="64" w:name="X91391c96586994e8cca3451867f04688c98309b"/>
    <w:p>
      <w:pPr>
        <w:pStyle w:val="Heading4"/>
      </w:pPr>
      <w:r>
        <w:t xml:space="preserve">3.3.5 Realistic settlement dynamics: does the threat push a JDG owner to pay?</w:t>
      </w:r>
    </w:p>
    <w:p>
      <w:pPr>
        <w:pStyle w:val="FirstParagraph"/>
      </w:pPr>
      <w:r>
        <w:t xml:space="preserve">Evidence is mixed. Criminal pressure</w:t>
      </w:r>
      <w:r>
        <w:t xml:space="preserve"> </w:t>
      </w:r>
      <w:r>
        <w:rPr>
          <w:bCs/>
          <w:b/>
        </w:rPr>
        <w:t xml:space="preserve">can</w:t>
      </w:r>
      <w:r>
        <w:t xml:space="preserve"> </w:t>
      </w:r>
      <w:r>
        <w:t xml:space="preserve">be effective but depends on four factors: actual financial capacity, evidence strength, timing (before assets are hidden), and professional status [^41^] [^42^]. For a JDG owner, a fraud conviction means entry in the</w:t>
      </w:r>
      <w:r>
        <w:t xml:space="preserve"> </w:t>
      </w:r>
      <w:r>
        <w:rPr>
          <w:iCs/>
          <w:i/>
        </w:rPr>
        <w:t xml:space="preserve">Krajowy Rejestr Karny</w:t>
      </w:r>
      <w:r>
        <w:t xml:space="preserve">, disqualification from managing positions and public procurement, and reputational damage in the Netherlands where clients may conduct background checks [^43^].</w:t>
      </w:r>
    </w:p>
    <w:p>
      <w:pPr>
        <w:pStyle w:val="BodyText"/>
      </w:pPr>
      <w:r>
        <w:t xml:space="preserve">Practitioner opinion splits: some argue</w:t>
      </w:r>
      <w:r>
        <w:t xml:space="preserve"> </w:t>
      </w:r>
      <w:r>
        <w:rPr>
          <w:iCs/>
          <w:i/>
        </w:rPr>
        <w:t xml:space="preserve">“</w:t>
      </w:r>
      <w:r>
        <w:rPr>
          <w:iCs/>
          <w:i/>
        </w:rPr>
        <w:t xml:space="preserve">Wszczęcie postępowania karnego przeciwko przedsiębiorcy ma duże znaczenie psychologiczne. Może bowiem stanowić skuteczny bodziec do wywiązania się przez niego ze swoich zobowiązań</w:t>
      </w:r>
      <w:r>
        <w:rPr>
          <w:iCs/>
          <w:i/>
        </w:rPr>
        <w:t xml:space="preserve">”</w:t>
      </w:r>
      <w:r>
        <w:t xml:space="preserve"> </w:t>
      </w:r>
      <w:r>
        <w:t xml:space="preserve">[^44^]; others caution that criminal instruments should not be treated as standalone collection tools, with recovery occurring only in</w:t>
      </w:r>
      <w:r>
        <w:t xml:space="preserve"> </w:t>
      </w:r>
      <w:r>
        <w:rPr>
          <w:iCs/>
          <w:i/>
        </w:rPr>
        <w:t xml:space="preserve">sporadycznej liczbie przypadków</w:t>
      </w:r>
      <w:r>
        <w:t xml:space="preserve"> </w:t>
      </w:r>
      <w:r>
        <w:t xml:space="preserve">[^45^]. One specialised source notes that criminal proceedings create</w:t>
      </w:r>
      <w:r>
        <w:t xml:space="preserve"> </w:t>
      </w:r>
      <w:r>
        <w:rPr>
          <w:iCs/>
          <w:i/>
        </w:rPr>
        <w:t xml:space="preserve">“</w:t>
      </w:r>
      <w:r>
        <w:rPr>
          <w:iCs/>
          <w:i/>
        </w:rPr>
        <w:t xml:space="preserve">znacznie większy stres niż proces cywilny</w:t>
      </w:r>
      <w:r>
        <w:rPr>
          <w:iCs/>
          <w:i/>
        </w:rPr>
        <w:t xml:space="preserve">”</w:t>
      </w:r>
      <w:r>
        <w:t xml:space="preserve"> </w:t>
      </w:r>
      <w:r>
        <w:t xml:space="preserve">— the prospect of interrogations, asset freezing, and criminal liability drives many debtors to voluntarily repay to avoid proceedings altogether [^145^].</w:t>
      </w:r>
    </w:p>
    <w:p>
      <w:pPr>
        <w:pStyle w:val="BodyText"/>
      </w:pPr>
      <w:r>
        <w:t xml:space="preserve">The honest assessment: the threat pushes a debtor who</w:t>
      </w:r>
      <w:r>
        <w:t xml:space="preserve"> </w:t>
      </w:r>
      <w:r>
        <w:rPr>
          <w:bCs/>
          <w:b/>
        </w:rPr>
        <w:t xml:space="preserve">has assets and values a clean record</w:t>
      </w:r>
      <w:r>
        <w:t xml:space="preserve">. It does nothing against a genuinely insolvent debtor. Given Szklarski’s business operation and Netherlands residence — where a criminal record affects work permits, banking, and client relationships — the pressure is real, but cash yield depends on what assets he actually controls. Notably, 84% of fraud sentences in Poland involve suspended imprisonment [^46^], meaning the imprisonment threat is typically conditional on probation violations — including failure to make restitution. The suspended sentence itself becomes a lever: miss a payment, and the suspension may be revoked.</w:t>
      </w:r>
    </w:p>
    <w:p>
      <w:r>
        <w:pict>
          <v:rect style="width:0;height:1.5pt" o:hralign="center" o:hrstd="t" o:hr="t"/>
        </w:pict>
      </w:r>
    </w:p>
    <w:bookmarkEnd w:id="64"/>
    <w:bookmarkEnd w:id="65"/>
    <w:bookmarkStart w:id="66" w:name="X5b8805fb2acd7c1941d0bc4104dc4ad6ea3fe98"/>
    <w:p>
      <w:pPr>
        <w:pStyle w:val="Heading3"/>
      </w:pPr>
      <w:r>
        <w:t xml:space="preserve">3.4 Recovery Comparison: Criminal vs. Civil (EPU) vs. Combined</w:t>
      </w:r>
    </w:p>
    <w:tbl>
      <w:tblPr>
        <w:tblStyle w:val="Table"/>
        <w:tblW w:type="pct" w:w="5000"/>
        <w:tblLook w:firstRow="1" w:lastRow="0" w:firstColumn="0" w:lastColumn="0" w:noHBand="0" w:noVBand="0" w:val="0020"/>
      </w:tblPr>
      <w:tblGrid>
        <w:gridCol w:w="1102"/>
        <w:gridCol w:w="2105"/>
        <w:gridCol w:w="2205"/>
        <w:gridCol w:w="2506"/>
      </w:tblGrid>
      <w:tr>
        <w:trPr>
          <w:tblHeader w:val="true"/>
        </w:trPr>
        <w:tc>
          <w:tcPr/>
          <w:p>
            <w:pPr>
              <w:pStyle w:val="Compact"/>
              <w:jc w:val="left"/>
            </w:pPr>
            <w:r>
              <w:t xml:space="preserve">Dimension</w:t>
            </w:r>
          </w:p>
        </w:tc>
        <w:tc>
          <w:tcPr/>
          <w:p>
            <w:pPr>
              <w:pStyle w:val="Compact"/>
              <w:jc w:val="left"/>
            </w:pPr>
            <w:r>
              <w:t xml:space="preserve">Criminal Route Only</w:t>
            </w:r>
          </w:p>
        </w:tc>
        <w:tc>
          <w:tcPr/>
          <w:p>
            <w:pPr>
              <w:pStyle w:val="Compact"/>
              <w:jc w:val="left"/>
            </w:pPr>
            <w:r>
              <w:t xml:space="preserve">Civil EPU Route Only</w:t>
            </w:r>
          </w:p>
        </w:tc>
        <w:tc>
          <w:tcPr/>
          <w:p>
            <w:pPr>
              <w:pStyle w:val="Compact"/>
              <w:jc w:val="left"/>
            </w:pPr>
            <w:r>
              <w:t xml:space="preserve">Combined Criminal + EPU</w:t>
            </w:r>
          </w:p>
        </w:tc>
      </w:tr>
      <w:tr>
        <w:tc>
          <w:tcPr/>
          <w:p>
            <w:pPr>
              <w:pStyle w:val="Compact"/>
              <w:jc w:val="left"/>
            </w:pPr>
            <w:r>
              <w:rPr>
                <w:bCs/>
                <w:b/>
              </w:rPr>
              <w:t xml:space="preserve">Cost to victim</w:t>
            </w:r>
          </w:p>
        </w:tc>
        <w:tc>
          <w:tcPr/>
          <w:p>
            <w:pPr>
              <w:pStyle w:val="Compact"/>
              <w:jc w:val="left"/>
            </w:pPr>
            <w:r>
              <w:t xml:space="preserve">FREE (0 PLN) [^17^]</w:t>
            </w:r>
          </w:p>
        </w:tc>
        <w:tc>
          <w:tcPr/>
          <w:p>
            <w:pPr>
              <w:pStyle w:val="Compact"/>
              <w:jc w:val="left"/>
            </w:pPr>
            <w:r>
              <w:t xml:space="preserve">~1,938 PLN (1.25%) [^47^]</w:t>
            </w:r>
          </w:p>
        </w:tc>
        <w:tc>
          <w:tcPr/>
          <w:p>
            <w:pPr>
              <w:pStyle w:val="Compact"/>
              <w:jc w:val="left"/>
            </w:pPr>
            <w:r>
              <w:t xml:space="preserve">~1,938 PLN (EPU fee only)</w:t>
            </w:r>
          </w:p>
        </w:tc>
      </w:tr>
      <w:tr>
        <w:tc>
          <w:tcPr/>
          <w:p>
            <w:pPr>
              <w:pStyle w:val="Compact"/>
              <w:jc w:val="left"/>
            </w:pPr>
            <w:r>
              <w:rPr>
                <w:bCs/>
                <w:b/>
              </w:rPr>
              <w:t xml:space="preserve">Time to enforceable title</w:t>
            </w:r>
          </w:p>
        </w:tc>
        <w:tc>
          <w:tcPr/>
          <w:p>
            <w:pPr>
              <w:pStyle w:val="Compact"/>
              <w:jc w:val="left"/>
            </w:pPr>
            <w:r>
              <w:t xml:space="preserve">20–42 months [^200^]</w:t>
            </w:r>
          </w:p>
        </w:tc>
        <w:tc>
          <w:tcPr/>
          <w:p>
            <w:pPr>
              <w:pStyle w:val="Compact"/>
              <w:jc w:val="left"/>
            </w:pPr>
            <w:r>
              <w:t xml:space="preserve">Days to weeks [^230^]</w:t>
            </w:r>
          </w:p>
        </w:tc>
        <w:tc>
          <w:tcPr/>
          <w:p>
            <w:pPr>
              <w:pStyle w:val="Compact"/>
              <w:jc w:val="left"/>
            </w:pPr>
            <w:r>
              <w:t xml:space="preserve">EPU title first; criminal as backup</w:t>
            </w:r>
          </w:p>
        </w:tc>
      </w:tr>
      <w:tr>
        <w:tc>
          <w:tcPr/>
          <w:p>
            <w:pPr>
              <w:pStyle w:val="Compact"/>
              <w:jc w:val="left"/>
            </w:pPr>
            <w:r>
              <w:rPr>
                <w:bCs/>
                <w:b/>
              </w:rPr>
              <w:t xml:space="preserve">Bailiff execution success</w:t>
            </w:r>
          </w:p>
        </w:tc>
        <w:tc>
          <w:tcPr/>
          <w:p>
            <w:pPr>
              <w:pStyle w:val="Compact"/>
              <w:jc w:val="left"/>
            </w:pPr>
            <w:r>
              <w:t xml:space="preserve">~25% (if Polish assets) [^397^]</w:t>
            </w:r>
          </w:p>
        </w:tc>
        <w:tc>
          <w:tcPr/>
          <w:p>
            <w:pPr>
              <w:pStyle w:val="Compact"/>
              <w:jc w:val="left"/>
            </w:pPr>
            <w:r>
              <w:t xml:space="preserve">~25% (if Polish assets) [^397^]</w:t>
            </w:r>
          </w:p>
        </w:tc>
        <w:tc>
          <w:tcPr/>
          <w:p>
            <w:pPr>
              <w:pStyle w:val="Compact"/>
              <w:jc w:val="left"/>
            </w:pPr>
            <w:r>
              <w:t xml:space="preserve">~25% structurally; dual titles may improve priority</w:t>
            </w:r>
          </w:p>
        </w:tc>
      </w:tr>
      <w:tr>
        <w:tc>
          <w:tcPr/>
          <w:p>
            <w:pPr>
              <w:pStyle w:val="Compact"/>
              <w:jc w:val="left"/>
            </w:pPr>
            <w:r>
              <w:rPr>
                <w:bCs/>
                <w:b/>
              </w:rPr>
              <w:t xml:space="preserve">Bankruptcy survival</w:t>
            </w:r>
          </w:p>
        </w:tc>
        <w:tc>
          <w:tcPr/>
          <w:p>
            <w:pPr>
              <w:pStyle w:val="Compact"/>
              <w:jc w:val="left"/>
            </w:pPr>
            <w:r>
              <w:rPr>
                <w:bCs/>
                <w:b/>
              </w:rPr>
              <w:t xml:space="preserve">YES</w:t>
            </w:r>
            <w:r>
              <w:t xml:space="preserve"> </w:t>
            </w:r>
            <w:r>
              <w:t xml:space="preserve">— non-dischargeable [^82^]</w:t>
            </w:r>
          </w:p>
        </w:tc>
        <w:tc>
          <w:tcPr/>
          <w:p>
            <w:pPr>
              <w:pStyle w:val="Compact"/>
              <w:jc w:val="left"/>
            </w:pPr>
            <w:r>
              <w:t xml:space="preserve">NO — dischargeable</w:t>
            </w:r>
          </w:p>
        </w:tc>
        <w:tc>
          <w:tcPr/>
          <w:p>
            <w:pPr>
              <w:pStyle w:val="Compact"/>
              <w:jc w:val="left"/>
            </w:pPr>
            <w:r>
              <w:t xml:space="preserve">Criminal survives bankruptcy</w:t>
            </w:r>
          </w:p>
        </w:tc>
      </w:tr>
      <w:tr>
        <w:tc>
          <w:tcPr/>
          <w:p>
            <w:pPr>
              <w:pStyle w:val="Compact"/>
              <w:jc w:val="left"/>
            </w:pPr>
            <w:r>
              <w:rPr>
                <w:bCs/>
                <w:b/>
              </w:rPr>
              <w:t xml:space="preserve">Cross-border (Netherlands)</w:t>
            </w:r>
          </w:p>
        </w:tc>
        <w:tc>
          <w:tcPr/>
          <w:p>
            <w:pPr>
              <w:pStyle w:val="Compact"/>
              <w:jc w:val="left"/>
            </w:pPr>
            <w:r>
              <w:rPr>
                <w:bCs/>
                <w:b/>
              </w:rPr>
              <w:t xml:space="preserve">NOT ENFORCEABLE</w:t>
            </w:r>
            <w:r>
              <w:t xml:space="preserve"> </w:t>
            </w:r>
            <w:r>
              <w:t xml:space="preserve">[^160^]</w:t>
            </w:r>
          </w:p>
        </w:tc>
        <w:tc>
          <w:tcPr/>
          <w:p>
            <w:pPr>
              <w:pStyle w:val="Compact"/>
              <w:jc w:val="left"/>
            </w:pPr>
            <w:r>
              <w:rPr>
                <w:bCs/>
                <w:b/>
              </w:rPr>
              <w:t xml:space="preserve">ENFORCEABLE</w:t>
            </w:r>
            <w:r>
              <w:t xml:space="preserve"> </w:t>
            </w:r>
            <w:r>
              <w:t xml:space="preserve">under Brussels I [^160^]</w:t>
            </w:r>
          </w:p>
        </w:tc>
        <w:tc>
          <w:tcPr/>
          <w:p>
            <w:pPr>
              <w:pStyle w:val="Compact"/>
              <w:jc w:val="left"/>
            </w:pPr>
            <w:r>
              <w:t xml:space="preserve">EPU reaches NL; criminal does not</w:t>
            </w:r>
          </w:p>
        </w:tc>
      </w:tr>
      <w:tr>
        <w:tc>
          <w:tcPr/>
          <w:p>
            <w:pPr>
              <w:pStyle w:val="Compact"/>
              <w:jc w:val="left"/>
            </w:pPr>
            <w:r>
              <w:rPr>
                <w:bCs/>
                <w:b/>
              </w:rPr>
              <w:t xml:space="preserve">Psychological pressure</w:t>
            </w:r>
          </w:p>
        </w:tc>
        <w:tc>
          <w:tcPr/>
          <w:p>
            <w:pPr>
              <w:pStyle w:val="Compact"/>
              <w:jc w:val="left"/>
            </w:pPr>
            <w:r>
              <w:t xml:space="preserve">VERY HIGH</w:t>
            </w:r>
          </w:p>
        </w:tc>
        <w:tc>
          <w:tcPr/>
          <w:p>
            <w:pPr>
              <w:pStyle w:val="Compact"/>
              <w:jc w:val="left"/>
            </w:pPr>
            <w:r>
              <w:t xml:space="preserve">MODERATE</w:t>
            </w:r>
          </w:p>
        </w:tc>
        <w:tc>
          <w:tcPr/>
          <w:p>
            <w:pPr>
              <w:pStyle w:val="Compact"/>
              <w:jc w:val="left"/>
            </w:pPr>
            <w:r>
              <w:rPr>
                <w:bCs/>
                <w:b/>
              </w:rPr>
              <w:t xml:space="preserve">MAXIMUM</w:t>
            </w:r>
            <w:r>
              <w:t xml:space="preserve"> </w:t>
            </w:r>
            <w:r>
              <w:t xml:space="preserve">— dual pressure</w:t>
            </w:r>
          </w:p>
        </w:tc>
      </w:tr>
      <w:tr>
        <w:tc>
          <w:tcPr/>
          <w:p>
            <w:pPr>
              <w:pStyle w:val="Compact"/>
              <w:jc w:val="left"/>
            </w:pPr>
            <w:r>
              <w:rPr>
                <w:bCs/>
                <w:b/>
              </w:rPr>
              <w:t xml:space="preserve">Asset freezing</w:t>
            </w:r>
          </w:p>
        </w:tc>
        <w:tc>
          <w:tcPr/>
          <w:p>
            <w:pPr>
              <w:pStyle w:val="Compact"/>
              <w:jc w:val="left"/>
            </w:pPr>
            <w:r>
              <w:t xml:space="preserve">YES — free, no bond [^6^]</w:t>
            </w:r>
          </w:p>
        </w:tc>
        <w:tc>
          <w:tcPr/>
          <w:p>
            <w:pPr>
              <w:pStyle w:val="Compact"/>
              <w:jc w:val="left"/>
            </w:pPr>
            <w:r>
              <w:t xml:space="preserve">Costly, bond possible</w:t>
            </w:r>
          </w:p>
        </w:tc>
        <w:tc>
          <w:tcPr/>
          <w:p>
            <w:pPr>
              <w:pStyle w:val="Compact"/>
              <w:jc w:val="left"/>
            </w:pPr>
            <w:r>
              <w:rPr>
                <w:bCs/>
                <w:b/>
              </w:rPr>
              <w:t xml:space="preserve">Both</w:t>
            </w:r>
            <w:r>
              <w:t xml:space="preserve">; criminal freezing is free</w:t>
            </w:r>
          </w:p>
        </w:tc>
      </w:tr>
      <w:tr>
        <w:tc>
          <w:tcPr/>
          <w:p>
            <w:pPr>
              <w:pStyle w:val="Compact"/>
              <w:jc w:val="left"/>
            </w:pPr>
            <w:r>
              <w:rPr>
                <w:bCs/>
                <w:b/>
              </w:rPr>
              <w:t xml:space="preserve">Non-payment consequence</w:t>
            </w:r>
          </w:p>
        </w:tc>
        <w:tc>
          <w:tcPr/>
          <w:p>
            <w:pPr>
              <w:pStyle w:val="Compact"/>
              <w:jc w:val="left"/>
            </w:pPr>
            <w:r>
              <w:t xml:space="preserve">Art. 244c KK: 3mo–5yr [^39^]</w:t>
            </w:r>
          </w:p>
        </w:tc>
        <w:tc>
          <w:tcPr/>
          <w:p>
            <w:pPr>
              <w:pStyle w:val="Compact"/>
              <w:jc w:val="left"/>
            </w:pPr>
            <w:r>
              <w:t xml:space="preserve">None</w:t>
            </w:r>
          </w:p>
        </w:tc>
        <w:tc>
          <w:tcPr/>
          <w:p>
            <w:pPr>
              <w:pStyle w:val="Compact"/>
              <w:jc w:val="left"/>
            </w:pPr>
            <w:r>
              <w:t xml:space="preserve">Art. 244c applies to criminal title</w:t>
            </w:r>
          </w:p>
        </w:tc>
      </w:tr>
      <w:tr>
        <w:tc>
          <w:tcPr/>
          <w:p>
            <w:pPr>
              <w:pStyle w:val="Compact"/>
              <w:jc w:val="left"/>
            </w:pPr>
            <w:r>
              <w:rPr>
                <w:bCs/>
                <w:b/>
              </w:rPr>
              <w:t xml:space="preserve">Anti-cumulation risk</w:t>
            </w:r>
          </w:p>
        </w:tc>
        <w:tc>
          <w:tcPr/>
          <w:p>
            <w:pPr>
              <w:pStyle w:val="Compact"/>
              <w:jc w:val="left"/>
            </w:pPr>
            <w:r>
              <w:t xml:space="preserve">Blocked while EPU pending [^17^]</w:t>
            </w:r>
          </w:p>
        </w:tc>
        <w:tc>
          <w:tcPr/>
          <w:p>
            <w:pPr>
              <w:pStyle w:val="Compact"/>
              <w:jc w:val="left"/>
            </w:pPr>
            <w:r>
              <w:t xml:space="preserve">N/A</w:t>
            </w:r>
          </w:p>
        </w:tc>
        <w:tc>
          <w:tcPr/>
          <w:p>
            <w:pPr>
              <w:pStyle w:val="Compact"/>
              <w:jc w:val="left"/>
            </w:pPr>
            <w:r>
              <w:t xml:space="preserve">Manageable: EPU first, criminal after</w:t>
            </w:r>
          </w:p>
        </w:tc>
      </w:tr>
      <w:tr>
        <w:tc>
          <w:tcPr/>
          <w:p>
            <w:pPr>
              <w:pStyle w:val="Compact"/>
              <w:jc w:val="left"/>
            </w:pPr>
            <w:r>
              <w:rPr>
                <w:bCs/>
                <w:b/>
              </w:rPr>
              <w:t xml:space="preserve">Scope of damage</w:t>
            </w:r>
          </w:p>
        </w:tc>
        <w:tc>
          <w:tcPr/>
          <w:p>
            <w:pPr>
              <w:pStyle w:val="Compact"/>
              <w:jc w:val="left"/>
            </w:pPr>
            <w:r>
              <w:t xml:space="preserve">Limited (no</w:t>
            </w:r>
            <w:r>
              <w:t xml:space="preserve"> </w:t>
            </w:r>
            <w:r>
              <w:rPr>
                <w:iCs/>
                <w:i/>
              </w:rPr>
              <w:t xml:space="preserve">renty</w:t>
            </w:r>
            <w:r>
              <w:t xml:space="preserve">, disputed interest) [^175^]</w:t>
            </w:r>
          </w:p>
        </w:tc>
        <w:tc>
          <w:tcPr/>
          <w:p>
            <w:pPr>
              <w:pStyle w:val="Compact"/>
              <w:jc w:val="left"/>
            </w:pPr>
            <w:r>
              <w:t xml:space="preserve">Full civil scope</w:t>
            </w:r>
          </w:p>
        </w:tc>
        <w:tc>
          <w:tcPr/>
          <w:p>
            <w:pPr>
              <w:pStyle w:val="Compact"/>
              <w:jc w:val="left"/>
            </w:pPr>
            <w:r>
              <w:t xml:space="preserve">Full scope via EPU</w:t>
            </w:r>
          </w:p>
        </w:tc>
      </w:tr>
      <w:tr>
        <w:tc>
          <w:tcPr/>
          <w:p>
            <w:pPr>
              <w:pStyle w:val="Compact"/>
              <w:jc w:val="left"/>
            </w:pPr>
            <w:r>
              <w:rPr>
                <w:bCs/>
                <w:b/>
              </w:rPr>
              <w:t xml:space="preserve">Realistic cash recovery</w:t>
            </w:r>
          </w:p>
        </w:tc>
        <w:tc>
          <w:tcPr/>
          <w:p>
            <w:pPr>
              <w:pStyle w:val="Compact"/>
              <w:jc w:val="left"/>
            </w:pPr>
            <w:r>
              <w:t xml:space="preserve">5–10% (NL-resident, sub-200k) [^442^]</w:t>
            </w:r>
          </w:p>
        </w:tc>
        <w:tc>
          <w:tcPr/>
          <w:p>
            <w:pPr>
              <w:pStyle w:val="Compact"/>
              <w:jc w:val="left"/>
            </w:pPr>
            <w:r>
              <w:t xml:space="preserve">15–20% (if Polish assets)</w:t>
            </w:r>
          </w:p>
        </w:tc>
        <w:tc>
          <w:tcPr/>
          <w:p>
            <w:pPr>
              <w:pStyle w:val="Compact"/>
              <w:jc w:val="left"/>
            </w:pPr>
            <w:r>
              <w:t xml:space="preserve">20–30% (combined, if assets exist)</w:t>
            </w:r>
          </w:p>
        </w:tc>
      </w:tr>
      <w:tr>
        <w:tc>
          <w:tcPr/>
          <w:p>
            <w:pPr>
              <w:pStyle w:val="Compact"/>
              <w:jc w:val="left"/>
            </w:pPr>
            <w:r>
              <w:rPr>
                <w:bCs/>
                <w:b/>
              </w:rPr>
              <w:t xml:space="preserve">Best use case</w:t>
            </w:r>
          </w:p>
        </w:tc>
        <w:tc>
          <w:tcPr/>
          <w:p>
            <w:pPr>
              <w:pStyle w:val="Compact"/>
              <w:jc w:val="left"/>
            </w:pPr>
            <w:r>
              <w:t xml:space="preserve">Domestic pressure + bankruptcy immunity</w:t>
            </w:r>
          </w:p>
        </w:tc>
        <w:tc>
          <w:tcPr/>
          <w:p>
            <w:pPr>
              <w:pStyle w:val="Compact"/>
              <w:jc w:val="left"/>
            </w:pPr>
            <w:r>
              <w:t xml:space="preserve">Fast title + cross-border</w:t>
            </w:r>
          </w:p>
        </w:tc>
        <w:tc>
          <w:tcPr/>
          <w:p>
            <w:pPr>
              <w:pStyle w:val="Compact"/>
              <w:jc w:val="left"/>
            </w:pPr>
            <w:r>
              <w:rPr>
                <w:bCs/>
                <w:b/>
              </w:rPr>
              <w:t xml:space="preserve">Optimal</w:t>
            </w:r>
            <w:r>
              <w:t xml:space="preserve"> </w:t>
            </w:r>
            <w:r>
              <w:t xml:space="preserve">— EPU for cash, criminal for pressure</w:t>
            </w:r>
          </w:p>
        </w:tc>
      </w:tr>
    </w:tbl>
    <w:p>
      <w:pPr>
        <w:pStyle w:val="BodyText"/>
      </w:pPr>
      <w:r>
        <w:rPr>
          <w:bCs/>
          <w:b/>
        </w:rPr>
        <w:t xml:space="preserve">Analytical interpretation:</w:t>
      </w:r>
      <w:r>
        <w:t xml:space="preserve"> </w:t>
      </w:r>
      <w:r>
        <w:t xml:space="preserve">The combined route is unambiguously superior. The EPU provides the fastest path to a Brussels-I-enforceable title — critical for a Netherlands-resident debtor. The criminal complaint costs nothing and adds three irreplaceable elements: free asset freezing at the preparatory stage (potentially blocking dissipation before the EPU title even issues), the art. 244c KK sword hanging over Szklarski if he ignores payment, and the bankruptcy-immune art. 46 § 1 KK obligation as a permanent domestic backup. Art. 415 § 1 KPK blocks art. 46 KK compensation while the EPU is pending — but this is manageable: the EPU proceeds first, and the criminal obligation remains available indefinitely (no statute of limitations) [^81^] to cover any shortfall after the EPU concludes.</w:t>
      </w:r>
    </w:p>
    <w:p>
      <w:pPr>
        <w:pStyle w:val="BodyText"/>
      </w:pPr>
      <w:r>
        <w:t xml:space="preserve">The single most important takeaway:</w:t>
      </w:r>
      <w:r>
        <w:t xml:space="preserve"> </w:t>
      </w:r>
      <w:r>
        <w:rPr>
          <w:bCs/>
          <w:b/>
        </w:rPr>
        <w:t xml:space="preserve">separate leverage value from cash probability</w:t>
      </w:r>
      <w:r>
        <w:t xml:space="preserve">. The criminal route’s true worth is not the court-ordered compensation (which, at ~25% bailiff success and zero cross-border enforceability, will likely produce little direct cash). Its worth is in the pressure it generates — asset freezing that prevents dissipation, the threat of a criminal record that may drive pre-trial settlement, and the art. 244c KK nuclear option that turns non-payment into a second criminal offense. Used together, the criminal and civil routes produce a materially higher recovery probability than either alone — but the honest range remains 20–30% realistic cash recovery over 24–48 months, contingent on Szklarski having attachable assets somewhere in Poland or the Netherlands.</w:t>
      </w:r>
    </w:p>
    <w:p>
      <w:r>
        <w:pict>
          <v:rect style="width:0;height:1.5pt" o:hralign="center" o:hrstd="t" o:hr="t"/>
        </w:pict>
      </w:r>
    </w:p>
    <w:bookmarkEnd w:id="66"/>
    <w:bookmarkEnd w:id="67"/>
    <w:bookmarkStart w:id="86" w:name="X39ac3e1ff466118df1296fa45b4bbc3cb401624"/>
    <w:p>
      <w:pPr>
        <w:pStyle w:val="Heading2"/>
      </w:pPr>
      <w:r>
        <w:t xml:space="preserve">4. Honest Bottom Line: Will the 155k Come Back?</w:t>
      </w:r>
    </w:p>
    <w:p>
      <w:pPr>
        <w:pStyle w:val="FirstParagraph"/>
      </w:pPr>
      <w:r>
        <w:t xml:space="preserve">You have seen the machinery — the statutes, timelines, pressure points, and gaps. This chapter strips it all away and answers one question with the candour you are owed: what is the probability-weighted chance that the criminal complaint puts 155,000 PLN back in your account, and under what conditions does it deliver something else of value instead?</w:t>
      </w:r>
    </w:p>
    <w:p>
      <w:pPr>
        <w:pStyle w:val="BodyText"/>
      </w:pPr>
      <w:r>
        <w:t xml:space="preserve">The short answer is that the criminal route is not a recovery vehicle. It is a leverage generator. Cash, if any, will almost certainly come through settlement pressure in the pre-trial window or through enforcement against Polish assets that the prosecutor’s</w:t>
      </w:r>
      <w:r>
        <w:t xml:space="preserve"> </w:t>
      </w:r>
      <w:r>
        <w:rPr>
          <w:iCs/>
          <w:i/>
        </w:rPr>
        <w:t xml:space="preserve">zabezpieczenie majątkowe</w:t>
      </w:r>
      <w:r>
        <w:t xml:space="preserve"> </w:t>
      </w:r>
      <w:r>
        <w:t xml:space="preserve">(asset securing order, art. 291–295 KPK) freezes before they are dissipated. Waiting for a criminal judgment and bailiff execution against a Netherlands-resident debtor is a low-probability, multi-year path that ends more often in a paper title than in money.</w:t>
      </w:r>
    </w:p>
    <w:bookmarkStart w:id="71" w:name="cases-where-it-does-return-money"/>
    <w:p>
      <w:pPr>
        <w:pStyle w:val="Heading3"/>
      </w:pPr>
      <w:r>
        <w:t xml:space="preserve">4.1 Cases Where It Does Return Money</w:t>
      </w:r>
    </w:p>
    <w:p>
      <w:pPr>
        <w:pStyle w:val="FirstParagraph"/>
      </w:pPr>
      <w:r>
        <w:t xml:space="preserve">Three scenarios produce actual cash. All require the case to survive the prosecutor’s screening funnel — itself a minority outcome.</w:t>
      </w:r>
    </w:p>
    <w:bookmarkStart w:id="68" w:name="Xef08fe7ae26d78015e703cf2c071e6a70a503b3"/>
    <w:p>
      <w:pPr>
        <w:pStyle w:val="Heading4"/>
      </w:pPr>
      <w:r>
        <w:t xml:space="preserve">4.1.1 Scenario A: Debtor Settles Under Pre-Indictment Pressure (months 3–12): 10–15% probability, 50–80% recovery</w:t>
      </w:r>
    </w:p>
    <w:p>
      <w:pPr>
        <w:pStyle w:val="FirstParagraph"/>
      </w:pPr>
      <w:r>
        <w:t xml:space="preserve">The most realistic cash window is the pre-trial stage, while the accused remains a</w:t>
      </w:r>
      <w:r>
        <w:t xml:space="preserve"> </w:t>
      </w:r>
      <w:r>
        <w:rPr>
          <w:iCs/>
          <w:i/>
        </w:rPr>
        <w:t xml:space="preserve">podejrzany</w:t>
      </w:r>
      <w:r>
        <w:t xml:space="preserve"> </w:t>
      </w:r>
      <w:r>
        <w:t xml:space="preserve">(suspect) and has not yet been indicted. At this stage, the threat of indictment, the possibility of asset freezing, and the prospect of a permanent entry in the Krajowy Rejestr Karny (KRK — National Criminal Register) create concentrated settlement pressure. Practitioner sources confirm that many debtors voluntarily repay to avoid criminal proceedings altogether [^385^]. The debtor knows that once an</w:t>
      </w:r>
      <w:r>
        <w:t xml:space="preserve"> </w:t>
      </w:r>
      <w:r>
        <w:rPr>
          <w:iCs/>
          <w:i/>
        </w:rPr>
        <w:t xml:space="preserve">akt oskarżenia</w:t>
      </w:r>
      <w:r>
        <w:t xml:space="preserve"> </w:t>
      </w:r>
      <w:r>
        <w:t xml:space="preserve">(indictment) is filed, the conviction rate exceeds 87% [^255^], and art. 286 § 1 KK carries 6 months to 8 years — making conditional discontinuation (art. 66 KK) unavailable because the statutory maximum exceeds the 5-year threshold.</w:t>
      </w:r>
    </w:p>
    <w:p>
      <w:pPr>
        <w:pStyle w:val="BodyText"/>
      </w:pPr>
      <w:r>
        <w:t xml:space="preserve">The 10–15% probability is capped because three independent conditions must align: (1) the prosecutor opens an investigation rather than issuing an</w:t>
      </w:r>
      <w:r>
        <w:t xml:space="preserve"> </w:t>
      </w:r>
      <w:r>
        <w:rPr>
          <w:iCs/>
          <w:i/>
        </w:rPr>
        <w:t xml:space="preserve">odmowa wszczęcia</w:t>
      </w:r>
      <w:r>
        <w:t xml:space="preserve"> </w:t>
      </w:r>
      <w:r>
        <w:t xml:space="preserve">(refusal to commence), (2) the accused has liquid assets available for settlement, and (3) the accused responds to pressure rather than ignoring proceedings from the Netherlands. Conditional on surviving screening, the settlement probability rises to roughly 20–30%, but screening is the binding constraint.</w:t>
      </w:r>
    </w:p>
    <w:bookmarkEnd w:id="68"/>
    <w:bookmarkStart w:id="69" w:name="X12d07b462d902d45e59a28aa6ddd5a97709dfda"/>
    <w:p>
      <w:pPr>
        <w:pStyle w:val="Heading4"/>
      </w:pPr>
      <w:r>
        <w:t xml:space="preserve">4.1.2 Scenario B: art. 46 KK + Successful Enforcement Against Polish Assets: 15–20% probability, 0–100% depending on assets</w:t>
      </w:r>
    </w:p>
    <w:p>
      <w:pPr>
        <w:pStyle w:val="FirstParagraph"/>
      </w:pPr>
      <w:r>
        <w:t xml:space="preserve">If the case proceeds to conviction and you file a timely motion under art. 49a KPK (no later than the closing of the main trial) [^31^], the court is obligated to order compensation under art. 46 § 1 KK, provided the same civil claim is not simultaneously pending [^17^]. This title survives the debtor’s bankruptcy under art. 491²¹ § 2</w:t>
      </w:r>
      <w:r>
        <w:t xml:space="preserve"> </w:t>
      </w:r>
      <w:r>
        <w:rPr>
          <w:iCs/>
          <w:i/>
        </w:rPr>
        <w:t xml:space="preserve">Prawa upadłościowego</w:t>
      </w:r>
      <w:r>
        <w:t xml:space="preserve"> </w:t>
      </w:r>
      <w:r>
        <w:t xml:space="preserve">(Bankruptcy Law) [^84^] and carries higher priority in bailiff execution than civil judgments [^145^].</w:t>
      </w:r>
    </w:p>
    <w:p>
      <w:pPr>
        <w:pStyle w:val="BodyText"/>
      </w:pPr>
      <w:r>
        <w:t xml:space="preserve">The 15–20% figure combines: (a) the probability the case survives screening and investigation (~50%), (b) the probability it reaches conviction given indictment (~87%), and (c) the probability the accused retains attachable Polish assets after 24–48 months of proceedings. The outcome is binary — if Polish assets exist, the 25% national bailiff success rate [^397^] applies; if none exist, recovery is zero regardless of judgment strength. The 15–20% overall probability already incorporates the likelihood that a Netherlands resident has relocated or concealed Polish assets during the protracted timeline.</w:t>
      </w:r>
    </w:p>
    <w:bookmarkEnd w:id="69"/>
    <w:bookmarkStart w:id="70" w:name="Xcec216b80169eb991d7800db3b63eb9b796fa8a"/>
    <w:p>
      <w:pPr>
        <w:pStyle w:val="Heading4"/>
      </w:pPr>
      <w:r>
        <w:t xml:space="preserve">4.1.3 Scenario C: art. 46 KK + Cross-Border Enforcement (if Brussels I argument succeeds): 2–5% probability</w:t>
      </w:r>
    </w:p>
    <w:p>
      <w:pPr>
        <w:pStyle w:val="FirstParagraph"/>
      </w:pPr>
      <w:r>
        <w:t xml:space="preserve">Since the 2015 amendment gave art. 46 § 1 KK</w:t>
      </w:r>
      <w:r>
        <w:t xml:space="preserve"> </w:t>
      </w:r>
      <w:r>
        <w:t xml:space="preserve">“</w:t>
      </w:r>
      <w:r>
        <w:t xml:space="preserve">civil law character,</w:t>
      </w:r>
      <w:r>
        <w:t xml:space="preserve">”</w:t>
      </w:r>
      <w:r>
        <w:t xml:space="preserve"> </w:t>
      </w:r>
      <w:r>
        <w:t xml:space="preserve">a theoretical argument exists that the obligation could be enforced in the Netherlands under Brussels I Recast (Regulation 1215/2012) [^160^]. The prevailing view, however, is that Brussels I explicitly excludes criminal judgments [^190^], and no CJEU precedent has extended it to criminal compensation orders. The 2–5% probability reflects low legal confidence in this argument combined with the practical barriers of identifying Dutch assets. Your EPU civil judgment is the superior cross-border tool; the criminal compensation order should be treated as a domestic-only instrument.</w:t>
      </w:r>
    </w:p>
    <w:bookmarkEnd w:id="70"/>
    <w:bookmarkEnd w:id="71"/>
    <w:bookmarkStart w:id="76" w:name="X62e5662db113d7ce64332ff34963c577ca3fe00"/>
    <w:p>
      <w:pPr>
        <w:pStyle w:val="Heading3"/>
      </w:pPr>
      <w:r>
        <w:t xml:space="preserve">4.2 Cases Where It Returns Nothing in Cash but Delivers Strategic Value</w:t>
      </w:r>
    </w:p>
    <w:p>
      <w:pPr>
        <w:pStyle w:val="FirstParagraph"/>
      </w:pPr>
      <w:r>
        <w:t xml:space="preserve">In approximately 20–30% of scenarios where the case proceeds past screening, the criminal route delivers no cash but provides tools that increase the value of your parallel civil track or constrain the debtor’s behaviour.</w:t>
      </w:r>
    </w:p>
    <w:bookmarkStart w:id="72" w:name="X8cedd33c40c5763f9d1b8aa76ec8e4ea495ba4c"/>
    <w:p>
      <w:pPr>
        <w:pStyle w:val="Heading4"/>
      </w:pPr>
      <w:r>
        <w:t xml:space="preserve">4.2.1 Asset freeze preventing dissipation: immediate effect upon</w:t>
      </w:r>
      <w:r>
        <w:t xml:space="preserve"> </w:t>
      </w:r>
      <w:r>
        <w:rPr>
          <w:iCs/>
          <w:i/>
        </w:rPr>
        <w:t xml:space="preserve">zabezpieczenie majątkowe</w:t>
      </w:r>
    </w:p>
    <w:p>
      <w:pPr>
        <w:pStyle w:val="FirstParagraph"/>
      </w:pPr>
      <w:r>
        <w:rPr>
          <w:iCs/>
          <w:i/>
        </w:rPr>
        <w:t xml:space="preserve">Zabezpieczenie majątkowe</w:t>
      </w:r>
      <w:r>
        <w:t xml:space="preserve"> </w:t>
      </w:r>
      <w:r>
        <w:t xml:space="preserve">under art. 291–295 KPK is the single most powerful practical advantage the criminal route offers. It costs nothing, requires no bond, and can be applied by the prosecutor ex officio once the accused attains</w:t>
      </w:r>
      <w:r>
        <w:t xml:space="preserve"> </w:t>
      </w:r>
      <w:r>
        <w:rPr>
          <w:iCs/>
          <w:i/>
        </w:rPr>
        <w:t xml:space="preserve">podejrzany</w:t>
      </w:r>
      <w:r>
        <w:t xml:space="preserve"> </w:t>
      </w:r>
      <w:r>
        <w:t xml:space="preserve">status. Bank accounts can be frozen, real estate encumbered, and movable assets seized immediately. Even if the case is later discontinued, the securing order remains valid for the duration of proceedings. For a debtor contemplating asset relocation to the Netherlands, this is the only tool that acts faster than dissipation.</w:t>
      </w:r>
    </w:p>
    <w:bookmarkEnd w:id="72"/>
    <w:bookmarkStart w:id="73" w:name="X9fc2281903b2c185ddd6a42e3ce9317af3ebb97"/>
    <w:p>
      <w:pPr>
        <w:pStyle w:val="Heading4"/>
      </w:pPr>
      <w:r>
        <w:t xml:space="preserve">4.2.2 Criminal conviction = permanent KRK record, business ban (art. 41 § 2 KK), CEIDG deregistration</w:t>
      </w:r>
    </w:p>
    <w:p>
      <w:pPr>
        <w:pStyle w:val="FirstParagraph"/>
      </w:pPr>
      <w:r>
        <w:t xml:space="preserve">A fraud conviction produces consequences that outlast the sentence. The convicted person receives a permanent KRK entry, visible to any employer or bank conducting background checks. The court may impose a</w:t>
      </w:r>
      <w:r>
        <w:t xml:space="preserve"> </w:t>
      </w:r>
      <w:r>
        <w:rPr>
          <w:iCs/>
          <w:i/>
        </w:rPr>
        <w:t xml:space="preserve">zakaz prowadzenia działalności gospodarczej</w:t>
      </w:r>
      <w:r>
        <w:t xml:space="preserve"> </w:t>
      </w:r>
      <w:r>
        <w:t xml:space="preserve">(business ban) under art. 41 § 2 KK for 1 to 10 years [^23^]. For a JDG owner, this threatens the structural inability to operate in Poland and can trigger CEIDG deregistration. These consequences have no direct cash value to you, but they raise the cost to the debtor of non-payment — feeding back into the settlement leverage in Scenario A.</w:t>
      </w:r>
    </w:p>
    <w:bookmarkEnd w:id="73"/>
    <w:bookmarkStart w:id="74" w:name="X7921831568a4f7e2ca7a4f20ab7e557d5a63a5f"/>
    <w:p>
      <w:pPr>
        <w:pStyle w:val="Heading4"/>
      </w:pPr>
      <w:r>
        <w:t xml:space="preserve">4.2.3 Fact-establishment:</w:t>
      </w:r>
      <w:r>
        <w:t xml:space="preserve"> </w:t>
      </w:r>
      <w:r>
        <w:rPr>
          <w:iCs/>
          <w:i/>
        </w:rPr>
        <w:t xml:space="preserve">wyrok karny</w:t>
      </w:r>
      <w:r>
        <w:t xml:space="preserve"> </w:t>
      </w:r>
      <w:r>
        <w:t xml:space="preserve">has binding effect in subsequent civil proceedings</w:t>
      </w:r>
    </w:p>
    <w:p>
      <w:pPr>
        <w:pStyle w:val="FirstParagraph"/>
      </w:pPr>
      <w:r>
        <w:t xml:space="preserve">A final criminal judgment establishing that the accused committed fraud has binding effect (</w:t>
      </w:r>
      <w:r>
        <w:rPr>
          <w:iCs/>
          <w:i/>
        </w:rPr>
        <w:t xml:space="preserve">moc wiążąca</w:t>
      </w:r>
      <w:r>
        <w:t xml:space="preserve">) in subsequent civil proceedings. The factual findings — the existence of the fraud, the amount of damage, the causal link — are not re-litigable. This dramatically simplifies civil enforcement in the Netherlands or Poland and eliminates the debtor’s ability to dispute liability in the civil forum.</w:t>
      </w:r>
    </w:p>
    <w:bookmarkEnd w:id="74"/>
    <w:bookmarkStart w:id="75" w:name="X745e7494d6df767533de31d9d52fb1a0a5e16a1"/>
    <w:p>
      <w:pPr>
        <w:pStyle w:val="Heading4"/>
      </w:pPr>
      <w:r>
        <w:t xml:space="preserve">4.2.4 art. 244c KK</w:t>
      </w:r>
      <w:r>
        <w:t xml:space="preserve"> </w:t>
      </w:r>
      <w:r>
        <w:t xml:space="preserve">“</w:t>
      </w:r>
      <w:r>
        <w:t xml:space="preserve">nuclear option</w:t>
      </w:r>
      <w:r>
        <w:t xml:space="preserve">”</w:t>
      </w:r>
      <w:r>
        <w:t xml:space="preserve">: secondary criminal complaint if debtor evades payment</w:t>
      </w:r>
    </w:p>
    <w:p>
      <w:pPr>
        <w:pStyle w:val="FirstParagraph"/>
      </w:pPr>
      <w:r>
        <w:t xml:space="preserve">Since October 2023, art. 244c KK criminalises evasion of a court-ordered compensatory measure. Once an art. 46 KK obligation is ordered and the debtor has objective ability to pay but consciously refuses, you may file a secondary criminal complaint carrying 3 months to 5 years imprisonment. The debtor avoids liability entirely by paying within 30 days of the first suspect interrogation. This creates a</w:t>
      </w:r>
      <w:r>
        <w:t xml:space="preserve"> </w:t>
      </w:r>
      <w:r>
        <w:t xml:space="preserve">“</w:t>
      </w:r>
      <w:r>
        <w:t xml:space="preserve">second strike</w:t>
      </w:r>
      <w:r>
        <w:t xml:space="preserve">”</w:t>
      </w:r>
      <w:r>
        <w:t xml:space="preserve"> </w:t>
      </w:r>
      <w:r>
        <w:t xml:space="preserve">capability that strengthens the settlement calculus at every preceding stage.</w:t>
      </w:r>
    </w:p>
    <w:bookmarkEnd w:id="75"/>
    <w:bookmarkEnd w:id="76"/>
    <w:bookmarkStart w:id="80" w:name="cases-where-it-is-a-pure-dead-end"/>
    <w:p>
      <w:pPr>
        <w:pStyle w:val="Heading3"/>
      </w:pPr>
      <w:r>
        <w:t xml:space="preserve">4.3 Cases Where It Is a Pure Dead End</w:t>
      </w:r>
    </w:p>
    <w:bookmarkStart w:id="77" w:name="Xfb45fdd5ad31b241b164e922d788dfa82a988b9"/>
    <w:p>
      <w:pPr>
        <w:pStyle w:val="Heading4"/>
      </w:pPr>
      <w:r>
        <w:t xml:space="preserve">4.3.1</w:t>
      </w:r>
      <w:r>
        <w:t xml:space="preserve"> </w:t>
      </w:r>
      <w:r>
        <w:rPr>
          <w:iCs/>
          <w:i/>
        </w:rPr>
        <w:t xml:space="preserve">Odmowa wszczęcia</w:t>
      </w:r>
      <w:r>
        <w:t xml:space="preserve"> </w:t>
      </w:r>
      <w:r>
        <w:t xml:space="preserve">at screening: 40–50% probability for this fact pattern</w:t>
      </w:r>
    </w:p>
    <w:p>
      <w:pPr>
        <w:pStyle w:val="FirstParagraph"/>
      </w:pPr>
      <w:r>
        <w:t xml:space="preserve">The most likely outcome is that the prosecutor refuses to open an investigation. The most common basis for discontinuation is that</w:t>
      </w:r>
      <w:r>
        <w:t xml:space="preserve"> </w:t>
      </w:r>
      <w:r>
        <w:t xml:space="preserve">“</w:t>
      </w:r>
      <w:r>
        <w:t xml:space="preserve">the act does not bear the hallmarks of a crime</w:t>
      </w:r>
      <w:r>
        <w:t xml:space="preserve">”</w:t>
      </w:r>
      <w:r>
        <w:t xml:space="preserve"> </w:t>
      </w:r>
      <w:r>
        <w:t xml:space="preserve">(</w:t>
      </w:r>
      <w:r>
        <w:rPr>
          <w:iCs/>
          <w:i/>
        </w:rPr>
        <w:t xml:space="preserve">czyn nie nosi znamion przestępstwa</w:t>
      </w:r>
      <w:r>
        <w:t xml:space="preserve">), accounting for approximately 34% of all discontinuations [^255^]. An additional 29% end because the perpetrator cannot be identified [^255^] [^328^]. For your fact pattern — single foreign victim, Netherlands-resident accused, sub-200,000 PLN amount — screening risk is elevated. The 40–50% range reflects the combined risk that the prosecutor classifies the matter as a civil dispute or defers indefinitely pending evidence that never arrives.</w:t>
      </w:r>
    </w:p>
    <w:bookmarkEnd w:id="77"/>
    <w:bookmarkStart w:id="78" w:name="umorzenie-during-investigation"/>
    <w:p>
      <w:pPr>
        <w:pStyle w:val="Heading4"/>
      </w:pPr>
      <w:r>
        <w:t xml:space="preserve">4.3.2</w:t>
      </w:r>
      <w:r>
        <w:t xml:space="preserve"> </w:t>
      </w:r>
      <w:r>
        <w:rPr>
          <w:iCs/>
          <w:i/>
        </w:rPr>
        <w:t xml:space="preserve">Umorzenie</w:t>
      </w:r>
      <w:r>
        <w:t xml:space="preserve"> </w:t>
      </w:r>
      <w:r>
        <w:t xml:space="preserve">during investigation</w:t>
      </w:r>
    </w:p>
    <w:p>
      <w:pPr>
        <w:pStyle w:val="FirstParagraph"/>
      </w:pPr>
      <w:r>
        <w:t xml:space="preserve">If the case survives screening, the investigation presents further attrition. The accused resides in the Netherlands, complicating service of documents, witness interrogation, and evidence gathering. International letters rogatory add 6–12 months. If the accused refuses to cooperate and Polish authorities cannot establish his whereabouts, the prosecutor may discontinue under art. 17 § 1 KPK for insufficient evidence or because</w:t>
      </w:r>
      <w:r>
        <w:t xml:space="preserve"> </w:t>
      </w:r>
      <w:r>
        <w:t xml:space="preserve">“</w:t>
      </w:r>
      <w:r>
        <w:t xml:space="preserve">the social harmfulness of the act is negligible.</w:t>
      </w:r>
      <w:r>
        <w:t xml:space="preserve">”</w:t>
      </w:r>
      <w:r>
        <w:t xml:space="preserve"> </w:t>
      </w:r>
      <w:r>
        <w:t xml:space="preserve">For a 155,000 PLN fraud with no violent component and a single victim, the</w:t>
      </w:r>
      <w:r>
        <w:t xml:space="preserve"> </w:t>
      </w:r>
      <w:r>
        <w:t xml:space="preserve">“</w:t>
      </w:r>
      <w:r>
        <w:t xml:space="preserve">negligible harmfulness</w:t>
      </w:r>
      <w:r>
        <w:t xml:space="preserve">”</w:t>
      </w:r>
      <w:r>
        <w:t xml:space="preserve"> </w:t>
      </w:r>
      <w:r>
        <w:t xml:space="preserve">argument is available and may be accepted by a prosecutor managing a heavy caseload.</w:t>
      </w:r>
    </w:p>
    <w:bookmarkEnd w:id="78"/>
    <w:bookmarkStart w:id="79" w:name="X77db572008fafc6f9e101bd99d0124c8cc3ae3d"/>
    <w:p>
      <w:pPr>
        <w:pStyle w:val="Heading4"/>
      </w:pPr>
      <w:r>
        <w:t xml:space="preserve">4.3.3 Conviction but debtor has no attachable assets: bailiff discontinues after 12–24 months</w:t>
      </w:r>
    </w:p>
    <w:p>
      <w:pPr>
        <w:pStyle w:val="FirstParagraph"/>
      </w:pPr>
      <w:r>
        <w:t xml:space="preserve">This is the cruelest dead end: conviction, art. 46 KK order, and the bailiff finds nothing. The national bailiff success rate is approximately 25% [^397^] [^159^], meaning 75% of enforcement proceedings yield no recovery. In monetary terms, bailiffs recover roughly 12% of total amounts requested [^163^], with some district offices reporting effectiveness as low as 3–6% [^159^]. If Szklarski has relocated assets to the Netherlands, the bailiff discontinues under art. 824 § 1(3) KPC after 12–24 months [^212^]. The title remains valid indefinitely — art. 46 KK obligations do not expire [^17^] — but a title without assets is a piece of paper.</w:t>
      </w:r>
    </w:p>
    <w:bookmarkEnd w:id="79"/>
    <w:bookmarkEnd w:id="80"/>
    <w:bookmarkStart w:id="84" w:name="the-brutal-statistics"/>
    <w:p>
      <w:pPr>
        <w:pStyle w:val="Heading3"/>
      </w:pPr>
      <w:r>
        <w:t xml:space="preserve">4.4 The Brutal Statistics</w:t>
      </w:r>
    </w:p>
    <w:bookmarkStart w:id="81" w:name="X3f29f981a6ad861dcc353a64bd04627c1bd372a"/>
    <w:p>
      <w:pPr>
        <w:pStyle w:val="Heading4"/>
      </w:pPr>
      <w:r>
        <w:t xml:space="preserve">4.4.1 NIK: only 2% of fraud/cybercrime cases see perpetrator caught OR money recovered</w:t>
      </w:r>
    </w:p>
    <w:p>
      <w:pPr>
        <w:pStyle w:val="FirstParagraph"/>
      </w:pPr>
      <w:r>
        <w:t xml:space="preserve">The Najwyższa Izba Kontroli (NIK — Supreme Audit Office) surveyed 404 cybercrime victims and found that only 2% resulted in perpetrator detection/conviction OR money recovery [^442^] [^372^]. The report states:</w:t>
      </w:r>
      <w:r>
        <w:t xml:space="preserve"> </w:t>
      </w:r>
      <w:r>
        <w:t xml:space="preserve">“</w:t>
      </w:r>
      <w:r>
        <w:t xml:space="preserve">85% of cyberattacks reported by respondents were not resolved, ending in discontinuation of proceedings or loss of financial resources and data</w:t>
      </w:r>
      <w:r>
        <w:t xml:space="preserve">”</w:t>
      </w:r>
      <w:r>
        <w:t xml:space="preserve"> </w:t>
      </w:r>
      <w:r>
        <w:t xml:space="preserve">[^372^]. This 2% represents</w:t>
      </w:r>
      <w:r>
        <w:t xml:space="preserve"> </w:t>
      </w:r>
      <w:r>
        <w:rPr>
          <w:iCs/>
          <w:i/>
        </w:rPr>
        <w:t xml:space="preserve">any positive outcome</w:t>
      </w:r>
      <w:r>
        <w:t xml:space="preserve"> </w:t>
      </w:r>
      <w:r>
        <w:t xml:space="preserve">— cash recovery is a subset of this already tiny figure. You are not in a 50/50 situation. You are in a 2-in-100 situation.</w:t>
      </w:r>
    </w:p>
    <w:bookmarkEnd w:id="81"/>
    <w:bookmarkStart w:id="82" w:name="Xae251e54eebfdd4ae9a48e38993836e74be5b7a"/>
    <w:p>
      <w:pPr>
        <w:pStyle w:val="Heading4"/>
      </w:pPr>
      <w:r>
        <w:t xml:space="preserve">4.4.2 75% of bailiff executions yield no recovery (nationally)</w:t>
      </w:r>
    </w:p>
    <w:p>
      <w:pPr>
        <w:pStyle w:val="FirstParagraph"/>
      </w:pPr>
      <w:r>
        <w:t xml:space="preserve">Even with the strongest outcome — a criminal conviction with art. 46 KK for the full 155,000 PLN — the path from judgment to cash runs through a bailiff system where three in four cases fail. The Ministerstwo Sprawiedliwości reported 24.59% execution effectiveness in 2023; the Krajowa Rada Komornicza calculated 26.27% using a different methodology [^397^]. The convergence is clear: roughly one in four. For fraud cases, where perpetrators have strong incentives to conceal assets, the effective rate is almost certainly below the national average.</w:t>
      </w:r>
    </w:p>
    <w:bookmarkEnd w:id="82"/>
    <w:bookmarkStart w:id="83" w:name="X62760b66aa345929dd319d5184d0a63955b019d"/>
    <w:p>
      <w:pPr>
        <w:pStyle w:val="Heading4"/>
      </w:pPr>
      <w:r>
        <w:t xml:space="preserve">4.4.3 83% of criminal cases: courts award NO compensatory measure to victim</w:t>
      </w:r>
    </w:p>
    <w:p>
      <w:pPr>
        <w:pStyle w:val="FirstParagraph"/>
      </w:pPr>
      <w:r>
        <w:t xml:space="preserve">Państwowa Komisja ds. Dzieci (PKDP) research found that in 83% of examined criminal cases, courts awarded no compensatory measure to the victim [^359^]. Only 8% of cases saw any compensatory award at all. While this research focuses on child victim cases, the structural pattern applies broadly: Polish criminal courts systematically prioritise punishment over victim compensation. The system is designed to determine guilt and impose sentence, not to make victims whole.</w:t>
      </w:r>
    </w:p>
    <w:p>
      <w:r>
        <w:pict>
          <v:rect style="width:0;height:1.5pt" o:hralign="center" o:hrstd="t" o:hr="t"/>
        </w:pict>
      </w:r>
    </w:p>
    <w:bookmarkEnd w:id="83"/>
    <w:bookmarkEnd w:id="84"/>
    <w:bookmarkStart w:id="85" w:name="probability-weighted-scenario-table"/>
    <w:p>
      <w:pPr>
        <w:pStyle w:val="Heading3"/>
      </w:pPr>
      <w:r>
        <w:t xml:space="preserve">Probability-Weighted Scenario Table</w:t>
      </w:r>
    </w:p>
    <w:p>
      <w:pPr>
        <w:pStyle w:val="FirstParagraph"/>
      </w:pPr>
      <w:r>
        <w:t xml:space="preserve">The table below consolidates all pathways from criminal complaint to cash. Probabilities are conditional on your case facts: single foreign victim, 155,000 PLN, Netherlands-resident JDG owner, EPU civil claim already pending.</w:t>
      </w:r>
    </w:p>
    <w:tbl>
      <w:tblPr>
        <w:tblStyle w:val="Table"/>
        <w:tblW w:type="pct" w:w="5000"/>
        <w:tblLook w:firstRow="1" w:lastRow="0" w:firstColumn="0" w:lastColumn="0" w:noHBand="0" w:noVBand="0" w:val="0020"/>
      </w:tblPr>
      <w:tblGrid>
        <w:gridCol w:w="1218"/>
        <w:gridCol w:w="1584"/>
        <w:gridCol w:w="1949"/>
        <w:gridCol w:w="1949"/>
        <w:gridCol w:w="1218"/>
      </w:tblGrid>
      <w:tr>
        <w:trPr>
          <w:tblHeader w:val="true"/>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Recovery Range</w:t>
            </w:r>
          </w:p>
        </w:tc>
        <w:tc>
          <w:tcPr/>
          <w:p>
            <w:pPr>
              <w:pStyle w:val="Compact"/>
              <w:jc w:val="left"/>
            </w:pPr>
            <w:r>
              <w:t xml:space="preserve">Expected Value</w:t>
            </w:r>
          </w:p>
        </w:tc>
        <w:tc>
          <w:tcPr/>
          <w:p>
            <w:pPr>
              <w:pStyle w:val="Compact"/>
              <w:jc w:val="left"/>
            </w:pPr>
            <w:r>
              <w:t xml:space="preserve">Timeline</w:t>
            </w:r>
          </w:p>
        </w:tc>
      </w:tr>
      <w:tr>
        <w:tc>
          <w:tcPr/>
          <w:p>
            <w:pPr>
              <w:pStyle w:val="Compact"/>
              <w:jc w:val="left"/>
            </w:pPr>
            <w:r>
              <w:t xml:space="preserve">A. Pre-indictment settlement under pressure</w:t>
            </w:r>
          </w:p>
        </w:tc>
        <w:tc>
          <w:tcPr/>
          <w:p>
            <w:pPr>
              <w:pStyle w:val="Compact"/>
              <w:jc w:val="left"/>
            </w:pPr>
            <w:r>
              <w:t xml:space="preserve">10–15%</w:t>
            </w:r>
          </w:p>
        </w:tc>
        <w:tc>
          <w:tcPr/>
          <w:p>
            <w:pPr>
              <w:pStyle w:val="Compact"/>
              <w:jc w:val="left"/>
            </w:pPr>
            <w:r>
              <w:t xml:space="preserve">77,500–124,000 PLN (50–80%)</w:t>
            </w:r>
          </w:p>
        </w:tc>
        <w:tc>
          <w:tcPr/>
          <w:p>
            <w:pPr>
              <w:pStyle w:val="Compact"/>
              <w:jc w:val="left"/>
            </w:pPr>
            <w:r>
              <w:t xml:space="preserve">7,750–18,600 PLN</w:t>
            </w:r>
          </w:p>
        </w:tc>
        <w:tc>
          <w:tcPr/>
          <w:p>
            <w:pPr>
              <w:pStyle w:val="Compact"/>
              <w:jc w:val="left"/>
            </w:pPr>
            <w:r>
              <w:t xml:space="preserve">3–12 months</w:t>
            </w:r>
          </w:p>
        </w:tc>
      </w:tr>
      <w:tr>
        <w:tc>
          <w:tcPr/>
          <w:p>
            <w:pPr>
              <w:pStyle w:val="Compact"/>
              <w:jc w:val="left"/>
            </w:pPr>
            <w:r>
              <w:t xml:space="preserve">B. art. 46 KK + enforcement against Polish assets</w:t>
            </w:r>
          </w:p>
        </w:tc>
        <w:tc>
          <w:tcPr/>
          <w:p>
            <w:pPr>
              <w:pStyle w:val="Compact"/>
              <w:jc w:val="left"/>
            </w:pPr>
            <w:r>
              <w:t xml:space="preserve">15–20%</w:t>
            </w:r>
          </w:p>
        </w:tc>
        <w:tc>
          <w:tcPr/>
          <w:p>
            <w:pPr>
              <w:pStyle w:val="Compact"/>
              <w:jc w:val="left"/>
            </w:pPr>
            <w:r>
              <w:t xml:space="preserve">0–155,000 PLN (binary on assets)</w:t>
            </w:r>
          </w:p>
        </w:tc>
        <w:tc>
          <w:tcPr/>
          <w:p>
            <w:pPr>
              <w:pStyle w:val="Compact"/>
              <w:jc w:val="left"/>
            </w:pPr>
            <w:r>
              <w:t xml:space="preserve">5,800–31,000 PLN</w:t>
            </w:r>
          </w:p>
        </w:tc>
        <w:tc>
          <w:tcPr/>
          <w:p>
            <w:pPr>
              <w:pStyle w:val="Compact"/>
              <w:jc w:val="left"/>
            </w:pPr>
            <w:r>
              <w:t xml:space="preserve">24–48 months</w:t>
            </w:r>
          </w:p>
        </w:tc>
      </w:tr>
      <w:tr>
        <w:tc>
          <w:tcPr/>
          <w:p>
            <w:pPr>
              <w:pStyle w:val="Compact"/>
              <w:jc w:val="left"/>
            </w:pPr>
            <w:r>
              <w:t xml:space="preserve">C. art. 46 KK + cross-border enforcement (NL)</w:t>
            </w:r>
          </w:p>
        </w:tc>
        <w:tc>
          <w:tcPr/>
          <w:p>
            <w:pPr>
              <w:pStyle w:val="Compact"/>
              <w:jc w:val="left"/>
            </w:pPr>
            <w:r>
              <w:t xml:space="preserve">2–5%</w:t>
            </w:r>
          </w:p>
        </w:tc>
        <w:tc>
          <w:tcPr/>
          <w:p>
            <w:pPr>
              <w:pStyle w:val="Compact"/>
              <w:jc w:val="left"/>
            </w:pPr>
            <w:r>
              <w:t xml:space="preserve">0–77,500 PLN</w:t>
            </w:r>
          </w:p>
        </w:tc>
        <w:tc>
          <w:tcPr/>
          <w:p>
            <w:pPr>
              <w:pStyle w:val="Compact"/>
              <w:jc w:val="left"/>
            </w:pPr>
            <w:r>
              <w:t xml:space="preserve">0–3,875 PLN</w:t>
            </w:r>
          </w:p>
        </w:tc>
        <w:tc>
          <w:tcPr/>
          <w:p>
            <w:pPr>
              <w:pStyle w:val="Compact"/>
              <w:jc w:val="left"/>
            </w:pPr>
            <w:r>
              <w:t xml:space="preserve">36–60+ months</w:t>
            </w:r>
          </w:p>
        </w:tc>
      </w:tr>
      <w:tr>
        <w:tc>
          <w:tcPr/>
          <w:p>
            <w:pPr>
              <w:pStyle w:val="Compact"/>
              <w:jc w:val="left"/>
            </w:pPr>
            <w:r>
              <w:t xml:space="preserve">D. Strategic value only (freeze, record, fact-establishment, art. 244c)</w:t>
            </w:r>
          </w:p>
        </w:tc>
        <w:tc>
          <w:tcPr/>
          <w:p>
            <w:pPr>
              <w:pStyle w:val="Compact"/>
              <w:jc w:val="left"/>
            </w:pPr>
            <w:r>
              <w:t xml:space="preserve">20–30%</w:t>
            </w:r>
          </w:p>
        </w:tc>
        <w:tc>
          <w:tcPr/>
          <w:p>
            <w:pPr>
              <w:pStyle w:val="Compact"/>
              <w:jc w:val="left"/>
            </w:pPr>
            <w:r>
              <w:t xml:space="preserve">0 PLN cash</w:t>
            </w:r>
          </w:p>
        </w:tc>
        <w:tc>
          <w:tcPr/>
          <w:p>
            <w:pPr>
              <w:pStyle w:val="Compact"/>
              <w:jc w:val="left"/>
            </w:pPr>
            <w:r>
              <w:t xml:space="preserve">0 PLN</w:t>
            </w:r>
          </w:p>
        </w:tc>
        <w:tc>
          <w:tcPr/>
          <w:p>
            <w:pPr>
              <w:pStyle w:val="Compact"/>
              <w:jc w:val="left"/>
            </w:pPr>
            <w:r>
              <w:t xml:space="preserve">Variable</w:t>
            </w:r>
          </w:p>
        </w:tc>
      </w:tr>
      <w:tr>
        <w:tc>
          <w:tcPr/>
          <w:p>
            <w:pPr>
              <w:pStyle w:val="Compact"/>
              <w:jc w:val="left"/>
            </w:pPr>
            <w:r>
              <w:t xml:space="preserve">E.</w:t>
            </w:r>
            <w:r>
              <w:t xml:space="preserve"> </w:t>
            </w:r>
            <w:r>
              <w:rPr>
                <w:iCs/>
                <w:i/>
              </w:rPr>
              <w:t xml:space="preserve">Odmowa wszczęcia</w:t>
            </w:r>
            <w:r>
              <w:t xml:space="preserve"> </w:t>
            </w:r>
            <w:r>
              <w:t xml:space="preserve">/ screening rejection</w:t>
            </w:r>
          </w:p>
        </w:tc>
        <w:tc>
          <w:tcPr/>
          <w:p>
            <w:pPr>
              <w:pStyle w:val="Compact"/>
              <w:jc w:val="left"/>
            </w:pPr>
            <w:r>
              <w:t xml:space="preserve">40–50%</w:t>
            </w:r>
          </w:p>
        </w:tc>
        <w:tc>
          <w:tcPr/>
          <w:p>
            <w:pPr>
              <w:pStyle w:val="Compact"/>
              <w:jc w:val="left"/>
            </w:pPr>
            <w:r>
              <w:t xml:space="preserve">0 PLN</w:t>
            </w:r>
          </w:p>
        </w:tc>
        <w:tc>
          <w:tcPr/>
          <w:p>
            <w:pPr>
              <w:pStyle w:val="Compact"/>
              <w:jc w:val="left"/>
            </w:pPr>
            <w:r>
              <w:t xml:space="preserve">0 PLN</w:t>
            </w:r>
          </w:p>
        </w:tc>
        <w:tc>
          <w:tcPr/>
          <w:p>
            <w:pPr>
              <w:pStyle w:val="Compact"/>
              <w:jc w:val="left"/>
            </w:pPr>
            <w:r>
              <w:t xml:space="preserve">1–6 months</w:t>
            </w:r>
          </w:p>
        </w:tc>
      </w:tr>
      <w:tr>
        <w:tc>
          <w:tcPr/>
          <w:p>
            <w:pPr>
              <w:pStyle w:val="Compact"/>
              <w:jc w:val="left"/>
            </w:pPr>
            <w:r>
              <w:rPr>
                <w:bCs/>
                <w:b/>
              </w:rPr>
              <w:t xml:space="preserve">Weighted expected cash recovery (criminal route only)</w:t>
            </w:r>
          </w:p>
        </w:tc>
        <w:tc>
          <w:tcPr/>
          <w:p>
            <w:pPr>
              <w:pStyle w:val="Compact"/>
              <w:jc w:val="left"/>
            </w:pPr>
            <w:r>
              <w:rPr>
                <w:bCs/>
                <w:b/>
              </w:rPr>
              <w:t xml:space="preserve">100%</w:t>
            </w:r>
          </w:p>
        </w:tc>
        <w:tc>
          <w:tcPr/>
          <w:p>
            <w:pPr>
              <w:pStyle w:val="Compact"/>
              <w:jc w:val="left"/>
            </w:pPr>
            <w:r>
              <w:t xml:space="preserve">—</w:t>
            </w:r>
          </w:p>
        </w:tc>
        <w:tc>
          <w:tcPr/>
          <w:p>
            <w:pPr>
              <w:pStyle w:val="Compact"/>
              <w:jc w:val="left"/>
            </w:pPr>
            <w:r>
              <w:rPr>
                <w:bCs/>
                <w:b/>
              </w:rPr>
              <w:t xml:space="preserve">13,550–53,475 PLN</w:t>
            </w:r>
          </w:p>
        </w:tc>
        <w:tc>
          <w:tcPr/>
          <w:p>
            <w:pPr>
              <w:pStyle w:val="Compact"/>
              <w:jc w:val="left"/>
            </w:pPr>
            <w:r>
              <w:t xml:space="preserve">—</w:t>
            </w:r>
          </w:p>
        </w:tc>
      </w:tr>
      <w:tr>
        <w:tc>
          <w:tcPr/>
          <w:p>
            <w:pPr>
              <w:pStyle w:val="Compact"/>
              <w:jc w:val="left"/>
            </w:pPr>
            <w:r>
              <w:rPr>
                <w:bCs/>
                <w:b/>
              </w:rPr>
              <w:t xml:space="preserve">Realistic conservative estimate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13,550–20,000 PLN</w:t>
            </w:r>
          </w:p>
        </w:tc>
        <w:tc>
          <w:tcPr/>
          <w:p>
            <w:pPr>
              <w:pStyle w:val="Compact"/>
              <w:jc w:val="left"/>
            </w:pPr>
            <w:r>
              <w:t xml:space="preserve">—</w:t>
            </w:r>
          </w:p>
        </w:tc>
      </w:tr>
    </w:tbl>
    <w:p>
      <w:pPr>
        <w:pStyle w:val="BodyText"/>
      </w:pPr>
      <w:r>
        <w:rPr>
          <w:bCs/>
          <w:b/>
        </w:rPr>
        <w:t xml:space="preserve">Interpretation.</w:t>
      </w:r>
      <w:r>
        <w:t xml:space="preserve"> </w:t>
      </w:r>
      <w:r>
        <w:t xml:space="preserve">The weighted expected value ranges from approximately 13,550 PLN (conservative midpoints, Scenario B recovery at 25% of claim reflecting bailiff statistics) to 53,475 PLN (optimistic endpoints). The realistic conservative estimate sits at 13,550–20,000 PLN, representing 8.7–12.9% of the 155,000 PLN claim. This verdict concerns cash only. The asset freeze, binding factual findings, settlement pressure, and art. 244c KK second strike all deliver genuine strategic value that does not appear in the cash column. But as a standalone recovery mechanism, the criminal route will, on average, return less than one-eighth of your loss.</w:t>
      </w:r>
    </w:p>
    <w:p>
      <w:pPr>
        <w:pStyle w:val="BodyText"/>
      </w:pPr>
      <w:r>
        <w:t xml:space="preserve">The honesty you asked for is this: the criminal complaint is worth filing. It is free, it creates leverage, it may freeze assets, and it opens the art. 244c KK option. But if your primary question is</w:t>
      </w:r>
      <w:r>
        <w:t xml:space="preserve"> </w:t>
      </w:r>
      <w:r>
        <w:t xml:space="preserve">“</w:t>
      </w:r>
      <w:r>
        <w:t xml:space="preserve">will the 155,000 PLN come back through this route?</w:t>
      </w:r>
      <w:r>
        <w:t xml:space="preserve">”</w:t>
      </w:r>
      <w:r>
        <w:t xml:space="preserve">, the data-driven answer is: probably not in full, possibly not at all, and most likely in the range of zero to twenty thousand Polish złoty over a multi-year timeline. Treat it as a zero-cost option with strategic upside, not as a recovery plan.</w:t>
      </w:r>
    </w:p>
    <w:p>
      <w:r>
        <w:pict>
          <v:rect style="width:0;height:1.5pt" o:hralign="center" o:hrstd="t" o:hr="t"/>
        </w:pict>
      </w:r>
    </w:p>
    <w:bookmarkEnd w:id="85"/>
    <w:bookmarkEnd w:id="86"/>
    <w:bookmarkStart w:id="99" w:name="cost-benefit-running-it-yourself"/>
    <w:p>
      <w:pPr>
        <w:pStyle w:val="Heading2"/>
      </w:pPr>
      <w:r>
        <w:t xml:space="preserve">5. Cost-Benefit: Running It Yourself</w:t>
      </w:r>
    </w:p>
    <w:bookmarkStart w:id="91" w:name="what-it-costs-you"/>
    <w:p>
      <w:pPr>
        <w:pStyle w:val="Heading3"/>
      </w:pPr>
      <w:r>
        <w:t xml:space="preserve">5.1 What It Costs You</w:t>
      </w:r>
    </w:p>
    <w:bookmarkStart w:id="87" w:name="filing-the-complaint-free-art.-619-kpk"/>
    <w:p>
      <w:pPr>
        <w:pStyle w:val="Heading4"/>
      </w:pPr>
      <w:r>
        <w:t xml:space="preserve">5.1.1 Filing the complaint: FREE (art. 619 KPK)</w:t>
      </w:r>
    </w:p>
    <w:p>
      <w:pPr>
        <w:pStyle w:val="FirstParagraph"/>
      </w:pPr>
      <w:r>
        <w:t xml:space="preserve">Filing a criminal complaint (</w:t>
      </w:r>
      <w:r>
        <w:rPr>
          <w:iCs/>
          <w:i/>
        </w:rPr>
        <w:t xml:space="preserve">zawiadomienie o przestępstwie</w:t>
      </w:r>
      <w:r>
        <w:t xml:space="preserve">) in Poland costs the victim nothing. Art. 619 KPK places the entire financial burden of criminal proceedings on the State Treasury (</w:t>
      </w:r>
      <w:r>
        <w:rPr>
          <w:iCs/>
          <w:i/>
        </w:rPr>
        <w:t xml:space="preserve">Skarb Państwa</w:t>
      </w:r>
      <w:r>
        <w:t xml:space="preserve">) [^318^] [^325^]. There is no court filing fee, no police registration fee, and no investigation fee. The complaint can be filed at any police station, directly with the prosecutor, by mail, by email, through the ePUAP electronic platform, or via the online form at gov.pl [^373^] [^374^] [^375^]. The legal basis is art. 304 § 1 KPK, which imposes a social duty on anyone who learns of an offence prosecuted</w:t>
      </w:r>
      <w:r>
        <w:t xml:space="preserve"> </w:t>
      </w:r>
      <w:r>
        <w:rPr>
          <w:iCs/>
          <w:i/>
        </w:rPr>
        <w:t xml:space="preserve">ex officio</w:t>
      </w:r>
      <w:r>
        <w:t xml:space="preserve"> </w:t>
      </w:r>
      <w:r>
        <w:t xml:space="preserve">(</w:t>
      </w:r>
      <w:r>
        <w:rPr>
          <w:iCs/>
          <w:i/>
        </w:rPr>
        <w:t xml:space="preserve">ścigane z urzędu</w:t>
      </w:r>
      <w:r>
        <w:t xml:space="preserve">) to notify the authorities [^58^] [^341^]. Fraud under art. 286 § 1 KK falls squarely in this category. From a financial standpoint, the barrier to entry is zero.</w:t>
      </w:r>
    </w:p>
    <w:bookmarkEnd w:id="87"/>
    <w:bookmarkStart w:id="88" w:name="do-you-need-a-lawyer-no"/>
    <w:p>
      <w:pPr>
        <w:pStyle w:val="Heading4"/>
      </w:pPr>
      <w:r>
        <w:t xml:space="preserve">5.1.2 Do you need a lawyer? NO</w:t>
      </w:r>
    </w:p>
    <w:p>
      <w:pPr>
        <w:pStyle w:val="FirstParagraph"/>
      </w:pPr>
      <w:r>
        <w:t xml:space="preserve">A victim does not need a lawyer to file a criminal complaint. Multiple legal sources confirm that the victim need only describe the facts in their own words; the prosecution service handles all legal qualification [^318^] [^63^] [^323^]. The victim must describe the date, amount, method of fraud, evidence of deception, proof of transfer or payment, and any attempts to recover funds [^63^]. The police or prosecutor then assess whether the described conduct satisfies the elements of art. 286 KK. A lawyer adds value in monitoring the investigation, filing procedural motions, and acting as</w:t>
      </w:r>
      <w:r>
        <w:t xml:space="preserve"> </w:t>
      </w:r>
      <w:r>
        <w:rPr>
          <w:iCs/>
          <w:i/>
        </w:rPr>
        <w:t xml:space="preserve">oskarżyciel posiłkowy</w:t>
      </w:r>
      <w:r>
        <w:t xml:space="preserve"> </w:t>
      </w:r>
      <w:r>
        <w:t xml:space="preserve">(subsidiary prosecutor) at trial, but none of this is required. The victim can always engage counsel later if the prosecutor refuses to initiate proceedings or the case reaches trial.</w:t>
      </w:r>
    </w:p>
    <w:bookmarkEnd w:id="88"/>
    <w:bookmarkStart w:id="89" w:name="X49e7c3055dd48ae5baf5da2b79d2a3982b2b4cd"/>
    <w:p>
      <w:pPr>
        <w:pStyle w:val="Heading4"/>
      </w:pPr>
      <w:r>
        <w:t xml:space="preserve">5.1.3 Your time investment: ~5–15 days spread over 12–24 months</w:t>
      </w:r>
    </w:p>
    <w:p>
      <w:pPr>
        <w:pStyle w:val="FirstParagraph"/>
      </w:pPr>
      <w:r>
        <w:t xml:space="preserve">The victim’s active time commitment is modest. The breakdown is approximately: 2–4 hours to prepare and file the initial complaint; 1–2 days for initial testimony (</w:t>
      </w:r>
      <w:r>
        <w:rPr>
          <w:iCs/>
          <w:i/>
        </w:rPr>
        <w:t xml:space="preserve">przesłuchanie</w:t>
      </w:r>
      <w:r>
        <w:t xml:space="preserve">) when summoned; 0.5–1 day for any follow-up questioning; 1–2 hours to file a motion for art. 46 KK compensation; 1–3 days if trial testimony is required; and up to 1 day for any appeal testimony [^200^] [^23^]. The total spans roughly 5–15 days of actual work, spread over 8–24 months of calendar time. During the intervening periods, the victim waits passively while the prosecutor drives the investigation. This is a deliberately</w:t>
      </w:r>
      <w:r>
        <w:t xml:space="preserve"> </w:t>
      </w:r>
      <w:r>
        <w:rPr>
          <w:iCs/>
          <w:i/>
        </w:rPr>
        <w:t xml:space="preserve">responsive</w:t>
      </w:r>
      <w:r>
        <w:t xml:space="preserve"> </w:t>
      </w:r>
      <w:r>
        <w:t xml:space="preserve">role: the victim appears when summoned, tells the truth, and files the occasional written motion. There is no obligation to gather evidence, locate witnesses, or track the suspect’s assets [^316^] [^320^] [^321^].</w:t>
      </w:r>
    </w:p>
    <w:bookmarkEnd w:id="89"/>
    <w:bookmarkStart w:id="90" w:name="potential-costs-travel-and-translations"/>
    <w:p>
      <w:pPr>
        <w:pStyle w:val="Heading4"/>
      </w:pPr>
      <w:r>
        <w:t xml:space="preserve">5.1.4 Potential costs: travel and translations</w:t>
      </w:r>
    </w:p>
    <w:p>
      <w:pPr>
        <w:pStyle w:val="FirstParagraph"/>
      </w:pPr>
      <w:r>
        <w:t xml:space="preserve">For a foreign victim, two cost categories arise in theory and dissolve in practice. First, sworn translation: art. 72 § 1 KPK and EU Directive 2010/64/UE guarantee a free sworn translator at every stage of proceedings [^347^] [^351^] [^352^]. Second, travel: art. 618a–618e KPK entitle a summoned witness or victim to full reimbursement of travel costs, accommodation, and lost wages [^380^] [^381^]. Video testimony under art. 177 § 1a KPK further reduces the likelihood that travel is needed at all [^339^]. The only realistic out-of-pocket expense is the 300 PLN filing fee for a</w:t>
      </w:r>
      <w:r>
        <w:t xml:space="preserve"> </w:t>
      </w:r>
      <w:r>
        <w:rPr>
          <w:iCs/>
          <w:i/>
        </w:rPr>
        <w:t xml:space="preserve">subsydiarny akt oskarżenia</w:t>
      </w:r>
      <w:r>
        <w:t xml:space="preserve"> </w:t>
      </w:r>
      <w:r>
        <w:t xml:space="preserve">(subsidiary indictment), which applies only if the prosecutor refuses to prosecute</w:t>
      </w:r>
      <w:r>
        <w:t xml:space="preserve"> </w:t>
      </w:r>
      <w:r>
        <w:rPr>
          <w:iCs/>
          <w:i/>
        </w:rPr>
        <w:t xml:space="preserve">twice</w:t>
      </w:r>
      <w:r>
        <w:t xml:space="preserve"> </w:t>
      </w:r>
      <w:r>
        <w:t xml:space="preserve">and the victim takes over prosecution under art. 55 KPK [^389^]. For the self-managed route described here, the expected cost is effectively zero.</w:t>
      </w:r>
    </w:p>
    <w:bookmarkEnd w:id="90"/>
    <w:bookmarkEnd w:id="91"/>
    <w:bookmarkStart w:id="93" w:name="expected-value-calculation"/>
    <w:p>
      <w:pPr>
        <w:pStyle w:val="Heading3"/>
      </w:pPr>
      <w:r>
        <w:t xml:space="preserve">5.2 Expected Value Calculation</w:t>
      </w:r>
    </w:p>
    <w:p>
      <w:pPr>
        <w:pStyle w:val="FirstParagraph"/>
      </w:pPr>
      <w:r>
        <w:t xml:space="preserve">The expected value of filing a criminal complaint is the probability-weighted recovery minus the cost. Since the cost is approximately zero, the EV collapses to a simple multiplication: probability of recovery × amount claimed. The predecessor chapters established a cumulative cash recovery probability of 1.2–2.1% through the criminal route alone; when combined with the EPU civil track and strategic pressure effects, the effective recovery probability rises. The table below presents three scenarios.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Assumed recovery probability</w:t>
            </w:r>
          </w:p>
        </w:tc>
        <w:tc>
          <w:tcPr/>
          <w:p>
            <w:pPr>
              <w:pStyle w:val="Compact"/>
              <w:jc w:val="left"/>
            </w:pPr>
            <w:r>
              <w:t xml:space="preserve">Recovery amount</w:t>
            </w:r>
          </w:p>
        </w:tc>
        <w:tc>
          <w:tcPr/>
          <w:p>
            <w:pPr>
              <w:pStyle w:val="Compact"/>
              <w:jc w:val="left"/>
            </w:pPr>
            <w:r>
              <w:t xml:space="preserve">Expected value (EV)</w:t>
            </w:r>
          </w:p>
        </w:tc>
        <w:tc>
          <w:tcPr/>
          <w:p>
            <w:pPr>
              <w:pStyle w:val="Compact"/>
              <w:jc w:val="left"/>
            </w:pPr>
            <w:r>
              <w:t xml:space="preserve">Cost to victim</w:t>
            </w:r>
          </w:p>
        </w:tc>
        <w:tc>
          <w:tcPr/>
          <w:p>
            <w:pPr>
              <w:pStyle w:val="Compact"/>
              <w:jc w:val="left"/>
            </w:pPr>
            <w:r>
              <w:t xml:space="preserve">Net EV</w:t>
            </w:r>
          </w:p>
        </w:tc>
      </w:tr>
      <w:tr>
        <w:tc>
          <w:tcPr/>
          <w:p>
            <w:pPr>
              <w:pStyle w:val="Compact"/>
              <w:jc w:val="left"/>
            </w:pPr>
            <w:r>
              <w:t xml:space="preserve">Conservative (screening fails or no assets)</w:t>
            </w:r>
          </w:p>
        </w:tc>
        <w:tc>
          <w:tcPr/>
          <w:p>
            <w:pPr>
              <w:pStyle w:val="Compact"/>
              <w:jc w:val="left"/>
            </w:pPr>
            <w:r>
              <w:t xml:space="preserve">5% [^442^] [^372^]</w:t>
            </w:r>
          </w:p>
        </w:tc>
        <w:tc>
          <w:tcPr/>
          <w:p>
            <w:pPr>
              <w:pStyle w:val="Compact"/>
              <w:jc w:val="left"/>
            </w:pPr>
            <w:r>
              <w:t xml:space="preserve">7,750 PLN</w:t>
            </w:r>
          </w:p>
        </w:tc>
        <w:tc>
          <w:tcPr/>
          <w:p>
            <w:pPr>
              <w:pStyle w:val="Compact"/>
              <w:jc w:val="left"/>
            </w:pPr>
            <w:r>
              <w:t xml:space="preserve">7,750 PLN</w:t>
            </w:r>
          </w:p>
        </w:tc>
        <w:tc>
          <w:tcPr/>
          <w:p>
            <w:pPr>
              <w:pStyle w:val="Compact"/>
              <w:jc w:val="left"/>
            </w:pPr>
            <w:r>
              <w:t xml:space="preserve">0 PLN</w:t>
            </w:r>
          </w:p>
        </w:tc>
        <w:tc>
          <w:tcPr/>
          <w:p>
            <w:pPr>
              <w:pStyle w:val="Compact"/>
              <w:jc w:val="left"/>
            </w:pPr>
            <w:r>
              <w:rPr>
                <w:bCs/>
                <w:b/>
              </w:rPr>
              <w:t xml:space="preserve">7,750 PLN</w:t>
            </w:r>
          </w:p>
        </w:tc>
      </w:tr>
      <w:tr>
        <w:tc>
          <w:tcPr/>
          <w:p>
            <w:pPr>
              <w:pStyle w:val="Compact"/>
              <w:jc w:val="left"/>
            </w:pPr>
            <w:r>
              <w:t xml:space="preserve">Moderate (partial recovery via settlement or execution)</w:t>
            </w:r>
          </w:p>
        </w:tc>
        <w:tc>
          <w:tcPr/>
          <w:p>
            <w:pPr>
              <w:pStyle w:val="Compact"/>
              <w:jc w:val="left"/>
            </w:pPr>
            <w:r>
              <w:t xml:space="preserve">15% [^397^] [^158^]</w:t>
            </w:r>
          </w:p>
        </w:tc>
        <w:tc>
          <w:tcPr/>
          <w:p>
            <w:pPr>
              <w:pStyle w:val="Compact"/>
              <w:jc w:val="left"/>
            </w:pPr>
            <w:r>
              <w:t xml:space="preserve">23,250 PLN</w:t>
            </w:r>
          </w:p>
        </w:tc>
        <w:tc>
          <w:tcPr/>
          <w:p>
            <w:pPr>
              <w:pStyle w:val="Compact"/>
              <w:jc w:val="left"/>
            </w:pPr>
            <w:r>
              <w:t xml:space="preserve">23,250 PLN</w:t>
            </w:r>
          </w:p>
        </w:tc>
        <w:tc>
          <w:tcPr/>
          <w:p>
            <w:pPr>
              <w:pStyle w:val="Compact"/>
              <w:jc w:val="left"/>
            </w:pPr>
            <w:r>
              <w:t xml:space="preserve">0 PLN</w:t>
            </w:r>
          </w:p>
        </w:tc>
        <w:tc>
          <w:tcPr/>
          <w:p>
            <w:pPr>
              <w:pStyle w:val="Compact"/>
              <w:jc w:val="left"/>
            </w:pPr>
            <w:r>
              <w:rPr>
                <w:bCs/>
                <w:b/>
              </w:rPr>
              <w:t xml:space="preserve">23,250 PLN</w:t>
            </w:r>
          </w:p>
        </w:tc>
      </w:tr>
      <w:tr>
        <w:tc>
          <w:tcPr/>
          <w:p>
            <w:pPr>
              <w:pStyle w:val="Compact"/>
              <w:jc w:val="left"/>
            </w:pPr>
            <w:r>
              <w:t xml:space="preserve">Optimistic (combined EPU + criminal pressure, assets found)</w:t>
            </w:r>
          </w:p>
        </w:tc>
        <w:tc>
          <w:tcPr/>
          <w:p>
            <w:pPr>
              <w:pStyle w:val="Compact"/>
              <w:jc w:val="left"/>
            </w:pPr>
            <w:r>
              <w:t xml:space="preserve">30% [^385^] [^145^]</w:t>
            </w:r>
          </w:p>
        </w:tc>
        <w:tc>
          <w:tcPr/>
          <w:p>
            <w:pPr>
              <w:pStyle w:val="Compact"/>
              <w:jc w:val="left"/>
            </w:pPr>
            <w:r>
              <w:t xml:space="preserve">46,500 PLN</w:t>
            </w:r>
          </w:p>
        </w:tc>
        <w:tc>
          <w:tcPr/>
          <w:p>
            <w:pPr>
              <w:pStyle w:val="Compact"/>
              <w:jc w:val="left"/>
            </w:pPr>
            <w:r>
              <w:t xml:space="preserve">46,500 PLN</w:t>
            </w:r>
          </w:p>
        </w:tc>
        <w:tc>
          <w:tcPr/>
          <w:p>
            <w:pPr>
              <w:pStyle w:val="Compact"/>
              <w:jc w:val="left"/>
            </w:pPr>
            <w:r>
              <w:t xml:space="preserve">0 PLN</w:t>
            </w:r>
          </w:p>
        </w:tc>
        <w:tc>
          <w:tcPr/>
          <w:p>
            <w:pPr>
              <w:pStyle w:val="Compact"/>
              <w:jc w:val="left"/>
            </w:pPr>
            <w:r>
              <w:rPr>
                <w:bCs/>
                <w:b/>
              </w:rPr>
              <w:t xml:space="preserve">46,500 PLN</w:t>
            </w:r>
          </w:p>
        </w:tc>
      </w:tr>
    </w:tbl>
    <w:p>
      <w:pPr>
        <w:pStyle w:val="BodyText"/>
      </w:pPr>
      <w:r>
        <w:t xml:space="preserve">The conservative 5% figure reflects the NIK finding that only ~2% of cybercrime/fraud cases result in perpetrator detection, conviction, or fund recovery [^442^] [^372^], adjusted modestly upward for a case with a known, identifiable suspect (</w:t>
      </w:r>
      <w:r>
        <w:t xml:space="preserve">“</w:t>
      </w:r>
      <w:r>
        <w:t xml:space="preserve">Waldek</w:t>
      </w:r>
      <w:r>
        <w:t xml:space="preserve">”</w:t>
      </w:r>
      <w:r>
        <w:t xml:space="preserve"> </w:t>
      </w:r>
      <w:r>
        <w:t xml:space="preserve">/ Mateusz Szklarski) and a JDG structure that exposes personal assets. The moderate 15% figure assumes the suspect retains some attachable assets in Poland and the pre-trial pressure induces a partial settlement. The optimistic 30% figure aligns with the Chapter 4 finding that the most realistic positive scenario yields 30–60% recovery over 18–36 months via combined EPU and criminal pressure, though this requires the EPU track to succeed and assets to exist.</w:t>
      </w:r>
    </w:p>
    <w:p>
      <w:pPr>
        <w:pStyle w:val="BodyText"/>
      </w:pPr>
      <w:r>
        <w:t xml:space="preserve">The analytical interpretation is straightforward: even at the 5% conservative estimate, the net expected value is 7,750 PLN on an investment of zero PLN and 5–15 days of time spread over two years. This is a positive-EV decision by any standard. The breakeven recovery probability — the point at which EV equals cost — is approximately 0.03%, meaning the complaint would need to have virtually no chance of producing any outcome for the decision to be irrational. The 5% conservative estimate is roughly 167 times higher than that breakeven.</w:t>
      </w:r>
    </w:p>
    <w:bookmarkStart w:id="92" w:name="strategic-value-add-beyond-cash"/>
    <w:p>
      <w:pPr>
        <w:pStyle w:val="Heading4"/>
      </w:pPr>
      <w:r>
        <w:t xml:space="preserve">5.2.3 Strategic value add: beyond cash</w:t>
      </w:r>
    </w:p>
    <w:p>
      <w:pPr>
        <w:pStyle w:val="FirstParagraph"/>
      </w:pPr>
      <w:r>
        <w:t xml:space="preserve">The EV table captures only monetary recovery. The criminal complaint generates additional strategic value at zero marginal cost: (a)</w:t>
      </w:r>
      <w:r>
        <w:t xml:space="preserve"> </w:t>
      </w:r>
      <w:r>
        <w:rPr>
          <w:iCs/>
          <w:i/>
        </w:rPr>
        <w:t xml:space="preserve">zabezpieczenie majątkowe</w:t>
      </w:r>
      <w:r>
        <w:t xml:space="preserve"> </w:t>
      </w:r>
      <w:r>
        <w:t xml:space="preserve">(asset freeze) under art. 291–295 KPK, which can immobilize the suspect’s Polish assets pre-trial; (b) settlement pressure, since the threat of a criminal record and imprisonment creates leverage that often produces payment before indictment [^385^]; (c) fact-establishment, because a criminal judgment has binding evidentiary effect in subsequent civil proceedings; and (d) a criminal record for the debtor if convicted, which imposes long-term business and travel consequences. These non-monetary benefits do not appear in the EV calculation but push the true expected value higher.</w:t>
      </w:r>
    </w:p>
    <w:bookmarkEnd w:id="92"/>
    <w:bookmarkEnd w:id="93"/>
    <w:bookmarkStart w:id="97" w:name="the-prosecutor-driven-model"/>
    <w:p>
      <w:pPr>
        <w:pStyle w:val="Heading3"/>
      </w:pPr>
      <w:r>
        <w:t xml:space="preserve">5.3 The Prosecutor-Driven Model</w:t>
      </w:r>
    </w:p>
    <w:bookmarkStart w:id="94" w:name="what-the-prosecutor-handles"/>
    <w:p>
      <w:pPr>
        <w:pStyle w:val="Heading4"/>
      </w:pPr>
      <w:r>
        <w:t xml:space="preserve">5.3.1 What the prosecutor handles</w:t>
      </w:r>
    </w:p>
    <w:p>
      <w:pPr>
        <w:pStyle w:val="FirstParagraph"/>
      </w:pPr>
      <w:r>
        <w:t xml:space="preserve">Fraud under art. 286 § 1 KK is prosecuted</w:t>
      </w:r>
      <w:r>
        <w:t xml:space="preserve"> </w:t>
      </w:r>
      <w:r>
        <w:rPr>
          <w:iCs/>
          <w:i/>
        </w:rPr>
        <w:t xml:space="preserve">ex officio</w:t>
      </w:r>
      <w:r>
        <w:t xml:space="preserve">. The victim’s complaint merely triggers a state machine that the prosecutor commands. At state expense, the prosecutor and supervised police handle: evidence gathering; witness interviews; asset tracing; expert opinions; arrest or detention if warranted; indictment preparation; trial representation; and post-conviction enforcement [^320^] [^321^] [^341^]. The victim does not hire investigators, commission experts, or construct legal theories. The prosecutor also has the authority to apply for</w:t>
      </w:r>
      <w:r>
        <w:t xml:space="preserve"> </w:t>
      </w:r>
      <w:r>
        <w:rPr>
          <w:iCs/>
          <w:i/>
        </w:rPr>
        <w:t xml:space="preserve">tymczasowe aresztowanie majątkowe</w:t>
      </w:r>
      <w:r>
        <w:t xml:space="preserve"> </w:t>
      </w:r>
      <w:r>
        <w:t xml:space="preserve">(temporary asset arrest) and</w:t>
      </w:r>
      <w:r>
        <w:t xml:space="preserve"> </w:t>
      </w:r>
      <w:r>
        <w:rPr>
          <w:iCs/>
          <w:i/>
        </w:rPr>
        <w:t xml:space="preserve">zabezpieczenie majątkowe</w:t>
      </w:r>
      <w:r>
        <w:t xml:space="preserve"> </w:t>
      </w:r>
      <w:r>
        <w:t xml:space="preserve">(asset securing) under art. 297 KPK.</w:t>
      </w:r>
    </w:p>
    <w:bookmarkEnd w:id="94"/>
    <w:bookmarkStart w:id="95" w:name="what-you-must-do"/>
    <w:p>
      <w:pPr>
        <w:pStyle w:val="Heading4"/>
      </w:pPr>
      <w:r>
        <w:t xml:space="preserve">5.3.2 What you must do</w:t>
      </w:r>
    </w:p>
    <w:p>
      <w:pPr>
        <w:pStyle w:val="FirstParagraph"/>
      </w:pPr>
      <w:r>
        <w:t xml:space="preserve">The victim’s obligations are limited and well-defined. First, file the complaint. Second, appear when summoned to testify — failure carries a fine up to 10,000 PLN or possible forced transport under art. 285–287 KPK [^316^]. Third, provide evidence in your possession (emails, transfer records, screenshots). Fourth, file a motion for art. 46 KK compensation before the main trial closes. Fifth, optionally request</w:t>
      </w:r>
      <w:r>
        <w:t xml:space="preserve"> </w:t>
      </w:r>
      <w:r>
        <w:rPr>
          <w:iCs/>
          <w:i/>
        </w:rPr>
        <w:t xml:space="preserve">zabezpieczenie majątkowe</w:t>
      </w:r>
      <w:r>
        <w:t xml:space="preserve"> </w:t>
      </w:r>
      <w:r>
        <w:t xml:space="preserve">once the suspect attains</w:t>
      </w:r>
      <w:r>
        <w:t xml:space="preserve"> </w:t>
      </w:r>
      <w:r>
        <w:rPr>
          <w:iCs/>
          <w:i/>
        </w:rPr>
        <w:t xml:space="preserve">podejrzany</w:t>
      </w:r>
      <w:r>
        <w:t xml:space="preserve"> </w:t>
      </w:r>
      <w:r>
        <w:t xml:space="preserve">(suspect) status. Everything else — legal qualification, investigation, witness management, asset tracing — is the prosecutor’s job.</w:t>
      </w:r>
    </w:p>
    <w:bookmarkEnd w:id="95"/>
    <w:bookmarkStart w:id="96" w:name="X337f6b71b1eec109ed163cef87e6d502e325550"/>
    <w:p>
      <w:pPr>
        <w:pStyle w:val="Heading4"/>
      </w:pPr>
      <w:r>
        <w:t xml:space="preserve">5.3.3 Foreign victim participation: no travel required</w:t>
      </w:r>
    </w:p>
    <w:p>
      <w:pPr>
        <w:pStyle w:val="FirstParagraph"/>
      </w:pPr>
      <w:r>
        <w:t xml:space="preserve">Art. 177 § 1a KPK permits video testimony (</w:t>
      </w:r>
      <w:r>
        <w:rPr>
          <w:iCs/>
          <w:i/>
        </w:rPr>
        <w:t xml:space="preserve">wideokonferencja</w:t>
      </w:r>
      <w:r>
        <w:t xml:space="preserve">) at any stage of criminal proceedings [^339^] [^353^]. Polish law does not restrict the grounds for video testimony; it can be ordered at the initiative of the court, the parties, or the witness [^339^]. A consular official or court representative participates at the witness’s location to verify identity. The requesting Polish authority bears the technical setup cost. For a foreign victim, this means the entire proceeding can be managed remotely: file the complaint by email or ePUAP, testify via video, file motions electronically, and receive translated documents free of charge under art. 72 § 3 KPK. Travel to Poland is optional, not required — and if travel is ever demanded, reimbursement is guaranteed under art. 618a–618e KPK [^380^] [^381^].</w:t>
      </w:r>
    </w:p>
    <w:bookmarkEnd w:id="96"/>
    <w:bookmarkEnd w:id="97"/>
    <w:bookmarkStart w:id="98" w:name="the-honest-verdict"/>
    <w:p>
      <w:pPr>
        <w:pStyle w:val="Heading3"/>
      </w:pPr>
      <w:r>
        <w:t xml:space="preserve">5.4 The Honest Verdict</w:t>
      </w:r>
    </w:p>
    <w:p>
      <w:pPr>
        <w:pStyle w:val="FirstParagraph"/>
      </w:pPr>
      <w:r>
        <w:rPr>
          <w:bCs/>
          <w:b/>
        </w:rPr>
        <w:t xml:space="preserve">Money back? Conditional — and the conditions are specific.</w:t>
      </w:r>
      <w:r>
        <w:t xml:space="preserve"> </w:t>
      </w:r>
      <w:r>
        <w:t xml:space="preserve">Direct cash recovery through the criminal compensation mechanism (art. 46 KK) is blocked by anti-cumulation (art. 415 § 1 KPK) while your EPU claim is pending, and even after it resolves, the NIK data says only ~2% of fraud victims see any recovery through criminal proceedings [^442^] [^372^]. The bailiff execution success rate is ~25% nationally, but that 25% only applies to cases that reach execution — most never do [^397^] [^158^]. Your realistic path to cash is not the criminal judgment itself; it is the</w:t>
      </w:r>
      <w:r>
        <w:t xml:space="preserve"> </w:t>
      </w:r>
      <w:r>
        <w:rPr>
          <w:iCs/>
          <w:i/>
        </w:rPr>
        <w:t xml:space="preserve">pressure</w:t>
      </w:r>
      <w:r>
        <w:t xml:space="preserve"> </w:t>
      </w:r>
      <w:r>
        <w:t xml:space="preserve">the criminal complaint creates. If Mateusz Szklarski has attachable assets in Poland, the combined weight of the EPU civil title and the threat of art. 286 KK conviction may produce a settlement in the 3–12 month window. If he has moved all assets to the Netherlands, you are left with a paper judgment and an expensive cross-border enforcement problem. The most realistic positive outcome, per the scenario analysis in Chapter 4, is 30–60% recovery over 18–36 months through the EPU track amplified by criminal pressure. Full recovery of 155,000 PLN is possible but statistically unlikely. File the complaint — it costs nothing and the EV is positive — but go in with your eyes open: this is about leverage, not a guaranteed payout.</w:t>
      </w:r>
    </w:p>
    <w:p>
      <w:r>
        <w:pict>
          <v:rect style="width:0;height:1.5pt" o:hralign="center" o:hrstd="t" o:hr="t"/>
        </w:pict>
      </w:r>
    </w:p>
    <w:bookmarkEnd w:id="98"/>
    <w:bookmarkEnd w:id="99"/>
    <w:bookmarkEnd w:id="100"/>
    <w:bookmarkStart w:id="103" w:name="references"/>
    <w:p>
      <w:pPr>
        <w:pStyle w:val="Heading1"/>
      </w:pPr>
      <w:r>
        <w:t xml:space="preserve">References</w:t>
      </w:r>
    </w:p>
    <w:bookmarkStart w:id="101" w:name="research-dimension-reports"/>
    <w:p>
      <w:pPr>
        <w:pStyle w:val="Heading2"/>
      </w:pPr>
      <w:r>
        <w:t xml:space="preserve">Research Dimension Reports</w:t>
      </w:r>
    </w:p>
    <w:tbl>
      <w:tblPr>
        <w:tblStyle w:val="Table"/>
        <w:tblW w:type="pct" w:w="5000"/>
        <w:tblLook w:firstRow="1" w:lastRow="0" w:firstColumn="0" w:lastColumn="0" w:noHBand="0" w:noVBand="0" w:val="0020"/>
      </w:tblPr>
      <w:tblGrid>
        <w:gridCol w:w="3655"/>
        <w:gridCol w:w="4264"/>
      </w:tblGrid>
      <w:tr>
        <w:trPr>
          <w:tblHeader w:val="true"/>
        </w:trPr>
        <w:tc>
          <w:tcPr/>
          <w:p>
            <w:pPr>
              <w:pStyle w:val="Compact"/>
              <w:jc w:val="left"/>
            </w:pPr>
            <w:r>
              <w:t xml:space="preserve">File</w:t>
            </w:r>
          </w:p>
        </w:tc>
        <w:tc>
          <w:tcPr/>
          <w:p>
            <w:pPr>
              <w:pStyle w:val="Compact"/>
              <w:jc w:val="left"/>
            </w:pPr>
            <w:r>
              <w:t xml:space="preserve">Topic</w:t>
            </w:r>
          </w:p>
        </w:tc>
      </w:tr>
      <w:tr>
        <w:tc>
          <w:tcPr/>
          <w:p>
            <w:pPr>
              <w:pStyle w:val="Compact"/>
              <w:jc w:val="left"/>
            </w:pPr>
            <w:r>
              <w:t xml:space="preserve">fraud_complaint_dim01.md</w:t>
            </w:r>
          </w:p>
        </w:tc>
        <w:tc>
          <w:tcPr/>
          <w:p>
            <w:pPr>
              <w:pStyle w:val="Compact"/>
              <w:jc w:val="left"/>
            </w:pPr>
            <w:r>
              <w:t xml:space="preserve">Polish fraud prosecution statistics (art. 286 KK)</w:t>
            </w:r>
          </w:p>
        </w:tc>
      </w:tr>
      <w:tr>
        <w:tc>
          <w:tcPr/>
          <w:p>
            <w:pPr>
              <w:pStyle w:val="Compact"/>
              <w:jc w:val="left"/>
            </w:pPr>
            <w:r>
              <w:t xml:space="preserve">fraud_complaint_dim02.md</w:t>
            </w:r>
          </w:p>
        </w:tc>
        <w:tc>
          <w:tcPr/>
          <w:p>
            <w:pPr>
              <w:pStyle w:val="Compact"/>
              <w:jc w:val="left"/>
            </w:pPr>
            <w:r>
              <w:t xml:space="preserve">Timeframes per stage in Polish fraud cases</w:t>
            </w:r>
          </w:p>
        </w:tc>
      </w:tr>
      <w:tr>
        <w:tc>
          <w:tcPr/>
          <w:p>
            <w:pPr>
              <w:pStyle w:val="Compact"/>
              <w:jc w:val="left"/>
            </w:pPr>
            <w:r>
              <w:t xml:space="preserve">fraud_complaint_dim03.md</w:t>
            </w:r>
          </w:p>
        </w:tc>
        <w:tc>
          <w:tcPr/>
          <w:p>
            <w:pPr>
              <w:pStyle w:val="Compact"/>
              <w:jc w:val="left"/>
            </w:pPr>
            <w:r>
              <w:t xml:space="preserve">Art. 46 KK + Art. 49a KPK victim compensation deep dive</w:t>
            </w:r>
          </w:p>
        </w:tc>
      </w:tr>
      <w:tr>
        <w:tc>
          <w:tcPr/>
          <w:p>
            <w:pPr>
              <w:pStyle w:val="Compact"/>
              <w:jc w:val="left"/>
            </w:pPr>
            <w:r>
              <w:t xml:space="preserve">fraud_complaint_dim04.md</w:t>
            </w:r>
          </w:p>
        </w:tc>
        <w:tc>
          <w:tcPr/>
          <w:p>
            <w:pPr>
              <w:pStyle w:val="Compact"/>
              <w:jc w:val="left"/>
            </w:pPr>
            <w:r>
              <w:t xml:space="preserve">Art. 291-295 KPK asset freezing mechanism</w:t>
            </w:r>
          </w:p>
        </w:tc>
      </w:tr>
      <w:tr>
        <w:tc>
          <w:tcPr/>
          <w:p>
            <w:pPr>
              <w:pStyle w:val="Compact"/>
              <w:jc w:val="left"/>
            </w:pPr>
            <w:r>
              <w:t xml:space="preserve">fraud_complaint_dim05.md</w:t>
            </w:r>
          </w:p>
        </w:tc>
        <w:tc>
          <w:tcPr/>
          <w:p>
            <w:pPr>
              <w:pStyle w:val="Compact"/>
              <w:jc w:val="left"/>
            </w:pPr>
            <w:r>
              <w:t xml:space="preserve">Mediation, restitution &amp; conditional discontinuation</w:t>
            </w:r>
          </w:p>
        </w:tc>
      </w:tr>
      <w:tr>
        <w:tc>
          <w:tcPr/>
          <w:p>
            <w:pPr>
              <w:pStyle w:val="Compact"/>
              <w:jc w:val="left"/>
            </w:pPr>
            <w:r>
              <w:t xml:space="preserve">fraud_complaint_dim06.md</w:t>
            </w:r>
          </w:p>
        </w:tc>
        <w:tc>
          <w:tcPr/>
          <w:p>
            <w:pPr>
              <w:pStyle w:val="Compact"/>
              <w:jc w:val="left"/>
            </w:pPr>
            <w:r>
              <w:t xml:space="preserve">Multi-victim impact on prosecution</w:t>
            </w:r>
          </w:p>
        </w:tc>
      </w:tr>
      <w:tr>
        <w:tc>
          <w:tcPr/>
          <w:p>
            <w:pPr>
              <w:pStyle w:val="Compact"/>
              <w:jc w:val="left"/>
            </w:pPr>
            <w:r>
              <w:t xml:space="preserve">fraud_complaint_dim07.md</w:t>
            </w:r>
          </w:p>
        </w:tc>
        <w:tc>
          <w:tcPr/>
          <w:p>
            <w:pPr>
              <w:pStyle w:val="Compact"/>
              <w:jc w:val="left"/>
            </w:pPr>
            <w:r>
              <w:t xml:space="preserve">Cross-border enforcement (Netherlands/Poland)</w:t>
            </w:r>
          </w:p>
        </w:tc>
      </w:tr>
      <w:tr>
        <w:tc>
          <w:tcPr/>
          <w:p>
            <w:pPr>
              <w:pStyle w:val="Compact"/>
              <w:jc w:val="left"/>
            </w:pPr>
            <w:r>
              <w:t xml:space="preserve">fraud_complaint_dim08.md</w:t>
            </w:r>
          </w:p>
        </w:tc>
        <w:tc>
          <w:tcPr/>
          <w:p>
            <w:pPr>
              <w:pStyle w:val="Compact"/>
              <w:jc w:val="left"/>
            </w:pPr>
            <w:r>
              <w:t xml:space="preserve">JDG liability &amp; business-level pressure points</w:t>
            </w:r>
          </w:p>
        </w:tc>
      </w:tr>
      <w:tr>
        <w:tc>
          <w:tcPr/>
          <w:p>
            <w:pPr>
              <w:pStyle w:val="Compact"/>
              <w:jc w:val="left"/>
            </w:pPr>
            <w:r>
              <w:t xml:space="preserve">fraud_complaint_dim09.md</w:t>
            </w:r>
          </w:p>
        </w:tc>
        <w:tc>
          <w:tcPr/>
          <w:p>
            <w:pPr>
              <w:pStyle w:val="Compact"/>
              <w:jc w:val="left"/>
            </w:pPr>
            <w:r>
              <w:t xml:space="preserve">Evidentiary factors that shift odds</w:t>
            </w:r>
          </w:p>
        </w:tc>
      </w:tr>
      <w:tr>
        <w:tc>
          <w:tcPr/>
          <w:p>
            <w:pPr>
              <w:pStyle w:val="Compact"/>
              <w:jc w:val="left"/>
            </w:pPr>
            <w:r>
              <w:t xml:space="preserve">fraud_complaint_dim10.md</w:t>
            </w:r>
          </w:p>
        </w:tc>
        <w:tc>
          <w:tcPr/>
          <w:p>
            <w:pPr>
              <w:pStyle w:val="Compact"/>
              <w:jc w:val="left"/>
            </w:pPr>
            <w:r>
              <w:t xml:space="preserve">Practical victim recovery rates</w:t>
            </w:r>
          </w:p>
        </w:tc>
      </w:tr>
      <w:tr>
        <w:tc>
          <w:tcPr/>
          <w:p>
            <w:pPr>
              <w:pStyle w:val="Compact"/>
              <w:jc w:val="left"/>
            </w:pPr>
            <w:r>
              <w:t xml:space="preserve">fraud_complaint_dim11.md</w:t>
            </w:r>
          </w:p>
        </w:tc>
        <w:tc>
          <w:tcPr/>
          <w:p>
            <w:pPr>
              <w:pStyle w:val="Compact"/>
              <w:jc w:val="left"/>
            </w:pPr>
            <w:r>
              <w:t xml:space="preserve">Cost-benefit for self-managed route</w:t>
            </w:r>
          </w:p>
        </w:tc>
      </w:tr>
      <w:tr>
        <w:tc>
          <w:tcPr/>
          <w:p>
            <w:pPr>
              <w:pStyle w:val="Compact"/>
              <w:jc w:val="left"/>
            </w:pPr>
            <w:r>
              <w:t xml:space="preserve">fraud_complaint_cross_verification.md</w:t>
            </w:r>
          </w:p>
        </w:tc>
        <w:tc>
          <w:tcPr/>
          <w:p>
            <w:pPr>
              <w:pStyle w:val="Compact"/>
              <w:jc w:val="left"/>
            </w:pPr>
            <w:r>
              <w:t xml:space="preserve">Cross-verification of findings</w:t>
            </w:r>
          </w:p>
        </w:tc>
      </w:tr>
      <w:tr>
        <w:tc>
          <w:tcPr/>
          <w:p>
            <w:pPr>
              <w:pStyle w:val="Compact"/>
              <w:jc w:val="left"/>
            </w:pPr>
            <w:r>
              <w:t xml:space="preserve">fraud_complaint_insight.md</w:t>
            </w:r>
          </w:p>
        </w:tc>
        <w:tc>
          <w:tcPr/>
          <w:p>
            <w:pPr>
              <w:pStyle w:val="Compact"/>
              <w:jc w:val="left"/>
            </w:pPr>
            <w:r>
              <w:t xml:space="preserve">Cross-dimensional insights</w:t>
            </w:r>
          </w:p>
        </w:tc>
      </w:tr>
    </w:tbl>
    <w:bookmarkEnd w:id="101"/>
    <w:bookmarkStart w:id="102" w:name="key-sources-cited"/>
    <w:p>
      <w:pPr>
        <w:pStyle w:val="Heading2"/>
      </w:pPr>
      <w:r>
        <w:t xml:space="preserve">Key Sources Cited</w:t>
      </w:r>
    </w:p>
    <w:p>
      <w:pPr>
        <w:numPr>
          <w:ilvl w:val="0"/>
          <w:numId w:val="1001"/>
        </w:numPr>
        <w:pStyle w:val="Compact"/>
      </w:pPr>
      <w:r>
        <w:rPr>
          <w:bCs/>
          <w:b/>
        </w:rPr>
        <w:t xml:space="preserve">NIK (Najwyższa Izba Kontroli):</w:t>
      </w:r>
      <w:r>
        <w:t xml:space="preserve"> </w:t>
      </w:r>
      <w:r>
        <w:t xml:space="preserve">Cybercrime and victim compensation reports</w:t>
      </w:r>
    </w:p>
    <w:p>
      <w:pPr>
        <w:numPr>
          <w:ilvl w:val="0"/>
          <w:numId w:val="1001"/>
        </w:numPr>
        <w:pStyle w:val="Compact"/>
      </w:pPr>
      <w:r>
        <w:rPr>
          <w:bCs/>
          <w:b/>
        </w:rPr>
        <w:t xml:space="preserve">Prokuratura Krajowa:</w:t>
      </w:r>
      <w:r>
        <w:t xml:space="preserve"> </w:t>
      </w:r>
      <w:r>
        <w:t xml:space="preserve">Annual prosecution statistics 2024</w:t>
      </w:r>
    </w:p>
    <w:p>
      <w:pPr>
        <w:numPr>
          <w:ilvl w:val="0"/>
          <w:numId w:val="1001"/>
        </w:numPr>
        <w:pStyle w:val="Compact"/>
      </w:pPr>
      <w:r>
        <w:rPr>
          <w:bCs/>
          <w:b/>
        </w:rPr>
        <w:t xml:space="preserve">IWS (Instytut Wymiaru Sprawiedliwości):</w:t>
      </w:r>
      <w:r>
        <w:t xml:space="preserve"> </w:t>
      </w:r>
      <w:r>
        <w:t xml:space="preserve">Atlas przestępczości, prosecution analysis</w:t>
      </w:r>
    </w:p>
    <w:p>
      <w:pPr>
        <w:numPr>
          <w:ilvl w:val="0"/>
          <w:numId w:val="1001"/>
        </w:numPr>
        <w:pStyle w:val="Compact"/>
      </w:pPr>
      <w:r>
        <w:rPr>
          <w:bCs/>
          <w:b/>
        </w:rPr>
        <w:t xml:space="preserve">Krajowa Rada Komornicza:</w:t>
      </w:r>
      <w:r>
        <w:t xml:space="preserve"> </w:t>
      </w:r>
      <w:r>
        <w:t xml:space="preserve">Bailiff execution effectiveness data</w:t>
      </w:r>
    </w:p>
    <w:p>
      <w:pPr>
        <w:numPr>
          <w:ilvl w:val="0"/>
          <w:numId w:val="1001"/>
        </w:numPr>
        <w:pStyle w:val="Compact"/>
      </w:pPr>
      <w:r>
        <w:rPr>
          <w:bCs/>
          <w:b/>
        </w:rPr>
        <w:t xml:space="preserve">Kodeks Karny (KK):</w:t>
      </w:r>
      <w:r>
        <w:t xml:space="preserve"> </w:t>
      </w:r>
      <w:r>
        <w:t xml:space="preserve">art. 41 § 2, art. 46 § 1, art. 66, art. 107 § 6, art. 244c, art. 286 § 1, art. 294 § 1</w:t>
      </w:r>
    </w:p>
    <w:p>
      <w:pPr>
        <w:numPr>
          <w:ilvl w:val="0"/>
          <w:numId w:val="1001"/>
        </w:numPr>
        <w:pStyle w:val="Compact"/>
      </w:pPr>
      <w:r>
        <w:rPr>
          <w:bCs/>
          <w:b/>
        </w:rPr>
        <w:t xml:space="preserve">Kodeks Postępowania Karnego (KPK):</w:t>
      </w:r>
      <w:r>
        <w:t xml:space="preserve"> </w:t>
      </w:r>
      <w:r>
        <w:t xml:space="preserve">art. 22, art. 23a, art. 49a, art. 66, art. 177 § 1a, art. 291-295, art. 307 § 1, art. 335, art. 415 § 1</w:t>
      </w:r>
    </w:p>
    <w:p>
      <w:pPr>
        <w:numPr>
          <w:ilvl w:val="0"/>
          <w:numId w:val="1001"/>
        </w:numPr>
        <w:pStyle w:val="Compact"/>
      </w:pPr>
      <w:r>
        <w:rPr>
          <w:bCs/>
          <w:b/>
        </w:rPr>
        <w:t xml:space="preserve">Prawo upadłościowe:</w:t>
      </w:r>
      <w:r>
        <w:t xml:space="preserve"> </w:t>
      </w:r>
      <w:r>
        <w:t xml:space="preserve">art. 491²¹ § 2 (bankruptcy non-dischargeability)</w:t>
      </w:r>
    </w:p>
    <w:p>
      <w:pPr>
        <w:numPr>
          <w:ilvl w:val="0"/>
          <w:numId w:val="1001"/>
        </w:numPr>
        <w:pStyle w:val="Compact"/>
      </w:pPr>
      <w:r>
        <w:rPr>
          <w:bCs/>
          <w:b/>
        </w:rPr>
        <w:t xml:space="preserve">Regulation (EU) 1215/2012 (Brussels I Recast):</w:t>
      </w:r>
      <w:r>
        <w:t xml:space="preserve"> </w:t>
      </w:r>
      <w:r>
        <w:t xml:space="preserve">Cross-border enforcement</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2026-06-03T20:31:40Z</dcterms:created>
  <dcterms:modified xsi:type="dcterms:W3CDTF">2026-06-03T20:31:40Z</dcterms:modified>
</cp:coreProperties>
</file>

<file path=docProps/custom.xml><?xml version="1.0" encoding="utf-8"?>
<Properties xmlns="http://schemas.openxmlformats.org/officeDocument/2006/custom-properties" xmlns:vt="http://schemas.openxmlformats.org/officeDocument/2006/docPropsVTypes"/>
</file>