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33772cb1b4b16d625951615bad70de5b209b07c"/>
    <w:p>
      <w:pPr>
        <w:pStyle w:val="Heading1"/>
      </w:pPr>
      <w:r>
        <w:t xml:space="preserve">Executive Summary: Strategic Assessment of Criminal and Civil Liability of Waldemar Łopata</w:t>
      </w:r>
    </w:p>
    <w:bookmarkStart w:id="20" w:name="the-core-finding"/>
    <w:p>
      <w:pPr>
        <w:pStyle w:val="Heading2"/>
      </w:pPr>
      <w:r>
        <w:t xml:space="preserve">The Core Finding</w:t>
      </w:r>
    </w:p>
    <w:p>
      <w:pPr>
        <w:pStyle w:val="FirstParagraph"/>
      </w:pPr>
      <w:r>
        <w:t xml:space="preserve">Waldemar Łopata (</w:t>
      </w:r>
      <w:r>
        <w:t xml:space="preserve">“</w:t>
      </w:r>
      <w:r>
        <w:t xml:space="preserve">Waldek</w:t>
      </w:r>
      <w:r>
        <w:t xml:space="preserve">”</w:t>
      </w:r>
      <w:r>
        <w:t xml:space="preserve">)</w:t>
      </w:r>
      <w:r>
        <w:t xml:space="preserve"> </w:t>
      </w:r>
      <w:r>
        <w:rPr>
          <w:iCs/>
          <w:i/>
        </w:rPr>
        <w:t xml:space="preserve">can</w:t>
      </w:r>
      <w:r>
        <w:t xml:space="preserve"> </w:t>
      </w:r>
      <w:r>
        <w:t xml:space="preserve">be charged as a</w:t>
      </w:r>
      <w:r>
        <w:t xml:space="preserve"> </w:t>
      </w:r>
      <w:r>
        <w:rPr>
          <w:bCs/>
          <w:b/>
        </w:rPr>
        <w:t xml:space="preserve">co-perpetrator</w:t>
      </w:r>
      <w:r>
        <w:t xml:space="preserve"> </w:t>
      </w:r>
      <w:r>
        <w:t xml:space="preserve">(</w:t>
      </w:r>
      <w:r>
        <w:rPr>
          <w:iCs/>
          <w:i/>
        </w:rPr>
        <w:t xml:space="preserve">współsprawca</w:t>
      </w:r>
      <w:r>
        <w:t xml:space="preserve">) of fraud under Article 286 § 1 of the Polish Criminal Code (</w:t>
      </w:r>
      <w:r>
        <w:rPr>
          <w:iCs/>
          <w:i/>
        </w:rPr>
        <w:t xml:space="preserve">Kodeks Karny</w:t>
      </w:r>
      <w:r>
        <w:t xml:space="preserve">,</w:t>
      </w:r>
      <w:r>
        <w:t xml:space="preserve"> </w:t>
      </w:r>
      <w:r>
        <w:t xml:space="preserve">“</w:t>
      </w:r>
      <w:r>
        <w:t xml:space="preserve">KK</w:t>
      </w:r>
      <w:r>
        <w:t xml:space="preserve">”</w:t>
      </w:r>
      <w:r>
        <w:t xml:space="preserve">) — and a criminal conviction against him opens</w:t>
      </w:r>
      <w:r>
        <w:t xml:space="preserve"> </w:t>
      </w:r>
      <w:r>
        <w:rPr>
          <w:bCs/>
          <w:b/>
        </w:rPr>
        <w:t xml:space="preserve">two parallel pathways</w:t>
      </w:r>
      <w:r>
        <w:t xml:space="preserve"> </w:t>
      </w:r>
      <w:r>
        <w:t xml:space="preserve">to recover the full 155,000 PLN, regardless of the fact that the money was transferred to Mateusz Szklarski’s JDG account. The lawyer’s assessment that</w:t>
      </w:r>
      <w:r>
        <w:t xml:space="preserve"> </w:t>
      </w:r>
      <w:r>
        <w:t xml:space="preserve">“</w:t>
      </w:r>
      <w:r>
        <w:t xml:space="preserve">there is no basis to pursue Waldek civilly at this stage</w:t>
      </w:r>
      <w:r>
        <w:t xml:space="preserve">”</w:t>
      </w:r>
      <w:r>
        <w:t xml:space="preserve"> </w:t>
      </w:r>
      <w:r>
        <w:t xml:space="preserve">correctly identifies the contract-privity barrier but completely overlooks the independent tort (</w:t>
      </w:r>
      <w:r>
        <w:rPr>
          <w:iCs/>
          <w:i/>
        </w:rPr>
        <w:t xml:space="preserve">deliktowa</w:t>
      </w:r>
      <w:r>
        <w:t xml:space="preserve">) liability pathway that bypasses privity entirely.</w:t>
      </w:r>
    </w:p>
    <w:bookmarkEnd w:id="20"/>
    <w:bookmarkStart w:id="21" w:name="Xbe0ecec8997e24caa79cc104200ee8f7f8a0fa9"/>
    <w:p>
      <w:pPr>
        <w:pStyle w:val="Heading2"/>
      </w:pPr>
      <w:r>
        <w:t xml:space="preserve">Criminal Theory: Współsprawstwo Through</w:t>
      </w:r>
      <w:r>
        <w:t xml:space="preserve"> </w:t>
      </w:r>
      <w:r>
        <w:t xml:space="preserve">“</w:t>
      </w:r>
      <w:r>
        <w:t xml:space="preserve">Istotny Wkład</w:t>
      </w:r>
      <w:r>
        <w:t xml:space="preserve">”</w:t>
      </w:r>
    </w:p>
    <w:p>
      <w:pPr>
        <w:pStyle w:val="FirstParagraph"/>
      </w:pPr>
      <w:r>
        <w:t xml:space="preserve">The optimal criminal charge is</w:t>
      </w:r>
      <w:r>
        <w:t xml:space="preserve"> </w:t>
      </w:r>
      <w:r>
        <w:rPr>
          <w:bCs/>
          <w:b/>
        </w:rPr>
        <w:t xml:space="preserve">co-perpetration</w:t>
      </w:r>
      <w:r>
        <w:t xml:space="preserve"> </w:t>
      </w:r>
      <w:r>
        <w:t xml:space="preserve">(art. 18 § 1 sentence 2 KK) based on Waldek’s</w:t>
      </w:r>
      <w:r>
        <w:t xml:space="preserve"> </w:t>
      </w:r>
      <w:r>
        <w:rPr>
          <w:iCs/>
          <w:i/>
        </w:rPr>
        <w:t xml:space="preserve">istotny wkład</w:t>
      </w:r>
      <w:r>
        <w:t xml:space="preserve"> </w:t>
      </w:r>
      <w:r>
        <w:t xml:space="preserve">(essential contribution) to the</w:t>
      </w:r>
      <w:r>
        <w:t xml:space="preserve"> </w:t>
      </w:r>
      <w:r>
        <w:rPr>
          <w:iCs/>
          <w:i/>
        </w:rPr>
        <w:t xml:space="preserve">wprowadzenie w błąd</w:t>
      </w:r>
      <w:r>
        <w:t xml:space="preserve"> </w:t>
      </w:r>
      <w:r>
        <w:t xml:space="preserve">(deception) element of the fraud</w:t>
      </w:r>
      <w:r>
        <w:t xml:space="preserve"> </w:t>
      </w:r>
      <w:r>
        <w:rPr>
          <w:vertAlign w:val="superscript"/>
        </w:rPr>
        <w:footnoteReference w:id="1"/>
      </w:r>
      <w:r>
        <w:t xml:space="preserve">. Waldek personally executed the deception — he controlled both the</w:t>
      </w:r>
      <w:r>
        <w:t xml:space="preserve"> </w:t>
      </w:r>
      <w:r>
        <w:rPr>
          <w:iCs/>
          <w:i/>
        </w:rPr>
        <w:t xml:space="preserve">gpucomputer@</w:t>
      </w:r>
      <w:r>
        <w:t xml:space="preserve"> </w:t>
      </w:r>
      <w:r>
        <w:t xml:space="preserve">and</w:t>
      </w:r>
      <w:r>
        <w:t xml:space="preserve"> </w:t>
      </w:r>
      <w:r>
        <w:rPr>
          <w:iCs/>
          <w:i/>
        </w:rPr>
        <w:t xml:space="preserve">waldek@</w:t>
      </w:r>
      <w:r>
        <w:t xml:space="preserve"> </w:t>
      </w:r>
      <w:r>
        <w:t xml:space="preserve">email mailboxes, sent identical refund promises one minute apart, and provided two logically irreconcilable explanations (</w:t>
      </w:r>
      <w:r>
        <w:t xml:space="preserve">“</w:t>
      </w:r>
      <w:r>
        <w:t xml:space="preserve">customs cleared the goods</w:t>
      </w:r>
      <w:r>
        <w:t xml:space="preserve">”</w:t>
      </w:r>
      <w:r>
        <w:t xml:space="preserve"> </w:t>
      </w:r>
      <w:r>
        <w:t xml:space="preserve">vs. </w:t>
      </w:r>
      <w:r>
        <w:t xml:space="preserve">“</w:t>
      </w:r>
      <w:r>
        <w:t xml:space="preserve">supplier went bankrupt</w:t>
      </w:r>
      <w:r>
        <w:t xml:space="preserve">”</w:t>
      </w:r>
      <w:r>
        <w:t xml:space="preserve">)</w:t>
      </w:r>
      <w:r>
        <w:t xml:space="preserve"> </w:t>
      </w:r>
      <w:r>
        <w:rPr>
          <w:vertAlign w:val="superscript"/>
        </w:rPr>
        <w:footnoteReference w:id="2"/>
      </w:r>
      <w:r>
        <w:t xml:space="preserve">. Under the material-objective theory confirmed by the Supreme Court (SN II KK 162/11), his communications control was a</w:t>
      </w:r>
      <w:r>
        <w:t xml:space="preserve"> </w:t>
      </w:r>
      <w:r>
        <w:t xml:space="preserve">“</w:t>
      </w:r>
      <w:r>
        <w:t xml:space="preserve">necessary or very important condition</w:t>
      </w:r>
      <w:r>
        <w:t xml:space="preserve">”</w:t>
      </w:r>
      <w:r>
        <w:t xml:space="preserve"> </w:t>
      </w:r>
      <w:r>
        <w:t xml:space="preserve">for sustaining the victim’s error over months</w:t>
      </w:r>
      <w:r>
        <w:t xml:space="preserve"> </w:t>
      </w:r>
      <w:fldSimple w:instr="NOTEREF _Ref_Footnote_1 \h \f">
        <w:r>
          <w:rPr>
            <w:vertAlign w:val="superscript"/>
          </w:rPr>
          <w:t>1</w:t>
        </w:r>
      </w:fldSimple>
      <w:r>
        <w:t xml:space="preserve">. The agreement element (</w:t>
      </w:r>
      <w:r>
        <w:rPr>
          <w:iCs/>
          <w:i/>
        </w:rPr>
        <w:t xml:space="preserve">porozumienie</w:t>
      </w:r>
      <w:r>
        <w:t xml:space="preserve">) can be tacit — inferred from ten years of</w:t>
      </w:r>
      <w:r>
        <w:t xml:space="preserve"> </w:t>
      </w:r>
      <w:r>
        <w:t xml:space="preserve">“</w:t>
      </w:r>
      <w:r>
        <w:t xml:space="preserve">3dkrakow</w:t>
      </w:r>
      <w:r>
        <w:t xml:space="preserve">”</w:t>
      </w:r>
      <w:r>
        <w:t xml:space="preserve"> </w:t>
      </w:r>
      <w:r>
        <w:t xml:space="preserve">brand co-publishing on</w:t>
      </w:r>
      <w:r>
        <w:t xml:space="preserve"> </w:t>
      </w:r>
      <w:r>
        <w:rPr>
          <w:iCs/>
          <w:i/>
        </w:rPr>
        <w:t xml:space="preserve">gpucomputer.pl</w:t>
      </w:r>
      <w:r>
        <w:t xml:space="preserve"> </w:t>
      </w:r>
      <w:r>
        <w:t xml:space="preserve">and the operational division of roles: Waldek handled all customer communications while Mateusz worked in the Netherlands</w:t>
      </w:r>
      <w:r>
        <w:t xml:space="preserve"> </w:t>
      </w:r>
      <w:r>
        <w:rPr>
          <w:vertAlign w:val="superscript"/>
        </w:rPr>
        <w:footnoteReference w:id="3"/>
      </w:r>
      <w:r>
        <w:t xml:space="preserve">. Directing perpetration (</w:t>
      </w:r>
      <w:r>
        <w:rPr>
          <w:iCs/>
          <w:i/>
        </w:rPr>
        <w:t xml:space="preserve">sprawstwo kierownicze</w:t>
      </w:r>
      <w:r>
        <w:t xml:space="preserve">) is harder to prove because Waldek personally executed statutory features rather than merely directing another</w:t>
      </w:r>
      <w:r>
        <w:t xml:space="preserve"> </w:t>
      </w:r>
      <w:r>
        <w:rPr>
          <w:vertAlign w:val="superscript"/>
        </w:rPr>
        <w:footnoteReference w:id="4"/>
      </w:r>
      <w:r>
        <w:t xml:space="preserve">; aiding (</w:t>
      </w:r>
      <w:r>
        <w:rPr>
          <w:iCs/>
          <w:i/>
        </w:rPr>
        <w:t xml:space="preserve">pomocnictwo</w:t>
      </w:r>
      <w:r>
        <w:t xml:space="preserve">, art. 18 § 3 KK) remains a viable fallback with the sentencing leverage of extraordinary mitigation (art. 19 § 2 KK)</w:t>
      </w:r>
      <w:r>
        <w:t xml:space="preserve"> </w:t>
      </w:r>
      <w:r>
        <w:rPr>
          <w:vertAlign w:val="superscript"/>
        </w:rPr>
        <w:footnoteReference w:id="5"/>
      </w:r>
      <w:r>
        <w:t xml:space="preserve">.</w:t>
      </w:r>
    </w:p>
    <w:bookmarkEnd w:id="21"/>
    <w:bookmarkStart w:id="22" w:name="X2f2fff6125d99d36116899199e324609cead5eb"/>
    <w:p>
      <w:pPr>
        <w:pStyle w:val="Heading2"/>
      </w:pPr>
      <w:r>
        <w:t xml:space="preserve">Evidence: Sufficient for Charging Standard, Strengthenable</w:t>
      </w:r>
    </w:p>
    <w:p>
      <w:pPr>
        <w:pStyle w:val="FirstParagraph"/>
      </w:pPr>
      <w:r>
        <w:t xml:space="preserve">The existing evidence already satisfies the art. 313</w:t>
      </w:r>
      <w:r>
        <w:t xml:space="preserve"> </w:t>
      </w:r>
      <w:r>
        <w:rPr>
          <w:iCs/>
          <w:i/>
        </w:rPr>
        <w:t xml:space="preserve">k.p.k.</w:t>
      </w:r>
      <w:r>
        <w:t xml:space="preserve"> </w:t>
      </w:r>
      <w:r>
        <w:t xml:space="preserve">charging standard (</w:t>
      </w:r>
      <w:r>
        <w:t xml:space="preserve">“</w:t>
      </w:r>
      <w:r>
        <w:t xml:space="preserve">dostateczne podstawy</w:t>
      </w:r>
      <w:r>
        <w:t xml:space="preserve">”</w:t>
      </w:r>
      <w:r>
        <w:t xml:space="preserve">)</w:t>
      </w:r>
      <w:r>
        <w:t xml:space="preserve"> </w:t>
      </w:r>
      <w:r>
        <w:rPr>
          <w:vertAlign w:val="superscript"/>
        </w:rPr>
        <w:footnoteReference w:id="6"/>
      </w:r>
      <w:r>
        <w:t xml:space="preserve">. The evidence strength ranking is:</w:t>
      </w:r>
      <w:r>
        <w:t xml:space="preserve"> </w:t>
      </w:r>
      <w:r>
        <w:rPr>
          <w:bCs/>
          <w:b/>
        </w:rPr>
        <w:t xml:space="preserve">contradictory explanations</w:t>
      </w:r>
      <w:r>
        <w:t xml:space="preserve"> </w:t>
      </w:r>
      <w:r>
        <w:t xml:space="preserve">&gt;</w:t>
      </w:r>
      <w:r>
        <w:t xml:space="preserve"> </w:t>
      </w:r>
      <w:r>
        <w:rPr>
          <w:bCs/>
          <w:b/>
        </w:rPr>
        <w:t xml:space="preserve">dual mailbox control</w:t>
      </w:r>
      <w:r>
        <w:t xml:space="preserve"> </w:t>
      </w:r>
      <w:r>
        <w:t xml:space="preserve">&gt;</w:t>
      </w:r>
      <w:r>
        <w:t xml:space="preserve"> </w:t>
      </w:r>
      <w:r>
        <w:rPr>
          <w:bCs/>
          <w:b/>
        </w:rPr>
        <w:t xml:space="preserve">refund promises</w:t>
      </w:r>
      <w:r>
        <w:t xml:space="preserve"> </w:t>
      </w:r>
      <w:r>
        <w:t xml:space="preserve">&gt;</w:t>
      </w:r>
      <w:r>
        <w:t xml:space="preserve"> </w:t>
      </w:r>
      <w:r>
        <w:rPr>
          <w:bCs/>
          <w:b/>
        </w:rPr>
        <w:t xml:space="preserve">brand co-publishing</w:t>
      </w:r>
      <w:r>
        <w:t xml:space="preserve"> </w:t>
      </w:r>
      <w:r>
        <w:t xml:space="preserve">&gt;</w:t>
      </w:r>
      <w:r>
        <w:t xml:space="preserve"> </w:t>
      </w:r>
      <w:r>
        <w:rPr>
          <w:bCs/>
          <w:b/>
        </w:rPr>
        <w:t xml:space="preserve">de facto operation</w:t>
      </w:r>
      <w:r>
        <w:t xml:space="preserve"> </w:t>
      </w:r>
      <w:r>
        <w:t xml:space="preserve">&gt;</w:t>
      </w:r>
      <w:r>
        <w:t xml:space="preserve"> </w:t>
      </w:r>
      <w:r>
        <w:rPr>
          <w:bCs/>
          <w:b/>
        </w:rPr>
        <w:t xml:space="preserve">shared surname</w:t>
      </w:r>
      <w:r>
        <w:t xml:space="preserve"> </w:t>
      </w:r>
      <w:r>
        <w:rPr>
          <w:vertAlign w:val="superscript"/>
        </w:rPr>
        <w:footnoteReference w:id="7"/>
      </w:r>
      <w:r>
        <w:t xml:space="preserve"> </w:t>
      </w:r>
      <w:r>
        <w:rPr>
          <w:vertAlign w:val="superscript"/>
        </w:rPr>
        <w:footnoteReference w:id="8"/>
      </w:r>
      <w:r>
        <w:t xml:space="preserve">. The contradictory explanations alone demonstrate</w:t>
      </w:r>
      <w:r>
        <w:t xml:space="preserve"> </w:t>
      </w:r>
      <w:r>
        <w:rPr>
          <w:iCs/>
          <w:i/>
        </w:rPr>
        <w:t xml:space="preserve">dolus directus coloratus</w:t>
      </w:r>
      <w:r>
        <w:t xml:space="preserve"> </w:t>
      </w:r>
      <w:r>
        <w:t xml:space="preserve">— both versions cannot be true, so both are fabrications, proving Waldek knew no goods existed</w:t>
      </w:r>
      <w:r>
        <w:t xml:space="preserve"> </w:t>
      </w:r>
      <w:fldSimple w:instr="NOTEREF _Ref_Footnote_2 \h \f">
        <w:r>
          <w:rPr>
            <w:vertAlign w:val="superscript"/>
          </w:rPr>
          <w:t>2</w:t>
        </w:r>
      </w:fldSimple>
      <w:r>
        <w:t xml:space="preserve">. The most critical missing piece is</w:t>
      </w:r>
      <w:r>
        <w:t xml:space="preserve"> </w:t>
      </w:r>
      <w:r>
        <w:rPr>
          <w:bCs/>
          <w:b/>
        </w:rPr>
        <w:t xml:space="preserve">IP logs</w:t>
      </w:r>
      <w:r>
        <w:t xml:space="preserve"> </w:t>
      </w:r>
      <w:r>
        <w:t xml:space="preserve">linking the email accounts to Waldek’s devices; the prosecutor should prioritize securing these under art. 218a</w:t>
      </w:r>
      <w:r>
        <w:t xml:space="preserve"> </w:t>
      </w:r>
      <w:r>
        <w:rPr>
          <w:iCs/>
          <w:i/>
        </w:rPr>
        <w:t xml:space="preserve">k.p.k.</w:t>
      </w:r>
      <w:r>
        <w:t xml:space="preserve"> </w:t>
      </w:r>
      <w:r>
        <w:t xml:space="preserve">before retention periods expire</w:t>
      </w:r>
      <w:r>
        <w:t xml:space="preserve"> </w:t>
      </w:r>
      <w:r>
        <w:rPr>
          <w:vertAlign w:val="superscript"/>
        </w:rPr>
        <w:footnoteReference w:id="9"/>
      </w:r>
      <w:r>
        <w:t xml:space="preserve">.</w:t>
      </w:r>
    </w:p>
    <w:bookmarkEnd w:id="22"/>
    <w:bookmarkStart w:id="23" w:name="X7ed333aa37fc93ceb21e16a1f77605d3ddecf82"/>
    <w:p>
      <w:pPr>
        <w:pStyle w:val="Heading2"/>
      </w:pPr>
      <w:r>
        <w:t xml:space="preserve">Civil Bridge: Two Parallel Recovery Mechanisms</w:t>
      </w:r>
    </w:p>
    <w:p>
      <w:pPr>
        <w:pStyle w:val="FirstParagraph"/>
      </w:pPr>
      <w:r>
        <w:t xml:space="preserve">A criminal conviction of Waldek activates two independent civil recovery tools.</w:t>
      </w:r>
      <w:r>
        <w:t xml:space="preserve"> </w:t>
      </w:r>
      <w:r>
        <w:rPr>
          <w:bCs/>
          <w:b/>
        </w:rPr>
        <w:t xml:space="preserve">First</w:t>
      </w:r>
      <w:r>
        <w:t xml:space="preserve">, art. 46 KK restitution within the criminal proceeding itself: the court applies civil law principles (art. 441 § 1</w:t>
      </w:r>
      <w:r>
        <w:t xml:space="preserve"> </w:t>
      </w:r>
      <w:r>
        <w:rPr>
          <w:iCs/>
          <w:i/>
        </w:rPr>
        <w:t xml:space="preserve">Kodeks Cywilny</w:t>
      </w:r>
      <w:r>
        <w:t xml:space="preserve">,</w:t>
      </w:r>
      <w:r>
        <w:t xml:space="preserve"> </w:t>
      </w:r>
      <w:r>
        <w:t xml:space="preserve">“</w:t>
      </w:r>
      <w:r>
        <w:t xml:space="preserve">KC</w:t>
      </w:r>
      <w:r>
        <w:t xml:space="preserve">”</w:t>
      </w:r>
      <w:r>
        <w:t xml:space="preserve">) to impose</w:t>
      </w:r>
      <w:r>
        <w:t xml:space="preserve"> </w:t>
      </w:r>
      <w:r>
        <w:rPr>
          <w:bCs/>
          <w:b/>
        </w:rPr>
        <w:t xml:space="preserve">solidary liability</w:t>
      </w:r>
      <w:r>
        <w:t xml:space="preserve"> </w:t>
      </w:r>
      <w:r>
        <w:t xml:space="preserve">on co-perpetrators, meaning Waldek can be ordered to pay the full 155,000 PLN despite never receiving the transfer</w:t>
      </w:r>
      <w:r>
        <w:t xml:space="preserve"> </w:t>
      </w:r>
      <w:r>
        <w:rPr>
          <w:vertAlign w:val="superscript"/>
        </w:rPr>
        <w:footnoteReference w:id="10"/>
      </w:r>
      <w:r>
        <w:t xml:space="preserve"> </w:t>
      </w:r>
      <w:r>
        <w:rPr>
          <w:vertAlign w:val="superscript"/>
        </w:rPr>
        <w:footnoteReference w:id="11"/>
      </w:r>
      <w:r>
        <w:t xml:space="preserve"> </w:t>
      </w:r>
      <w:r>
        <w:rPr>
          <w:vertAlign w:val="superscript"/>
        </w:rPr>
        <w:footnoteReference w:id="12"/>
      </w:r>
      <w:r>
        <w:t xml:space="preserve">.</w:t>
      </w:r>
      <w:r>
        <w:t xml:space="preserve"> </w:t>
      </w:r>
      <w:r>
        <w:rPr>
          <w:bCs/>
          <w:b/>
        </w:rPr>
        <w:t xml:space="preserve">Second</w:t>
      </w:r>
      <w:r>
        <w:t xml:space="preserve">, art. 11</w:t>
      </w:r>
      <w:r>
        <w:t xml:space="preserve"> </w:t>
      </w:r>
      <w:r>
        <w:rPr>
          <w:iCs/>
          <w:i/>
        </w:rPr>
        <w:t xml:space="preserve">Kodeks Postępowania Cywilnego</w:t>
      </w:r>
      <w:r>
        <w:t xml:space="preserve"> </w:t>
      </w:r>
      <w:r>
        <w:t xml:space="preserve">(</w:t>
      </w:r>
      <w:r>
        <w:rPr>
          <w:iCs/>
          <w:i/>
        </w:rPr>
        <w:t xml:space="preserve">k.p.c.</w:t>
      </w:r>
      <w:r>
        <w:t xml:space="preserve">) prejudicate effect: the criminal conviction binds any subsequent civil court as to the fact that Waldek participated in the fraud, enabling a tort claim under art. 415 KC + art. 441 § 1 KC</w:t>
      </w:r>
      <w:r>
        <w:t xml:space="preserve"> </w:t>
      </w:r>
      <w:fldSimple w:instr="NOTEREF _Ref_Footnote_6 \h \f">
        <w:r>
          <w:rPr>
            <w:vertAlign w:val="superscript"/>
          </w:rPr>
          <w:t>6</w:t>
        </w:r>
      </w:fldSimple>
      <w:r>
        <w:t xml:space="preserve"> </w:t>
      </w:r>
      <w:r>
        <w:rPr>
          <w:vertAlign w:val="superscript"/>
        </w:rPr>
        <w:footnoteReference w:id="13"/>
      </w:r>
      <w:r>
        <w:t xml:space="preserve">. The contract-privity objection only blocks</w:t>
      </w:r>
      <w:r>
        <w:t xml:space="preserve"> </w:t>
      </w:r>
      <w:r>
        <w:rPr>
          <w:bCs/>
          <w:b/>
        </w:rPr>
        <w:t xml:space="preserve">contract</w:t>
      </w:r>
      <w:r>
        <w:t xml:space="preserve"> </w:t>
      </w:r>
      <w:r>
        <w:t xml:space="preserve">claims (art. 443 KC realm) — tort claims coexist freely and bypass privity entirely</w:t>
      </w:r>
      <w:r>
        <w:t xml:space="preserve"> </w:t>
      </w:r>
      <w:r>
        <w:rPr>
          <w:vertAlign w:val="superscript"/>
        </w:rPr>
        <w:footnoteReference w:id="14"/>
      </w:r>
      <w:r>
        <w:t xml:space="preserve"> </w:t>
      </w:r>
      <w:r>
        <w:rPr>
          <w:vertAlign w:val="superscript"/>
        </w:rPr>
        <w:footnoteReference w:id="15"/>
      </w:r>
      <w:r>
        <w:t xml:space="preserve">. The SO Warszawa X GC 639/11 precedent is directly on point: an organizer who was not the contracting party was held liable in tort for a fraudulent scheme</w:t>
      </w:r>
      <w:r>
        <w:t xml:space="preserve"> </w:t>
      </w:r>
      <w:r>
        <w:rPr>
          <w:vertAlign w:val="superscript"/>
        </w:rPr>
        <w:footnoteReference w:id="16"/>
      </w:r>
      <w:r>
        <w:t xml:space="preserve">.</w:t>
      </w:r>
    </w:p>
    <w:bookmarkEnd w:id="23"/>
    <w:bookmarkStart w:id="24" w:name="X1f0f80f1cfdc59d8aa14bc59529e404977ecdbb"/>
    <w:p>
      <w:pPr>
        <w:pStyle w:val="Heading2"/>
      </w:pPr>
      <w:r>
        <w:t xml:space="preserve">Alternative Theories Without Criminal Conviction</w:t>
      </w:r>
    </w:p>
    <w:p>
      <w:pPr>
        <w:pStyle w:val="FirstParagraph"/>
      </w:pPr>
      <w:r>
        <w:t xml:space="preserve">Even without a prior criminal conviction, alternative civil theories exist with varying strength: direct tort (art. 415 KC) at</w:t>
      </w:r>
      <w:r>
        <w:t xml:space="preserve"> </w:t>
      </w:r>
      <w:r>
        <w:rPr>
          <w:bCs/>
          <w:b/>
        </w:rPr>
        <w:t xml:space="preserve">MODERATE</w:t>
      </w:r>
      <w:r>
        <w:t xml:space="preserve"> </w:t>
      </w:r>
      <w:r>
        <w:t xml:space="preserve">strength if Waldek made independent false representations</w:t>
      </w:r>
      <w:r>
        <w:t xml:space="preserve"> </w:t>
      </w:r>
      <w:r>
        <w:rPr>
          <w:vertAlign w:val="superscript"/>
        </w:rPr>
        <w:footnoteReference w:id="17"/>
      </w:r>
      <w:r>
        <w:t xml:space="preserve">; art. 422 KC</w:t>
      </w:r>
      <w:r>
        <w:t xml:space="preserve"> </w:t>
      </w:r>
      <w:r>
        <w:rPr>
          <w:iCs/>
          <w:i/>
        </w:rPr>
        <w:t xml:space="preserve">pomocnictwo</w:t>
      </w:r>
      <w:r>
        <w:t xml:space="preserve"> </w:t>
      </w:r>
      <w:r>
        <w:t xml:space="preserve">at</w:t>
      </w:r>
      <w:r>
        <w:t xml:space="preserve"> </w:t>
      </w:r>
      <w:r>
        <w:rPr>
          <w:bCs/>
          <w:b/>
        </w:rPr>
        <w:t xml:space="preserve">MODERATE</w:t>
      </w:r>
      <w:r>
        <w:t xml:space="preserve"> </w:t>
      </w:r>
      <w:r>
        <w:t xml:space="preserve">strength if he knowingly facilitated the fraud</w:t>
      </w:r>
      <w:r>
        <w:t xml:space="preserve"> </w:t>
      </w:r>
      <w:r>
        <w:rPr>
          <w:vertAlign w:val="superscript"/>
        </w:rPr>
        <w:footnoteReference w:id="18"/>
      </w:r>
      <w:r>
        <w:t xml:space="preserve"> </w:t>
      </w:r>
      <w:r>
        <w:rPr>
          <w:vertAlign w:val="superscript"/>
        </w:rPr>
        <w:footnoteReference w:id="19"/>
      </w:r>
      <w:r>
        <w:t xml:space="preserve">;</w:t>
      </w:r>
      <w:r>
        <w:t xml:space="preserve"> </w:t>
      </w:r>
      <w:r>
        <w:rPr>
          <w:iCs/>
          <w:i/>
        </w:rPr>
        <w:t xml:space="preserve">bezpodstawne wzbogacenie</w:t>
      </w:r>
      <w:r>
        <w:t xml:space="preserve"> </w:t>
      </w:r>
      <w:r>
        <w:t xml:space="preserve">(art. 405 KC) at</w:t>
      </w:r>
      <w:r>
        <w:t xml:space="preserve"> </w:t>
      </w:r>
      <w:r>
        <w:rPr>
          <w:bCs/>
          <w:b/>
        </w:rPr>
        <w:t xml:space="preserve">WEAK</w:t>
      </w:r>
      <w:r>
        <w:t xml:space="preserve"> </w:t>
      </w:r>
      <w:r>
        <w:t xml:space="preserve">due to the broken</w:t>
      </w:r>
      <w:r>
        <w:t xml:space="preserve"> </w:t>
      </w:r>
      <w:r>
        <w:t xml:space="preserve">“</w:t>
      </w:r>
      <w:r>
        <w:rPr>
          <w:iCs/>
          <w:i/>
        </w:rPr>
        <w:t xml:space="preserve">kosztem innej osoby</w:t>
      </w:r>
      <w:r>
        <w:t xml:space="preserve">”</w:t>
      </w:r>
      <w:r>
        <w:t xml:space="preserve"> </w:t>
      </w:r>
      <w:r>
        <w:t xml:space="preserve">chain</w:t>
      </w:r>
      <w:r>
        <w:t xml:space="preserve"> </w:t>
      </w:r>
      <w:r>
        <w:rPr>
          <w:vertAlign w:val="superscript"/>
        </w:rPr>
        <w:footnoteReference w:id="20"/>
      </w:r>
      <w:r>
        <w:t xml:space="preserve"> </w:t>
      </w:r>
      <w:r>
        <w:rPr>
          <w:vertAlign w:val="superscript"/>
        </w:rPr>
        <w:footnoteReference w:id="21"/>
      </w:r>
      <w:r>
        <w:t xml:space="preserve">;</w:t>
      </w:r>
      <w:r>
        <w:t xml:space="preserve"> </w:t>
      </w:r>
      <w:r>
        <w:rPr>
          <w:iCs/>
          <w:i/>
        </w:rPr>
        <w:t xml:space="preserve">firmanctwo</w:t>
      </w:r>
      <w:r>
        <w:t xml:space="preserve"> </w:t>
      </w:r>
      <w:r>
        <w:t xml:space="preserve">at</w:t>
      </w:r>
      <w:r>
        <w:t xml:space="preserve"> </w:t>
      </w:r>
      <w:r>
        <w:rPr>
          <w:bCs/>
          <w:b/>
        </w:rPr>
        <w:t xml:space="preserve">VERY WEAK</w:t>
      </w:r>
      <w:r>
        <w:t xml:space="preserve"> </w:t>
      </w:r>
      <w:r>
        <w:t xml:space="preserve">as it creates only tax liability, not civil recovery</w:t>
      </w:r>
      <w:r>
        <w:t xml:space="preserve"> </w:t>
      </w:r>
      <w:r>
        <w:rPr>
          <w:vertAlign w:val="superscript"/>
        </w:rPr>
        <w:footnoteReference w:id="22"/>
      </w:r>
      <w:r>
        <w:t xml:space="preserve">; and</w:t>
      </w:r>
      <w:r>
        <w:t xml:space="preserve"> </w:t>
      </w:r>
      <w:r>
        <w:rPr>
          <w:iCs/>
          <w:i/>
        </w:rPr>
        <w:t xml:space="preserve">działanie faktyczne</w:t>
      </w:r>
      <w:r>
        <w:t xml:space="preserve"> </w:t>
      </w:r>
      <w:r>
        <w:t xml:space="preserve">(de facto operation) at</w:t>
      </w:r>
      <w:r>
        <w:t xml:space="preserve"> </w:t>
      </w:r>
      <w:r>
        <w:rPr>
          <w:bCs/>
          <w:b/>
        </w:rPr>
        <w:t xml:space="preserve">WEAK</w:t>
      </w:r>
      <w:r>
        <w:t xml:space="preserve"> </w:t>
      </w:r>
      <w:r>
        <w:t xml:space="preserve">absent an established general civil doctrine</w:t>
      </w:r>
      <w:r>
        <w:t xml:space="preserve"> </w:t>
      </w:r>
      <w:fldSimple w:instr="NOTEREF _Ref_Footnote_22 \h \f">
        <w:r>
          <w:rPr>
            <w:vertAlign w:val="superscript"/>
          </w:rPr>
          <w:t>22</w:t>
        </w:r>
      </w:fldSimple>
      <w:r>
        <w:t xml:space="preserve">.</w:t>
      </w:r>
    </w:p>
    <w:bookmarkEnd w:id="24"/>
    <w:bookmarkStart w:id="25" w:name="Xd02aa65df00e98615568d14c47886d35306a429"/>
    <w:p>
      <w:pPr>
        <w:pStyle w:val="Heading2"/>
      </w:pPr>
      <w:r>
        <w:t xml:space="preserve">Zawiadomienie Strategy: Name Both from Day One</w:t>
      </w:r>
    </w:p>
    <w:p>
      <w:pPr>
        <w:pStyle w:val="FirstParagraph"/>
      </w:pPr>
      <w:r>
        <w:t xml:space="preserve">The criminal complaint (</w:t>
      </w:r>
      <w:r>
        <w:rPr>
          <w:iCs/>
          <w:i/>
        </w:rPr>
        <w:t xml:space="preserve">zawiadomienie</w:t>
      </w:r>
      <w:r>
        <w:t xml:space="preserve">) should name</w:t>
      </w:r>
      <w:r>
        <w:t xml:space="preserve"> </w:t>
      </w:r>
      <w:r>
        <w:rPr>
          <w:bCs/>
          <w:b/>
        </w:rPr>
        <w:t xml:space="preserve">both</w:t>
      </w:r>
      <w:r>
        <w:t xml:space="preserve"> </w:t>
      </w:r>
      <w:r>
        <w:t xml:space="preserve">Mateusz Szklarski and Waldemar Łopata from the outset. Naming has</w:t>
      </w:r>
      <w:r>
        <w:t xml:space="preserve"> </w:t>
      </w:r>
      <w:r>
        <w:rPr>
          <w:bCs/>
          <w:b/>
        </w:rPr>
        <w:t xml:space="preserve">zero procedural downside</w:t>
      </w:r>
      <w:r>
        <w:t xml:space="preserve">: the named person does not acquire</w:t>
      </w:r>
      <w:r>
        <w:t xml:space="preserve"> </w:t>
      </w:r>
      <w:r>
        <w:rPr>
          <w:iCs/>
          <w:i/>
        </w:rPr>
        <w:t xml:space="preserve">podejrzany</w:t>
      </w:r>
      <w:r>
        <w:t xml:space="preserve"> </w:t>
      </w:r>
      <w:r>
        <w:t xml:space="preserve">(suspect) status, notification rights, or any procedural guarantees — only formal charge presentation (art. 71 § 1</w:t>
      </w:r>
      <w:r>
        <w:t xml:space="preserve"> </w:t>
      </w:r>
      <w:r>
        <w:rPr>
          <w:iCs/>
          <w:i/>
        </w:rPr>
        <w:t xml:space="preserve">k.p.k.</w:t>
      </w:r>
      <w:r>
        <w:t xml:space="preserve">) triggers those</w:t>
      </w:r>
      <w:r>
        <w:t xml:space="preserve"> </w:t>
      </w:r>
      <w:r>
        <w:rPr>
          <w:vertAlign w:val="superscript"/>
        </w:rPr>
        <w:footnoteReference w:id="23"/>
      </w:r>
      <w:r>
        <w:t xml:space="preserve"> </w:t>
      </w:r>
      <w:r>
        <w:rPr>
          <w:vertAlign w:val="superscript"/>
        </w:rPr>
        <w:footnoteReference w:id="24"/>
      </w:r>
      <w:r>
        <w:t xml:space="preserve">. The strategic upside is significant: it ensures the prosecutor investigates Waldek from day one, secures time-sensitive evidence (IP logs, 12-month telecommunications retention) before expiration, and frames the case as co-perpetration rather than single-perpetrator JDG fraud</w:t>
      </w:r>
      <w:r>
        <w:t xml:space="preserve"> </w:t>
      </w:r>
      <w:r>
        <w:rPr>
          <w:vertAlign w:val="superscript"/>
        </w:rPr>
        <w:footnoteReference w:id="25"/>
      </w:r>
      <w:r>
        <w:t xml:space="preserve">. Naming only Mateusz risks the prosecutor never discovering Waldek — especially given the cross-border complexity of Mateusz residing in the Netherlands.</w:t>
      </w:r>
    </w:p>
    <w:bookmarkEnd w:id="25"/>
    <w:bookmarkStart w:id="26" w:name="strategic-recommendation"/>
    <w:p>
      <w:pPr>
        <w:pStyle w:val="Heading2"/>
      </w:pPr>
      <w:r>
        <w:t xml:space="preserve">Strategic Recommendation</w:t>
      </w:r>
    </w:p>
    <w:p>
      <w:pPr>
        <w:pStyle w:val="FirstParagraph"/>
      </w:pPr>
      <w:r>
        <w:rPr>
          <w:bCs/>
          <w:b/>
        </w:rPr>
        <w:t xml:space="preserve">File the</w:t>
      </w:r>
      <w:r>
        <w:rPr>
          <w:bCs/>
          <w:b/>
        </w:rPr>
        <w:t xml:space="preserve"> </w:t>
      </w:r>
      <w:r>
        <w:rPr>
          <w:iCs/>
          <w:i/>
          <w:bCs/>
          <w:b/>
        </w:rPr>
        <w:t xml:space="preserve">zawiadomienie</w:t>
      </w:r>
      <w:r>
        <w:rPr>
          <w:bCs/>
          <w:b/>
        </w:rPr>
        <w:t xml:space="preserve"> </w:t>
      </w:r>
      <w:r>
        <w:rPr>
          <w:bCs/>
          <w:b/>
        </w:rPr>
        <w:t xml:space="preserve">immediately, naming both Mateusz and Waldek as co-perpetrators</w:t>
      </w:r>
      <w:r>
        <w:t xml:space="preserve">, with a detailed evidence map highlighting the dual-mailbox control and contradictory explanations. Request art. 46 KK restitution and authenticate Wayback Machine captures through a notary. Treat the criminal proceeding as</w:t>
      </w:r>
      <w:r>
        <w:t xml:space="preserve"> </w:t>
      </w:r>
      <w:r>
        <w:rPr>
          <w:bCs/>
          <w:b/>
        </w:rPr>
        <w:t xml:space="preserve">subsidized evidence gathering</w:t>
      </w:r>
      <w:r>
        <w:t xml:space="preserve"> </w:t>
      </w:r>
      <w:r>
        <w:t xml:space="preserve">for the civil claim — cooperate actively with the prosecutor, request specific evidence collection (IP logs, bank records, billing data), and monitor JDG solvency. If Waldek is convicted, enforce restitution plus reserve the civil tort claim; if not convicted, assess standalone tort based on evidence gathered; if Mateusz’s JDG becomes insolvent, Waldek becomes the</w:t>
      </w:r>
      <w:r>
        <w:t xml:space="preserve"> </w:t>
      </w:r>
      <w:r>
        <w:rPr>
          <w:bCs/>
          <w:b/>
        </w:rPr>
        <w:t xml:space="preserve">primary recovery target</w:t>
      </w:r>
      <w:r>
        <w:t xml:space="preserve"> </w:t>
      </w:r>
      <w:r>
        <w:t xml:space="preserve">through solidary liability. The barrier is not the law — it is the speed of action before retention periods expire and evidence degrades.</w:t>
      </w:r>
      <w:r>
        <w:t xml:space="preserve"> </w:t>
      </w:r>
      <w:r>
        <w:t xml:space="preserve"># 1. Criminal Co-Perpetration Theory</w:t>
      </w:r>
    </w:p>
    <w:bookmarkEnd w:id="26"/>
    <w:bookmarkStart w:id="31" w:name="Xa8579337b4f131955ca7784f1d26e0d4cd88418"/>
    <w:p>
      <w:pPr>
        <w:pStyle w:val="Heading2"/>
      </w:pPr>
      <w:r>
        <w:t xml:space="preserve">1.1 The Foundational Offense: Art. 286 § 1 KK (Oszustwo)</w:t>
      </w:r>
    </w:p>
    <w:bookmarkStart w:id="27" w:name="the-five-statutory-elements-of-fraud"/>
    <w:p>
      <w:pPr>
        <w:pStyle w:val="Heading3"/>
      </w:pPr>
      <w:r>
        <w:t xml:space="preserve">1.1.1 The Five Statutory Elements of Fraud</w:t>
      </w:r>
    </w:p>
    <w:p>
      <w:pPr>
        <w:pStyle w:val="FirstParagraph"/>
      </w:pPr>
      <w:r>
        <w:t xml:space="preserve">Before analysing Waldemar Łopata’s (</w:t>
      </w:r>
      <w:r>
        <w:t xml:space="preserve">“</w:t>
      </w:r>
      <w:r>
        <w:t xml:space="preserve">Waldek</w:t>
      </w:r>
      <w:r>
        <w:t xml:space="preserve">”</w:t>
      </w:r>
      <w:r>
        <w:t xml:space="preserve">) liability as a co-perpetrator, it is necessary to establish that the underlying offense — fraud under Article 286 § 1 of the Polish Criminal Code (</w:t>
      </w:r>
      <w:r>
        <w:rPr>
          <w:iCs/>
          <w:i/>
        </w:rPr>
        <w:t xml:space="preserve">Kodeks Karny</w:t>
      </w:r>
      <w:r>
        <w:t xml:space="preserve">,</w:t>
      </w:r>
      <w:r>
        <w:t xml:space="preserve"> </w:t>
      </w:r>
      <w:r>
        <w:t xml:space="preserve">“</w:t>
      </w:r>
      <w:r>
        <w:t xml:space="preserve">KK</w:t>
      </w:r>
      <w:r>
        <w:t xml:space="preserve">”</w:t>
      </w:r>
      <w:r>
        <w:t xml:space="preserve">) — has been committed. This provision criminalises conduct where a perpetrator, with the aim of obtaining a pecuniary advantage (</w:t>
      </w:r>
      <w:r>
        <w:rPr>
          <w:iCs/>
          <w:i/>
        </w:rPr>
        <w:t xml:space="preserve">korzyść majątkowa</w:t>
      </w:r>
      <w:r>
        <w:t xml:space="preserve">), introduces another person into error (</w:t>
      </w:r>
      <w:r>
        <w:rPr>
          <w:iCs/>
          <w:i/>
        </w:rPr>
        <w:t xml:space="preserve">wprowadzenie w błąd</w:t>
      </w:r>
      <w:r>
        <w:t xml:space="preserve">) and thereby causes that person to dispose of their property to their own detriment (</w:t>
      </w:r>
      <w:r>
        <w:rPr>
          <w:iCs/>
          <w:i/>
        </w:rPr>
        <w:t xml:space="preserve">niekorzystne rozporządzenie mieniem</w:t>
      </w:r>
      <w:r>
        <w:t xml:space="preserve">)</w:t>
      </w:r>
      <w:r>
        <w:t xml:space="preserve"> </w:t>
      </w:r>
      <w:r>
        <w:rPr>
          <w:vertAlign w:val="superscript"/>
        </w:rPr>
        <w:footnoteReference w:id="26"/>
      </w:r>
      <w:r>
        <w:t xml:space="preserve"> </w:t>
      </w:r>
      <w:fldSimple w:instr="NOTEREF _Ref_Footnote_10 \h \f">
        <w:r>
          <w:rPr>
            <w:vertAlign w:val="superscript"/>
          </w:rPr>
          <w:t>10</w:t>
        </w:r>
      </w:fldSimple>
      <w:r>
        <w:t xml:space="preserve"> </w:t>
      </w:r>
      <w:r>
        <w:rPr>
          <w:vertAlign w:val="superscript"/>
        </w:rPr>
        <w:footnoteReference w:id="27"/>
      </w:r>
      <w:r>
        <w:t xml:space="preserve">. Polish criminal doctrine and jurisprudence have distilled five cumulative elements that the prosecution must prove beyond reasonable doubt.</w:t>
      </w:r>
    </w:p>
    <w:p>
      <w:pPr>
        <w:pStyle w:val="BodyText"/>
      </w:pPr>
      <w:r>
        <w:rPr>
          <w:bCs/>
          <w:b/>
        </w:rPr>
        <w:t xml:space="preserve">First</w:t>
      </w:r>
      <w:r>
        <w:t xml:space="preserve">, the perpetrator must engage in</w:t>
      </w:r>
      <w:r>
        <w:t xml:space="preserve"> </w:t>
      </w:r>
      <w:r>
        <w:rPr>
          <w:iCs/>
          <w:i/>
        </w:rPr>
        <w:t xml:space="preserve">wprowadzenie w błąd</w:t>
      </w:r>
      <w:r>
        <w:t xml:space="preserve"> </w:t>
      </w:r>
      <w:r>
        <w:t xml:space="preserve">— the deception element. This consists in causing a discrepancy between objective reality and the victim’s mental representation of it. As the Appellate Court in Kraków (Sąd Apelacyjny,</w:t>
      </w:r>
      <w:r>
        <w:t xml:space="preserve"> </w:t>
      </w:r>
      <w:r>
        <w:t xml:space="preserve">“</w:t>
      </w:r>
      <w:r>
        <w:t xml:space="preserve">SA</w:t>
      </w:r>
      <w:r>
        <w:t xml:space="preserve">”</w:t>
      </w:r>
      <w:r>
        <w:t xml:space="preserve">) formulated in its landmark judgment II AKa 145/11:</w:t>
      </w:r>
      <w:r>
        <w:t xml:space="preserve"> </w:t>
      </w:r>
      <w:r>
        <w:t xml:space="preserve">“</w:t>
      </w:r>
      <w:r>
        <w:rPr>
          <w:iCs/>
          <w:i/>
        </w:rPr>
        <w:t xml:space="preserve">wprowadzeniem w błąd może być każde zachowanie powodujące błędną ocenę rzeczywistości adresata tych podstępnych zabiegów</w:t>
      </w:r>
      <w:r>
        <w:t xml:space="preserve">”</w:t>
      </w:r>
      <w:r>
        <w:t xml:space="preserve"> </w:t>
      </w:r>
      <w:fldSimple w:instr="NOTEREF _Ref_Footnote_26 \h \f">
        <w:r>
          <w:rPr>
            <w:vertAlign w:val="superscript"/>
          </w:rPr>
          <w:t>26</w:t>
        </w:r>
      </w:fldSimple>
      <w:r>
        <w:t xml:space="preserve">. The means of deception are unlimited — it may occur orally, in writing, by remote communication, or even by conduct (</w:t>
      </w:r>
      <w:r>
        <w:rPr>
          <w:iCs/>
          <w:i/>
        </w:rPr>
        <w:t xml:space="preserve">działanie dorozumiane</w:t>
      </w:r>
      <w:r>
        <w:t xml:space="preserve">)</w:t>
      </w:r>
      <w:r>
        <w:t xml:space="preserve"> </w:t>
      </w:r>
      <w:fldSimple w:instr="NOTEREF _Ref_Footnote_26 \h \f">
        <w:r>
          <w:rPr>
            <w:vertAlign w:val="superscript"/>
          </w:rPr>
          <w:t>26</w:t>
        </w:r>
      </w:fldSimple>
      <w:r>
        <w:t xml:space="preserve"> </w:t>
      </w:r>
      <w:fldSimple w:instr="NOTEREF _Ref_Footnote_2 \h \f">
        <w:r>
          <w:rPr>
            <w:vertAlign w:val="superscript"/>
          </w:rPr>
          <w:t>2</w:t>
        </w:r>
      </w:fldSimple>
      <w:r>
        <w:t xml:space="preserve"> </w:t>
      </w:r>
      <w:fldSimple w:instr="NOTEREF _Ref_Footnote_13 \h \f">
        <w:r>
          <w:rPr>
            <w:vertAlign w:val="superscript"/>
          </w:rPr>
          <w:t>13</w:t>
        </w:r>
      </w:fldSimple>
      <w:r>
        <w:t xml:space="preserve">.</w:t>
      </w:r>
    </w:p>
    <w:p>
      <w:pPr>
        <w:pStyle w:val="BodyText"/>
      </w:pPr>
      <w:r>
        <w:rPr>
          <w:bCs/>
          <w:b/>
        </w:rPr>
        <w:t xml:space="preserve">Second</w:t>
      </w:r>
      <w:r>
        <w:t xml:space="preserve">, the victim must act</w:t>
      </w:r>
      <w:r>
        <w:t xml:space="preserve"> </w:t>
      </w:r>
      <w:r>
        <w:rPr>
          <w:iCs/>
          <w:i/>
        </w:rPr>
        <w:t xml:space="preserve">pod wpływem błędu</w:t>
      </w:r>
      <w:r>
        <w:t xml:space="preserve"> </w:t>
      </w:r>
      <w:r>
        <w:t xml:space="preserve">(under the influence of error). The error must be</w:t>
      </w:r>
      <w:r>
        <w:t xml:space="preserve"> </w:t>
      </w:r>
      <w:r>
        <w:t xml:space="preserve">“</w:t>
      </w:r>
      <w:r>
        <w:t xml:space="preserve">material</w:t>
      </w:r>
      <w:r>
        <w:t xml:space="preserve">”</w:t>
      </w:r>
      <w:r>
        <w:t xml:space="preserve"> </w:t>
      </w:r>
      <w:r>
        <w:t xml:space="preserve">(</w:t>
      </w:r>
      <w:r>
        <w:rPr>
          <w:iCs/>
          <w:i/>
        </w:rPr>
        <w:t xml:space="preserve">istotny</w:t>
      </w:r>
      <w:r>
        <w:t xml:space="preserve">) — meaning it must concern circumstances that influenced the decision to dispose of property. As the Supreme Court (</w:t>
      </w:r>
      <w:r>
        <w:rPr>
          <w:iCs/>
          <w:i/>
        </w:rPr>
        <w:t xml:space="preserve">Sąd Najwyższy</w:t>
      </w:r>
      <w:r>
        <w:t xml:space="preserve">,</w:t>
      </w:r>
      <w:r>
        <w:t xml:space="preserve"> </w:t>
      </w:r>
      <w:r>
        <w:t xml:space="preserve">“</w:t>
      </w:r>
      <w:r>
        <w:t xml:space="preserve">SN</w:t>
      </w:r>
      <w:r>
        <w:t xml:space="preserve">”</w:t>
      </w:r>
      <w:r>
        <w:t xml:space="preserve">) held in V KK 449/24 (2025), the materiality of error is evaluated in the context of its influence on the property disposition decision:</w:t>
      </w:r>
      <w:r>
        <w:t xml:space="preserve"> </w:t>
      </w:r>
      <w:r>
        <w:t xml:space="preserve">“</w:t>
      </w:r>
      <w:r>
        <w:rPr>
          <w:iCs/>
          <w:i/>
        </w:rPr>
        <w:t xml:space="preserve">istotność błędu ocenia się w kontekście wpływu na decyzję o rozporządzeniu mieniem</w:t>
      </w:r>
      <w:r>
        <w:t xml:space="preserve">”</w:t>
      </w:r>
      <w:r>
        <w:t xml:space="preserve"> </w:t>
      </w:r>
      <w:fldSimple w:instr="NOTEREF _Ref_Footnote_26 \h \f">
        <w:r>
          <w:rPr>
            <w:vertAlign w:val="superscript"/>
          </w:rPr>
          <w:t>26</w:t>
        </w:r>
      </w:fldSimple>
      <w:r>
        <w:t xml:space="preserve">.</w:t>
      </w:r>
    </w:p>
    <w:p>
      <w:pPr>
        <w:pStyle w:val="BodyText"/>
      </w:pPr>
      <w:r>
        <w:rPr>
          <w:bCs/>
          <w:b/>
        </w:rPr>
        <w:t xml:space="preserve">Third</w:t>
      </w:r>
      <w:r>
        <w:t xml:space="preserve">, the victim must engage in</w:t>
      </w:r>
      <w:r>
        <w:t xml:space="preserve"> </w:t>
      </w:r>
      <w:r>
        <w:rPr>
          <w:iCs/>
          <w:i/>
        </w:rPr>
        <w:t xml:space="preserve">niekorzystne rozporządzenie mieniem</w:t>
      </w:r>
      <w:r>
        <w:t xml:space="preserve"> </w:t>
      </w:r>
      <w:r>
        <w:t xml:space="preserve">— the voluntary disposal of property to their detriment. This makes fraud a</w:t>
      </w:r>
      <w:r>
        <w:t xml:space="preserve"> </w:t>
      </w:r>
      <w:r>
        <w:rPr>
          <w:iCs/>
          <w:i/>
        </w:rPr>
        <w:t xml:space="preserve">przestępstwo materialne</w:t>
      </w:r>
      <w:r>
        <w:t xml:space="preserve"> </w:t>
      </w:r>
      <w:r>
        <w:t xml:space="preserve">(result-oriented offense); without this element, only attempted fraud (</w:t>
      </w:r>
      <w:r>
        <w:rPr>
          <w:iCs/>
          <w:i/>
        </w:rPr>
        <w:t xml:space="preserve">usiłowanie</w:t>
      </w:r>
      <w:r>
        <w:t xml:space="preserve">) is established</w:t>
      </w:r>
      <w:r>
        <w:t xml:space="preserve"> </w:t>
      </w:r>
      <w:fldSimple w:instr="NOTEREF _Ref_Footnote_26 \h \f">
        <w:r>
          <w:rPr>
            <w:vertAlign w:val="superscript"/>
          </w:rPr>
          <w:t>26</w:t>
        </w:r>
      </w:fldSimple>
      <w:r>
        <w:t xml:space="preserve">. The buyer’s transfer of 155,000 PLN to the seller’s account squarely satisfies this requirement.</w:t>
      </w:r>
    </w:p>
    <w:p>
      <w:pPr>
        <w:pStyle w:val="BodyText"/>
      </w:pPr>
      <w:r>
        <w:rPr>
          <w:bCs/>
          <w:b/>
        </w:rPr>
        <w:t xml:space="preserve">Fourth</w:t>
      </w:r>
      <w:r>
        <w:t xml:space="preserve">, the victim must suffer</w:t>
      </w:r>
      <w:r>
        <w:t xml:space="preserve"> </w:t>
      </w:r>
      <w:r>
        <w:rPr>
          <w:iCs/>
          <w:i/>
        </w:rPr>
        <w:t xml:space="preserve">szkoda majątkowa</w:t>
      </w:r>
      <w:r>
        <w:t xml:space="preserve"> </w:t>
      </w:r>
      <w:r>
        <w:t xml:space="preserve">(property damage), which in prepayment fraud consists in the loss of the prepaid amount without receiving the promised goods</w:t>
      </w:r>
      <w:r>
        <w:t xml:space="preserve"> </w:t>
      </w:r>
      <w:fldSimple w:instr="NOTEREF _Ref_Footnote_26 \h \f">
        <w:r>
          <w:rPr>
            <w:vertAlign w:val="superscript"/>
          </w:rPr>
          <w:t>26</w:t>
        </w:r>
      </w:fldSimple>
      <w:r>
        <w:t xml:space="preserve">.</w:t>
      </w:r>
    </w:p>
    <w:p>
      <w:pPr>
        <w:pStyle w:val="BodyText"/>
      </w:pPr>
      <w:r>
        <w:rPr>
          <w:bCs/>
          <w:b/>
        </w:rPr>
        <w:t xml:space="preserve">Fifth</w:t>
      </w:r>
      <w:r>
        <w:t xml:space="preserve">, the perpetrator must act with</w:t>
      </w:r>
      <w:r>
        <w:t xml:space="preserve"> </w:t>
      </w:r>
      <w:r>
        <w:rPr>
          <w:iCs/>
          <w:i/>
        </w:rPr>
        <w:t xml:space="preserve">zamiar bezpośredni kierunkowy</w:t>
      </w:r>
      <w:r>
        <w:t xml:space="preserve"> </w:t>
      </w:r>
      <w:r>
        <w:t xml:space="preserve">(direct intent with specific purpose —</w:t>
      </w:r>
      <w:r>
        <w:t xml:space="preserve"> </w:t>
      </w:r>
      <w:r>
        <w:rPr>
          <w:iCs/>
          <w:i/>
        </w:rPr>
        <w:t xml:space="preserve">dolus directus coloratus</w:t>
      </w:r>
      <w:r>
        <w:t xml:space="preserve">). As the SN held in IV KK 192/03, fraud is a</w:t>
      </w:r>
      <w:r>
        <w:t xml:space="preserve"> </w:t>
      </w:r>
      <w:r>
        <w:t xml:space="preserve">“</w:t>
      </w:r>
      <w:r>
        <w:rPr>
          <w:iCs/>
          <w:i/>
        </w:rPr>
        <w:t xml:space="preserve">przestępstwem umyślnym zaliczanym do tzw. celowościowej odmiany przestępstw kierunkowych</w:t>
      </w:r>
      <w:r>
        <w:t xml:space="preserve">”</w:t>
      </w:r>
      <w:r>
        <w:t xml:space="preserve"> </w:t>
      </w:r>
      <w:r>
        <w:t xml:space="preserve">— the perpetrator must not only want the prohibited result but must specifically intend to achieve pecuniary advantage through the means of deception</w:t>
      </w:r>
      <w:r>
        <w:t xml:space="preserve"> </w:t>
      </w:r>
      <w:fldSimple w:instr="NOTEREF _Ref_Footnote_26 \h \f">
        <w:r>
          <w:rPr>
            <w:vertAlign w:val="superscript"/>
          </w:rPr>
          <w:t>26</w:t>
        </w:r>
      </w:fldSimple>
      <w:r>
        <w:t xml:space="preserve"> </w:t>
      </w:r>
      <w:r>
        <w:rPr>
          <w:vertAlign w:val="superscript"/>
        </w:rPr>
        <w:footnoteReference w:id="28"/>
      </w:r>
      <w:r>
        <w:t xml:space="preserve">. This element excludes liability based on</w:t>
      </w:r>
      <w:r>
        <w:t xml:space="preserve"> </w:t>
      </w:r>
      <w:r>
        <w:rPr>
          <w:iCs/>
          <w:i/>
        </w:rPr>
        <w:t xml:space="preserve">dolus eventualis</w:t>
      </w:r>
      <w:r>
        <w:t xml:space="preserve"> </w:t>
      </w:r>
      <w:r>
        <w:t xml:space="preserve">(eventual intent) alone</w:t>
      </w:r>
      <w:r>
        <w:t xml:space="preserve"> </w:t>
      </w:r>
      <w:fldSimple w:instr="NOTEREF _Ref_Footnote_2 \h \f">
        <w:r>
          <w:rPr>
            <w:vertAlign w:val="superscript"/>
          </w:rPr>
          <w:t>2</w:t>
        </w:r>
      </w:fldSimple>
      <w:r>
        <w:t xml:space="preserve"> </w:t>
      </w:r>
      <w:fldSimple w:instr="NOTEREF _Ref_Footnote_28 \h \f">
        <w:r>
          <w:rPr>
            <w:vertAlign w:val="superscript"/>
          </w:rPr>
          <w:t>28</w:t>
        </w:r>
      </w:fldSimple>
      <w:r>
        <w:t xml:space="preserve">.</w:t>
      </w:r>
    </w:p>
    <w:bookmarkEnd w:id="27"/>
    <w:bookmarkStart w:id="28" w:name="Xdff796a3f154b0260d2aacc4c81ba935bcfd998"/>
    <w:p>
      <w:pPr>
        <w:pStyle w:val="Heading3"/>
      </w:pPr>
      <w:r>
        <w:t xml:space="preserve">1.1.2 Contradictory Explanations as Evidence of Fabrication</w:t>
      </w:r>
    </w:p>
    <w:p>
      <w:pPr>
        <w:pStyle w:val="FirstParagraph"/>
      </w:pPr>
      <w:r>
        <w:t xml:space="preserve">Waldek provided two logically irreconcilable explanations for the non-delivery: on 24.02.2026, he stated that customs had cleared the goods and only minor components were missing; on 13.05.2026, he claimed the Hong Kong supplier had gone bankrupt. These contradictory explanations are not merely poor customer service — they constitute powerful evidence of</w:t>
      </w:r>
      <w:r>
        <w:t xml:space="preserve"> </w:t>
      </w:r>
      <w:r>
        <w:rPr>
          <w:iCs/>
          <w:i/>
        </w:rPr>
        <w:t xml:space="preserve">wprowadzenie w błąd</w:t>
      </w:r>
      <w:r>
        <w:t xml:space="preserve"> </w:t>
      </w:r>
      <w:r>
        <w:t xml:space="preserve">under Polish fraud doctrine.</w:t>
      </w:r>
    </w:p>
    <w:p>
      <w:pPr>
        <w:pStyle w:val="BodyText"/>
      </w:pPr>
      <w:r>
        <w:t xml:space="preserve">The SA Kraków in II AKa 145/11 explicitly held that</w:t>
      </w:r>
      <w:r>
        <w:t xml:space="preserve"> </w:t>
      </w:r>
      <w:r>
        <w:t xml:space="preserve">“</w:t>
      </w:r>
      <w:r>
        <w:rPr>
          <w:iCs/>
          <w:i/>
        </w:rPr>
        <w:t xml:space="preserve">podstępne zabiegi mogą ograniczyć się nie tylko do jednokrotnego kłamstwa, ale mogą też wiązać się z całą gamą zachowań (w tym zaniechań) mających na celu wywołanie błędu pokrzywdzonego lub utrzymanie go w błędzie</w:t>
      </w:r>
      <w:r>
        <w:t xml:space="preserve">”</w:t>
      </w:r>
      <w:r>
        <w:t xml:space="preserve"> </w:t>
      </w:r>
      <w:fldSimple w:instr="NOTEREF _Ref_Footnote_26 \h \f">
        <w:r>
          <w:rPr>
            <w:vertAlign w:val="superscript"/>
          </w:rPr>
          <w:t>26</w:t>
        </w:r>
      </w:fldSimple>
      <w:r>
        <w:t xml:space="preserve">. The doctrine of</w:t>
      </w:r>
      <w:r>
        <w:t xml:space="preserve"> </w:t>
      </w:r>
      <w:r>
        <w:rPr>
          <w:iCs/>
          <w:i/>
        </w:rPr>
        <w:t xml:space="preserve">utrzymywanie w błędzie</w:t>
      </w:r>
      <w:r>
        <w:t xml:space="preserve"> </w:t>
      </w:r>
      <w:r>
        <w:t xml:space="preserve">(maintaining the victim in error) treats each subsequent false statement as a renewal and extension of the deception element. Critically, if customs had truly cleared the goods (explanation one), the supplier’s subsequent bankruptcy (explanation two) would be irrelevant — the goods would already be available for delivery. The logical impossibility of reconciling these two explanations demonstrates that both are fabrications, and the seller never had the goods or any realistic prospect of obtaining them</w:t>
      </w:r>
      <w:r>
        <w:t xml:space="preserve"> </w:t>
      </w:r>
      <w:fldSimple w:instr="NOTEREF _Ref_Footnote_2 \h \f">
        <w:r>
          <w:rPr>
            <w:vertAlign w:val="superscript"/>
          </w:rPr>
          <w:t>2</w:t>
        </w:r>
      </w:fldSimple>
      <w:r>
        <w:t xml:space="preserve"> </w:t>
      </w:r>
      <w:r>
        <w:rPr>
          <w:vertAlign w:val="superscript"/>
        </w:rPr>
        <w:footnoteReference w:id="29"/>
      </w:r>
      <w:r>
        <w:t xml:space="preserve">. As the SN held in IV KK 403/24 (2025),</w:t>
      </w:r>
      <w:r>
        <w:t xml:space="preserve"> </w:t>
      </w:r>
      <w:r>
        <w:t xml:space="preserve">“</w:t>
      </w:r>
      <w:r>
        <w:rPr>
          <w:iCs/>
          <w:i/>
        </w:rPr>
        <w:t xml:space="preserve">sprawca, który świadomie zataja przed kontrahentem obiektywnie istniejącą sytuację, która ma wpływ na możliwość realizacji umowy, wypełnia znamiona czynu z art. 286 § 1 KK</w:t>
      </w:r>
      <w:r>
        <w:t xml:space="preserve">”</w:t>
      </w:r>
      <w:r>
        <w:t xml:space="preserve"> </w:t>
      </w:r>
      <w:fldSimple w:instr="NOTEREF _Ref_Footnote_26 \h \f">
        <w:r>
          <w:rPr>
            <w:vertAlign w:val="superscript"/>
          </w:rPr>
          <w:t>26</w:t>
        </w:r>
      </w:fldSimple>
      <w:r>
        <w:t xml:space="preserve"> </w:t>
      </w:r>
      <w:fldSimple w:instr="NOTEREF _Ref_Footnote_2 \h \f">
        <w:r>
          <w:rPr>
            <w:vertAlign w:val="superscript"/>
          </w:rPr>
          <w:t>2</w:t>
        </w:r>
      </w:fldSimple>
      <w:r>
        <w:t xml:space="preserve">.</w:t>
      </w:r>
    </w:p>
    <w:bookmarkEnd w:id="28"/>
    <w:bookmarkStart w:id="29" w:name="electronic-deception-via-email"/>
    <w:p>
      <w:pPr>
        <w:pStyle w:val="Heading3"/>
      </w:pPr>
      <w:r>
        <w:t xml:space="preserve">1.1.3 Electronic Deception via Email</w:t>
      </w:r>
    </w:p>
    <w:p>
      <w:pPr>
        <w:pStyle w:val="FirstParagraph"/>
      </w:pPr>
      <w:r>
        <w:t xml:space="preserve">The entire fraudulent scheme was executed through electronic correspondence. Polish courts consistently accept email chains as sufficient evidence of the</w:t>
      </w:r>
      <w:r>
        <w:t xml:space="preserve"> </w:t>
      </w:r>
      <w:r>
        <w:rPr>
          <w:iCs/>
          <w:i/>
        </w:rPr>
        <w:t xml:space="preserve">wprowadzenie w błąd</w:t>
      </w:r>
      <w:r>
        <w:t xml:space="preserve"> </w:t>
      </w:r>
      <w:r>
        <w:t xml:space="preserve">element. The SA Kraków in II AKa 145/11 held that the means of deception may include</w:t>
      </w:r>
      <w:r>
        <w:t xml:space="preserve"> </w:t>
      </w:r>
      <w:r>
        <w:t xml:space="preserve">“</w:t>
      </w:r>
      <w:r>
        <w:rPr>
          <w:iCs/>
          <w:i/>
        </w:rPr>
        <w:t xml:space="preserve">przy użyciu słowa, dokumentów lub innych przedmiotów bądź zachowania się sprawcy</w:t>
      </w:r>
      <w:r>
        <w:t xml:space="preserve">”</w:t>
      </w:r>
      <w:r>
        <w:t xml:space="preserve"> </w:t>
      </w:r>
      <w:fldSimple w:instr="NOTEREF _Ref_Footnote_26 \h \f">
        <w:r>
          <w:rPr>
            <w:vertAlign w:val="superscript"/>
          </w:rPr>
          <w:t>26</w:t>
        </w:r>
      </w:fldSimple>
      <w:r>
        <w:t xml:space="preserve">— written communication, including email, falls squarely within</w:t>
      </w:r>
      <w:r>
        <w:t xml:space="preserve"> </w:t>
      </w:r>
      <w:r>
        <w:t xml:space="preserve">“</w:t>
      </w:r>
      <w:r>
        <w:t xml:space="preserve">słowo.</w:t>
      </w:r>
      <w:r>
        <w:t xml:space="preserve">”</w:t>
      </w:r>
      <w:r>
        <w:t xml:space="preserve"> </w:t>
      </w:r>
      <w:r>
        <w:t xml:space="preserve">Each email from Waldek containing false assurances about delivery status contributed to the chain of deceptive conduct. The dual-mailbox control — simultaneous sending of refund promises from both</w:t>
      </w:r>
      <w:r>
        <w:t xml:space="preserve"> </w:t>
      </w:r>
      <w:r>
        <w:rPr>
          <w:iCs/>
          <w:i/>
        </w:rPr>
        <w:t xml:space="preserve">gpucomputer@gpucomputer.pl</w:t>
      </w:r>
      <w:r>
        <w:t xml:space="preserve"> </w:t>
      </w:r>
      <w:r>
        <w:t xml:space="preserve">and</w:t>
      </w:r>
      <w:r>
        <w:t xml:space="preserve"> </w:t>
      </w:r>
      <w:r>
        <w:rPr>
          <w:iCs/>
          <w:i/>
        </w:rPr>
        <w:t xml:space="preserve">waldek@gpucomputer.pl</w:t>
      </w:r>
      <w:r>
        <w:t xml:space="preserve"> </w:t>
      </w:r>
      <w:r>
        <w:t xml:space="preserve">within one minute — simultaneously demonstrates operational control over the business’s root communication infrastructure and personal involvement in the deception</w:t>
      </w:r>
      <w:r>
        <w:t xml:space="preserve"> </w:t>
      </w:r>
      <w:fldSimple w:instr="NOTEREF _Ref_Footnote_2 \h \f">
        <w:r>
          <w:rPr>
            <w:vertAlign w:val="superscript"/>
          </w:rPr>
          <w:t>2</w:t>
        </w:r>
      </w:fldSimple>
      <w:r>
        <w:t xml:space="preserve">.</w:t>
      </w:r>
    </w:p>
    <w:bookmarkEnd w:id="29"/>
    <w:bookmarkStart w:id="30" w:name="X6566ef84d1f73730b2ecf023da8e98b0a3e4e31"/>
    <w:p>
      <w:pPr>
        <w:pStyle w:val="Heading3"/>
      </w:pPr>
      <w:r>
        <w:t xml:space="preserve">1.1.4 The Refund Promise as Evidence of Fraudulent Intent</w:t>
      </w:r>
    </w:p>
    <w:p>
      <w:pPr>
        <w:pStyle w:val="FirstParagraph"/>
      </w:pPr>
      <w:r>
        <w:t xml:space="preserve">The refund promise that was never honoured operates as evidence of</w:t>
      </w:r>
      <w:r>
        <w:t xml:space="preserve"> </w:t>
      </w:r>
      <w:r>
        <w:rPr>
          <w:iCs/>
          <w:i/>
        </w:rPr>
        <w:t xml:space="preserve">dolus directus coloratus</w:t>
      </w:r>
      <w:r>
        <w:t xml:space="preserve"> </w:t>
      </w:r>
      <w:r>
        <w:t xml:space="preserve">— the specific intent to defraud. The SA Katowice in II AKa 39/16 (2016) held that in commercial transactions founded on mutual trust,</w:t>
      </w:r>
      <w:r>
        <w:t xml:space="preserve"> </w:t>
      </w:r>
      <w:r>
        <w:t xml:space="preserve">“</w:t>
      </w:r>
      <w:r>
        <w:rPr>
          <w:iCs/>
          <w:i/>
        </w:rPr>
        <w:t xml:space="preserve">zachowanie sprawcy, który zapewnia sprzedawcę o zamiarze dotrzymania ustalonego terminu zapłaty, kiedy w rzeczywistości takowego od samego początku nie ma, stanowi ewidentne</w:t>
      </w:r>
      <w:r>
        <w:rPr>
          <w:iCs/>
          <w:i/>
        </w:rPr>
        <w:t xml:space="preserve"> </w:t>
      </w:r>
      <w:r>
        <w:rPr>
          <w:iCs/>
          <w:i/>
        </w:rPr>
        <w:t xml:space="preserve">‘</w:t>
      </w:r>
      <w:r>
        <w:rPr>
          <w:iCs/>
          <w:i/>
        </w:rPr>
        <w:t xml:space="preserve">wprowadzanie w błąd</w:t>
      </w:r>
      <w:r>
        <w:rPr>
          <w:iCs/>
          <w:i/>
        </w:rPr>
        <w:t xml:space="preserve">’</w:t>
      </w:r>
      <w:r>
        <w:t xml:space="preserve">”</w:t>
      </w:r>
      <w:r>
        <w:t xml:space="preserve"> </w:t>
      </w:r>
      <w:fldSimple w:instr="NOTEREF _Ref_Footnote_26 \h \f">
        <w:r>
          <w:rPr>
            <w:vertAlign w:val="superscript"/>
          </w:rPr>
          <w:t>26</w:t>
        </w:r>
      </w:fldSimple>
      <w:r>
        <w:t xml:space="preserve">. By analogy, a seller (or his de facto operator) who promises a refund knowing it will never be issued commits the same fraud. The pattern — taking payment, failing to deliver, promising delivery, then promising refunds that never materialise — constitutes exactly the type of sustained deceptive conduct that Polish criminal law treats as</w:t>
      </w:r>
      <w:r>
        <w:t xml:space="preserve"> </w:t>
      </w:r>
      <w:r>
        <w:rPr>
          <w:iCs/>
          <w:i/>
        </w:rPr>
        <w:t xml:space="preserve">dolus directus coloratus</w:t>
      </w:r>
      <w:r>
        <w:t xml:space="preserve"> </w:t>
      </w:r>
      <w:r>
        <w:t xml:space="preserve">in commercial fraud</w:t>
      </w:r>
      <w:r>
        <w:t xml:space="preserve"> </w:t>
      </w:r>
      <w:fldSimple w:instr="NOTEREF _Ref_Footnote_26 \h \f">
        <w:r>
          <w:rPr>
            <w:vertAlign w:val="superscript"/>
          </w:rPr>
          <w:t>26</w:t>
        </w:r>
      </w:fldSimple>
      <w:r>
        <w:t xml:space="preserve"> </w:t>
      </w:r>
      <w:fldSimple w:instr="NOTEREF _Ref_Footnote_2 \h \f">
        <w:r>
          <w:rPr>
            <w:vertAlign w:val="superscript"/>
          </w:rPr>
          <w:t>2</w:t>
        </w:r>
      </w:fldSimple>
      <w:r>
        <w:t xml:space="preserve">.</w:t>
      </w:r>
    </w:p>
    <w:p>
      <w:r>
        <w:pict>
          <v:rect style="width:0;height:1.5pt" o:hralign="center" o:hrstd="t" o:hr="t"/>
        </w:pict>
      </w:r>
    </w:p>
    <w:bookmarkEnd w:id="30"/>
    <w:bookmarkEnd w:id="31"/>
    <w:bookmarkStart w:id="36" w:name="Xacab47440b91addd4ecd390cad3391d3817c650"/>
    <w:p>
      <w:pPr>
        <w:pStyle w:val="Heading2"/>
      </w:pPr>
      <w:r>
        <w:t xml:space="preserve">1.2 Współsprawstwo: Art. 18 § 1 zd. 2 KK — Co-Perpetration Through Essential Contribution</w:t>
      </w:r>
    </w:p>
    <w:bookmarkStart w:id="32" w:name="porozumienie-and-wspólne-wykonanie"/>
    <w:p>
      <w:pPr>
        <w:pStyle w:val="Heading3"/>
      </w:pPr>
      <w:r>
        <w:t xml:space="preserve">1.2.1 Porozumienie and Wspólne Wykonanie</w:t>
      </w:r>
    </w:p>
    <w:p>
      <w:pPr>
        <w:pStyle w:val="FirstParagraph"/>
      </w:pPr>
      <w:r>
        <w:t xml:space="preserve">Article 18 § 1 sentence 2 KK defines</w:t>
      </w:r>
      <w:r>
        <w:t xml:space="preserve"> </w:t>
      </w:r>
      <w:r>
        <w:rPr>
          <w:iCs/>
          <w:i/>
        </w:rPr>
        <w:t xml:space="preserve">współsprawstwo</w:t>
      </w:r>
      <w:r>
        <w:t xml:space="preserve"> </w:t>
      </w:r>
      <w:r>
        <w:t xml:space="preserve">(co-perpetration) as the joint execution (</w:t>
      </w:r>
      <w:r>
        <w:rPr>
          <w:iCs/>
          <w:i/>
        </w:rPr>
        <w:t xml:space="preserve">wspólnie</w:t>
      </w:r>
      <w:r>
        <w:t xml:space="preserve">) of a prohibited act based on agreement (</w:t>
      </w:r>
      <w:r>
        <w:rPr>
          <w:iCs/>
          <w:i/>
        </w:rPr>
        <w:t xml:space="preserve">w porozumieniu</w:t>
      </w:r>
      <w:r>
        <w:t xml:space="preserve">) between the co-perpetrators</w:t>
      </w:r>
      <w:r>
        <w:t xml:space="preserve"> </w:t>
      </w:r>
      <w:fldSimple w:instr="NOTEREF _Ref_Footnote_4 \h \f">
        <w:r>
          <w:rPr>
            <w:vertAlign w:val="superscript"/>
          </w:rPr>
          <w:t>4</w:t>
        </w:r>
      </w:fldSimple>
      <w:r>
        <w:t xml:space="preserve"> </w:t>
      </w:r>
      <w:fldSimple w:instr="NOTEREF _Ref_Footnote_27 \h \f">
        <w:r>
          <w:rPr>
            <w:vertAlign w:val="superscript"/>
          </w:rPr>
          <w:t>27</w:t>
        </w:r>
      </w:fldSimple>
      <w:r>
        <w:t xml:space="preserve"> </w:t>
      </w:r>
      <w:fldSimple w:instr="NOTEREF _Ref_Footnote_3 \h \f">
        <w:r>
          <w:rPr>
            <w:vertAlign w:val="superscript"/>
          </w:rPr>
          <w:t>3</w:t>
        </w:r>
      </w:fldSimple>
      <w:r>
        <w:t xml:space="preserve">. Both elements must be satisfied.</w:t>
      </w:r>
    </w:p>
    <w:p>
      <w:pPr>
        <w:pStyle w:val="BodyText"/>
      </w:pPr>
      <w:r>
        <w:t xml:space="preserve">The</w:t>
      </w:r>
      <w:r>
        <w:t xml:space="preserve"> </w:t>
      </w:r>
      <w:r>
        <w:rPr>
          <w:iCs/>
          <w:i/>
        </w:rPr>
        <w:t xml:space="preserve">porozumienie</w:t>
      </w:r>
      <w:r>
        <w:t xml:space="preserve"> </w:t>
      </w:r>
      <w:r>
        <w:t xml:space="preserve">(agreement) does not need to be explicit or verbal. Polish doctrine and case law accept that agreement can be</w:t>
      </w:r>
      <w:r>
        <w:t xml:space="preserve"> </w:t>
      </w:r>
      <w:r>
        <w:rPr>
          <w:iCs/>
          <w:i/>
        </w:rPr>
        <w:t xml:space="preserve">tacit</w:t>
      </w:r>
      <w:r>
        <w:t xml:space="preserve"> </w:t>
      </w:r>
      <w:r>
        <w:t xml:space="preserve">(</w:t>
      </w:r>
      <w:r>
        <w:rPr>
          <w:iCs/>
          <w:i/>
        </w:rPr>
        <w:t xml:space="preserve">dorozumiane</w:t>
      </w:r>
      <w:r>
        <w:t xml:space="preserve">) or</w:t>
      </w:r>
      <w:r>
        <w:t xml:space="preserve"> </w:t>
      </w:r>
      <w:r>
        <w:rPr>
          <w:iCs/>
          <w:i/>
        </w:rPr>
        <w:t xml:space="preserve">inferred from conduct</w:t>
      </w:r>
      <w:r>
        <w:t xml:space="preserve"> </w:t>
      </w:r>
      <w:r>
        <w:t xml:space="preserve">(</w:t>
      </w:r>
      <w:r>
        <w:rPr>
          <w:iCs/>
          <w:i/>
        </w:rPr>
        <w:t xml:space="preserve">per facta concludentia</w:t>
      </w:r>
      <w:r>
        <w:t xml:space="preserve">). As academic materials from the University of Wrocław explain:</w:t>
      </w:r>
      <w:r>
        <w:t xml:space="preserve"> </w:t>
      </w:r>
      <w:r>
        <w:t xml:space="preserve">“</w:t>
      </w:r>
      <w:r>
        <w:rPr>
          <w:iCs/>
          <w:i/>
        </w:rPr>
        <w:t xml:space="preserve">Porozumienie przestępcze może być zawarte w każdej możliwej formie, przy czym może mieć charakter wyraźny, np. werbalnego uzgodnienia wraz z podziałem zadań, lub dorozumiany, np. porozumiewawcze mrugnięcie okiem, szturchnięcie lub cmoknięcie</w:t>
      </w:r>
      <w:r>
        <w:t xml:space="preserve">”</w:t>
      </w:r>
      <w:r>
        <w:t xml:space="preserve"> </w:t>
      </w:r>
      <w:fldSimple w:instr="NOTEREF _Ref_Footnote_3 \h \f">
        <w:r>
          <w:rPr>
            <w:vertAlign w:val="superscript"/>
          </w:rPr>
          <w:t>3</w:t>
        </w:r>
      </w:fldSimple>
      <w:r>
        <w:t xml:space="preserve">. The SA Lublin in II AKa 168/13 held that agreement</w:t>
      </w:r>
      <w:r>
        <w:t xml:space="preserve"> </w:t>
      </w:r>
      <w:r>
        <w:t xml:space="preserve">“</w:t>
      </w:r>
      <w:r>
        <w:rPr>
          <w:iCs/>
          <w:i/>
        </w:rPr>
        <w:t xml:space="preserve">jest tacznikiem, spoiwem, który determinuje, iż każdy współdziałający odpowiada również za to, co zrobili inni współsprawcy</w:t>
      </w:r>
      <w:r>
        <w:t xml:space="preserve">”</w:t>
      </w:r>
      <w:r>
        <w:t xml:space="preserve"> </w:t>
      </w:r>
      <w:fldSimple w:instr="NOTEREF _Ref_Footnote_3 \h \f">
        <w:r>
          <w:rPr>
            <w:vertAlign w:val="superscript"/>
          </w:rPr>
          <w:t>3</w:t>
        </w:r>
      </w:fldSimple>
      <w:r>
        <w:t xml:space="preserve">. In Waldek’s case, the agreement element is supported by: (a) decade-long brand co-publishing of</w:t>
      </w:r>
      <w:r>
        <w:t xml:space="preserve"> </w:t>
      </w:r>
      <w:r>
        <w:t xml:space="preserve">“</w:t>
      </w:r>
      <w:r>
        <w:t xml:space="preserve">3dkrakow</w:t>
      </w:r>
      <w:r>
        <w:t xml:space="preserve">”</w:t>
      </w:r>
      <w:r>
        <w:t xml:space="preserve"> </w:t>
      </w:r>
      <w:r>
        <w:t xml:space="preserve">on</w:t>
      </w:r>
      <w:r>
        <w:t xml:space="preserve"> </w:t>
      </w:r>
      <w:r>
        <w:rPr>
          <w:iCs/>
          <w:i/>
        </w:rPr>
        <w:t xml:space="preserve">gpucomputer.pl</w:t>
      </w:r>
      <w:r>
        <w:t xml:space="preserve"> </w:t>
      </w:r>
      <w:r>
        <w:t xml:space="preserve">since 2016, indicating a structured commercial partnership; (b) the functional division of roles — Waldek handled all communications while Mateusz (the formal JDG owner) worked in the Netherlands; (c) simultaneous email sending from both addresses demonstrating coordinated action; and (d) the shared surname (Łopata) suggesting a family relationship facilitating trust and coordination</w:t>
      </w:r>
      <w:r>
        <w:t xml:space="preserve"> </w:t>
      </w:r>
      <w:fldSimple w:instr="NOTEREF _Ref_Footnote_3 \h \f">
        <w:r>
          <w:rPr>
            <w:vertAlign w:val="superscript"/>
          </w:rPr>
          <w:t>3</w:t>
        </w:r>
      </w:fldSimple>
      <w:r>
        <w:t xml:space="preserve"> </w:t>
      </w:r>
      <w:fldSimple w:instr="NOTEREF _Ref_Footnote_2 \h \f">
        <w:r>
          <w:rPr>
            <w:vertAlign w:val="superscript"/>
          </w:rPr>
          <w:t>2</w:t>
        </w:r>
      </w:fldSimple>
      <w:r>
        <w:t xml:space="preserve">.</w:t>
      </w:r>
    </w:p>
    <w:bookmarkEnd w:id="32"/>
    <w:bookmarkStart w:id="33" w:name="the-istotny-wkład-doctrine"/>
    <w:p>
      <w:pPr>
        <w:pStyle w:val="Heading3"/>
      </w:pPr>
      <w:r>
        <w:t xml:space="preserve">1.2.2 The</w:t>
      </w:r>
      <w:r>
        <w:t xml:space="preserve"> </w:t>
      </w:r>
      <w:r>
        <w:t xml:space="preserve">“</w:t>
      </w:r>
      <w:r>
        <w:t xml:space="preserve">Istotny Wkład</w:t>
      </w:r>
      <w:r>
        <w:t xml:space="preserve">”</w:t>
      </w:r>
      <w:r>
        <w:t xml:space="preserve"> </w:t>
      </w:r>
      <w:r>
        <w:t xml:space="preserve">Doctrine</w:t>
      </w:r>
    </w:p>
    <w:p>
      <w:pPr>
        <w:pStyle w:val="FirstParagraph"/>
      </w:pPr>
      <w:r>
        <w:t xml:space="preserve">The dominant</w:t>
      </w:r>
      <w:r>
        <w:t xml:space="preserve"> </w:t>
      </w:r>
      <w:r>
        <w:rPr>
          <w:iCs/>
          <w:i/>
        </w:rPr>
        <w:t xml:space="preserve">material-objective theory</w:t>
      </w:r>
      <w:r>
        <w:t xml:space="preserve"> </w:t>
      </w:r>
      <w:r>
        <w:t xml:space="preserve">(</w:t>
      </w:r>
      <w:r>
        <w:rPr>
          <w:iCs/>
          <w:i/>
        </w:rPr>
        <w:t xml:space="preserve">teoria materialno-obiektywna</w:t>
      </w:r>
      <w:r>
        <w:t xml:space="preserve">) in Polish jurisprudence holds that a co-perpetrator need not personally realise all statutory features of the offense. It is sufficient that their contribution was a</w:t>
      </w:r>
      <w:r>
        <w:t xml:space="preserve"> </w:t>
      </w:r>
      <w:r>
        <w:t xml:space="preserve">“</w:t>
      </w:r>
      <w:r>
        <w:rPr>
          <w:iCs/>
          <w:i/>
        </w:rPr>
        <w:t xml:space="preserve">konieczny lub bardzo istotny warunek</w:t>
      </w:r>
      <w:r>
        <w:t xml:space="preserve">”</w:t>
      </w:r>
      <w:r>
        <w:t xml:space="preserve"> </w:t>
      </w:r>
      <w:r>
        <w:t xml:space="preserve">(necessary or very important condition) for another co-perpetrator to realise the statutory features</w:t>
      </w:r>
      <w:r>
        <w:t xml:space="preserve"> </w:t>
      </w:r>
      <w:fldSimple w:instr="NOTEREF _Ref_Footnote_1 \h \f">
        <w:r>
          <w:rPr>
            <w:vertAlign w:val="superscript"/>
          </w:rPr>
          <w:t>1</w:t>
        </w:r>
      </w:fldSimple>
      <w:r>
        <w:t xml:space="preserve"> </w:t>
      </w:r>
      <w:r>
        <w:rPr>
          <w:vertAlign w:val="superscript"/>
        </w:rPr>
        <w:footnoteReference w:id="30"/>
      </w:r>
      <w:r>
        <w:t xml:space="preserve">. As the SN held in its judgment of 8 December 2011 (II KK 162/11),</w:t>
      </w:r>
      <w:r>
        <w:t xml:space="preserve"> </w:t>
      </w:r>
      <w:r>
        <w:t xml:space="preserve">“</w:t>
      </w:r>
      <w:r>
        <w:rPr>
          <w:iCs/>
          <w:i/>
        </w:rPr>
        <w:t xml:space="preserve">współsprawstwo od strony przedmiotowej nie musi polegać na realizacji wszystkich znamion czasownikowych ujętych w opisie czynu zabronionego. Wymaga natomiast, by sprawca podjął takie zachowanie, które na gruncie przyjętego porozumienia stanowiło konieczny lub bardzo istotny warunek realizacji przez innego współsprawcę znamion czynu zabronionego</w:t>
      </w:r>
      <w:r>
        <w:t xml:space="preserve">”</w:t>
      </w:r>
      <w:r>
        <w:t xml:space="preserve"> </w:t>
      </w:r>
      <w:fldSimple w:instr="NOTEREF _Ref_Footnote_1 \h \f">
        <w:r>
          <w:rPr>
            <w:vertAlign w:val="superscript"/>
          </w:rPr>
          <w:t>1</w:t>
        </w:r>
      </w:fldSimple>
      <w:r>
        <w:t xml:space="preserve">.</w:t>
      </w:r>
    </w:p>
    <w:p>
      <w:pPr>
        <w:pStyle w:val="BodyText"/>
      </w:pPr>
      <w:r>
        <w:t xml:space="preserve">Waldek’s communications control satisfies this doctrine with particular force. The fraud’s</w:t>
      </w:r>
      <w:r>
        <w:t xml:space="preserve"> </w:t>
      </w:r>
      <w:r>
        <w:rPr>
          <w:iCs/>
          <w:i/>
        </w:rPr>
        <w:t xml:space="preserve">wprowadzenie w błąd</w:t>
      </w:r>
      <w:r>
        <w:t xml:space="preserve"> </w:t>
      </w:r>
      <w:r>
        <w:t xml:space="preserve">element was realised entirely through email correspondence — Waldek was the primary (if not sole) point of contact with the victim. His false statements about customs clearance, supplier bankruptcy, and refund timelines directly caused the victim’s erroneous decision to maintain forbearance rather than pursue immediate legal action. Without his communications, the</w:t>
      </w:r>
      <w:r>
        <w:t xml:space="preserve"> </w:t>
      </w:r>
      <w:r>
        <w:rPr>
          <w:iCs/>
          <w:i/>
        </w:rPr>
        <w:t xml:space="preserve">wprowadzenie w błąd</w:t>
      </w:r>
      <w:r>
        <w:t xml:space="preserve"> </w:t>
      </w:r>
      <w:r>
        <w:t xml:space="preserve">element could not have been sustained over the multi-month period during which the fraud operated. His contribution was therefore not merely</w:t>
      </w:r>
      <w:r>
        <w:t xml:space="preserve"> </w:t>
      </w:r>
      <w:r>
        <w:t xml:space="preserve">“</w:t>
      </w:r>
      <w:r>
        <w:t xml:space="preserve">facilitating</w:t>
      </w:r>
      <w:r>
        <w:t xml:space="preserve">”</w:t>
      </w:r>
      <w:r>
        <w:t xml:space="preserve"> </w:t>
      </w:r>
      <w:r>
        <w:t xml:space="preserve">— it was a</w:t>
      </w:r>
      <w:r>
        <w:t xml:space="preserve"> </w:t>
      </w:r>
      <w:r>
        <w:rPr>
          <w:iCs/>
          <w:i/>
        </w:rPr>
        <w:t xml:space="preserve">konieczny lub bardzo istotny warunek</w:t>
      </w:r>
      <w:r>
        <w:t xml:space="preserve"> </w:t>
      </w:r>
      <w:r>
        <w:t xml:space="preserve">for the realisation of the fraud’s statutory features</w:t>
      </w:r>
      <w:r>
        <w:t xml:space="preserve"> </w:t>
      </w:r>
      <w:fldSimple w:instr="NOTEREF _Ref_Footnote_1 \h \f">
        <w:r>
          <w:rPr>
            <w:vertAlign w:val="superscript"/>
          </w:rPr>
          <w:t>1</w:t>
        </w:r>
      </w:fldSimple>
      <w:r>
        <w:t xml:space="preserve"> </w:t>
      </w:r>
      <w:r>
        <w:rPr>
          <w:vertAlign w:val="superscript"/>
        </w:rPr>
        <w:footnoteReference w:id="31"/>
      </w:r>
      <w:r>
        <w:t xml:space="preserve">.</w:t>
      </w:r>
    </w:p>
    <w:bookmarkEnd w:id="33"/>
    <w:bookmarkStart w:id="34" w:name="Xa3a3d907d6a1f3db4fdbac90dbc49cbc9676667"/>
    <w:p>
      <w:pPr>
        <w:pStyle w:val="Heading3"/>
      </w:pPr>
      <w:r>
        <w:t xml:space="preserve">1.2.3 Co-Perpetration Without Formal Contracting Party Status</w:t>
      </w:r>
    </w:p>
    <w:p>
      <w:pPr>
        <w:pStyle w:val="FirstParagraph"/>
      </w:pPr>
      <w:r>
        <w:t xml:space="preserve">A critical objection that Waldek may raise — and one that the victim’s own lawyer has tentatively accepted — is that Waldek cannot be liable because the invoice and bank account were in Mateusz Szklarski’s JDG name. This objection fails under Polish criminal law.</w:t>
      </w:r>
    </w:p>
    <w:p>
      <w:pPr>
        <w:pStyle w:val="BodyText"/>
      </w:pPr>
      <w:r>
        <w:t xml:space="preserve">Article 286 KK establishes a</w:t>
      </w:r>
      <w:r>
        <w:t xml:space="preserve"> </w:t>
      </w:r>
      <w:r>
        <w:rPr>
          <w:iCs/>
          <w:i/>
        </w:rPr>
        <w:t xml:space="preserve">przestępstwo powszechne</w:t>
      </w:r>
      <w:r>
        <w:t xml:space="preserve"> </w:t>
      </w:r>
      <w:r>
        <w:t xml:space="preserve">(general offense) —</w:t>
      </w:r>
      <w:r>
        <w:t xml:space="preserve"> </w:t>
      </w:r>
      <w:r>
        <w:t xml:space="preserve">“</w:t>
      </w:r>
      <w:r>
        <w:rPr>
          <w:iCs/>
          <w:i/>
        </w:rPr>
        <w:t xml:space="preserve">może je popełnić każdy</w:t>
      </w:r>
      <w:r>
        <w:t xml:space="preserve">,</w:t>
      </w:r>
      <w:r>
        <w:t xml:space="preserve">”</w:t>
      </w:r>
      <w:r>
        <w:t xml:space="preserve"> </w:t>
      </w:r>
      <w:r>
        <w:t xml:space="preserve">and the perpetrator</w:t>
      </w:r>
      <w:r>
        <w:t xml:space="preserve"> </w:t>
      </w:r>
      <w:r>
        <w:t xml:space="preserve">“</w:t>
      </w:r>
      <w:r>
        <w:rPr>
          <w:iCs/>
          <w:i/>
        </w:rPr>
        <w:t xml:space="preserve">nie musi się charakteryzować żadnymi szczególnymi cechami</w:t>
      </w:r>
      <w:r>
        <w:t xml:space="preserve">”</w:t>
      </w:r>
      <w:r>
        <w:t xml:space="preserve"> </w:t>
      </w:r>
      <w:fldSimple w:instr="NOTEREF _Ref_Footnote_2 \h \f">
        <w:r>
          <w:rPr>
            <w:vertAlign w:val="superscript"/>
          </w:rPr>
          <w:t>2</w:t>
        </w:r>
      </w:fldSimple>
      <w:r>
        <w:t xml:space="preserve">. Being the formal contracting party, the bank account holder, or the registered business owner is not an element of the offense. What matters is whether the person acted</w:t>
      </w:r>
      <w:r>
        <w:t xml:space="preserve"> </w:t>
      </w:r>
      <w:r>
        <w:rPr>
          <w:iCs/>
          <w:i/>
        </w:rPr>
        <w:t xml:space="preserve">jointly and in agreement</w:t>
      </w:r>
      <w:r>
        <w:t xml:space="preserve"> </w:t>
      </w:r>
      <w:r>
        <w:t xml:space="preserve">with another to execute the prohibited act</w:t>
      </w:r>
      <w:r>
        <w:t xml:space="preserve"> </w:t>
      </w:r>
      <w:fldSimple w:instr="NOTEREF _Ref_Footnote_3 \h \f">
        <w:r>
          <w:rPr>
            <w:vertAlign w:val="superscript"/>
          </w:rPr>
          <w:t>3</w:t>
        </w:r>
      </w:fldSimple>
      <w:r>
        <w:t xml:space="preserve"> </w:t>
      </w:r>
      <w:fldSimple w:instr="NOTEREF _Ref_Footnote_2 \h \f">
        <w:r>
          <w:rPr>
            <w:vertAlign w:val="superscript"/>
          </w:rPr>
          <w:t>2</w:t>
        </w:r>
      </w:fldSimple>
      <w:r>
        <w:t xml:space="preserve">. The SA Katowice in II AKa 384/13 (2014) clarified that co-perpetration should be evaluated based on the</w:t>
      </w:r>
      <w:r>
        <w:t xml:space="preserve"> </w:t>
      </w:r>
      <w:r>
        <w:t xml:space="preserve">“</w:t>
      </w:r>
      <w:r>
        <w:rPr>
          <w:iCs/>
          <w:i/>
        </w:rPr>
        <w:t xml:space="preserve">łączne działanie sprawców</w:t>
      </w:r>
      <w:r>
        <w:t xml:space="preserve">”</w:t>
      </w:r>
      <w:r>
        <w:t xml:space="preserve"> </w:t>
      </w:r>
      <w:r>
        <w:t xml:space="preserve">(joint action of perpetrators), not individual actions assessed separately</w:t>
      </w:r>
      <w:r>
        <w:t xml:space="preserve"> </w:t>
      </w:r>
      <w:fldSimple w:instr="NOTEREF _Ref_Footnote_4 \h \f">
        <w:r>
          <w:rPr>
            <w:vertAlign w:val="superscript"/>
          </w:rPr>
          <w:t>4</w:t>
        </w:r>
      </w:fldSimple>
      <w:r>
        <w:t xml:space="preserve">. The formal ownership of the bank account or business is irrelevant — what matters is the</w:t>
      </w:r>
      <w:r>
        <w:t xml:space="preserve"> </w:t>
      </w:r>
      <w:r>
        <w:rPr>
          <w:iCs/>
          <w:i/>
        </w:rPr>
        <w:t xml:space="preserve">factual role</w:t>
      </w:r>
      <w:r>
        <w:t xml:space="preserve"> </w:t>
      </w:r>
      <w:r>
        <w:t xml:space="preserve">in the criminal enterprise</w:t>
      </w:r>
      <w:r>
        <w:t xml:space="preserve"> </w:t>
      </w:r>
      <w:fldSimple w:instr="NOTEREF _Ref_Footnote_2 \h \f">
        <w:r>
          <w:rPr>
            <w:vertAlign w:val="superscript"/>
          </w:rPr>
          <w:t>2</w:t>
        </w:r>
      </w:fldSimple>
      <w:r>
        <w:t xml:space="preserve"> </w:t>
      </w:r>
      <w:r>
        <w:rPr>
          <w:vertAlign w:val="superscript"/>
        </w:rPr>
        <w:footnoteReference w:id="32"/>
      </w:r>
      <w:r>
        <w:t xml:space="preserve">.</w:t>
      </w:r>
    </w:p>
    <w:bookmarkEnd w:id="34"/>
    <w:bookmarkStart w:id="35" w:name="X0d556724cb028b5c216521efc365740877ab051"/>
    <w:p>
      <w:pPr>
        <w:pStyle w:val="Heading3"/>
      </w:pPr>
      <w:r>
        <w:t xml:space="preserve">1.2.4 Case Law on Co-Perpetration in Business Fraud</w:t>
      </w:r>
    </w:p>
    <w:p>
      <w:pPr>
        <w:pStyle w:val="FirstParagraph"/>
      </w:pPr>
      <w:r>
        <w:t xml:space="preserve">The following table summarises the key case law establishing that de facto operators who handle communications can be held as co-perpetrators of business fraud:</w:t>
      </w:r>
    </w:p>
    <w:tbl>
      <w:tblPr>
        <w:tblStyle w:val="Table"/>
        <w:tblW w:type="pct" w:w="5000"/>
        <w:tblLook w:firstRow="1" w:lastRow="0" w:firstColumn="0" w:lastColumn="0" w:noHBand="0" w:noVBand="0" w:val="0020"/>
      </w:tblPr>
      <w:tblGrid>
        <w:gridCol w:w="766"/>
        <w:gridCol w:w="1660"/>
        <w:gridCol w:w="1660"/>
        <w:gridCol w:w="3832"/>
      </w:tblGrid>
      <w:tr>
        <w:trPr>
          <w:tblHeader w:val="true"/>
        </w:trPr>
        <w:tc>
          <w:tcPr/>
          <w:p>
            <w:pPr>
              <w:pStyle w:val="Compact"/>
              <w:jc w:val="left"/>
            </w:pPr>
            <w:r>
              <w:t xml:space="preserve">Case</w:t>
            </w:r>
          </w:p>
        </w:tc>
        <w:tc>
          <w:tcPr/>
          <w:p>
            <w:pPr>
              <w:pStyle w:val="Compact"/>
              <w:jc w:val="left"/>
            </w:pPr>
            <w:r>
              <w:t xml:space="preserve">Court / Date</w:t>
            </w:r>
          </w:p>
        </w:tc>
        <w:tc>
          <w:tcPr/>
          <w:p>
            <w:pPr>
              <w:pStyle w:val="Compact"/>
              <w:jc w:val="left"/>
            </w:pPr>
            <w:r>
              <w:t xml:space="preserve">Key Holding</w:t>
            </w:r>
          </w:p>
        </w:tc>
        <w:tc>
          <w:tcPr/>
          <w:p>
            <w:pPr>
              <w:pStyle w:val="Compact"/>
              <w:jc w:val="left"/>
            </w:pPr>
            <w:r>
              <w:t xml:space="preserve">Relevance to Waldek’s Conduct</w:t>
            </w:r>
          </w:p>
        </w:tc>
      </w:tr>
      <w:tr>
        <w:tc>
          <w:tcPr/>
          <w:p>
            <w:pPr>
              <w:pStyle w:val="Compact"/>
              <w:jc w:val="left"/>
            </w:pPr>
            <w:r>
              <w:t xml:space="preserve">SA Wrocław, March 2017</w:t>
            </w:r>
            <w:r>
              <w:t xml:space="preserve"> </w:t>
            </w:r>
            <w:fldSimple w:instr="NOTEREF _Ref_Footnote_7 \h \f">
              <w:r>
                <w:rPr>
                  <w:vertAlign w:val="superscript"/>
                </w:rPr>
                <w:t>7</w:t>
              </w:r>
            </w:fldSimple>
          </w:p>
        </w:tc>
        <w:tc>
          <w:tcPr/>
          <w:p>
            <w:pPr>
              <w:pStyle w:val="Compact"/>
              <w:jc w:val="left"/>
            </w:pPr>
            <w:r>
              <w:t xml:space="preserve">Sąd Apelacyjny we Wrocławiu</w:t>
            </w:r>
          </w:p>
        </w:tc>
        <w:tc>
          <w:tcPr/>
          <w:p>
            <w:pPr>
              <w:pStyle w:val="Compact"/>
              <w:jc w:val="left"/>
            </w:pPr>
            <w:r>
              <w:t xml:space="preserve">Registering a firm, handling correspondence, managing bank accounts, receiving and forwarding communications constitutes</w:t>
            </w:r>
            <w:r>
              <w:t xml:space="preserve"> </w:t>
            </w:r>
            <w:r>
              <w:rPr>
                <w:iCs/>
                <w:i/>
              </w:rPr>
              <w:t xml:space="preserve">współsprawstwo</w:t>
            </w:r>
            <w:r>
              <w:t xml:space="preserve">, not merely</w:t>
            </w:r>
            <w:r>
              <w:t xml:space="preserve"> </w:t>
            </w:r>
            <w:r>
              <w:rPr>
                <w:iCs/>
                <w:i/>
              </w:rPr>
              <w:t xml:space="preserve">pomocnictwo</w:t>
            </w:r>
            <w:r>
              <w:t xml:space="preserve"> </w:t>
            </w:r>
            <w:r>
              <w:t xml:space="preserve">—</w:t>
            </w:r>
            <w:r>
              <w:t xml:space="preserve"> </w:t>
            </w:r>
            <w:r>
              <w:t xml:space="preserve">“</w:t>
            </w:r>
            <w:r>
              <w:rPr>
                <w:iCs/>
                <w:i/>
              </w:rPr>
              <w:t xml:space="preserve">bez jego udziału przestępstwo w takiej formie, w takim okresie, przy udziale różnych osób, na taką skalę nie zostałoby popełnione</w:t>
            </w:r>
            <w:r>
              <w:t xml:space="preserve">”</w:t>
            </w:r>
          </w:p>
        </w:tc>
        <w:tc>
          <w:tcPr/>
          <w:p>
            <w:pPr>
              <w:pStyle w:val="Compact"/>
              <w:jc w:val="left"/>
            </w:pPr>
            <w:r>
              <w:t xml:space="preserve">Directly on point: Waldek’s email control and customer communications are functionally identical to the correspondence-handling role that the court treated as co-perpetration</w:t>
            </w:r>
          </w:p>
        </w:tc>
      </w:tr>
      <w:tr>
        <w:tc>
          <w:tcPr/>
          <w:p>
            <w:pPr>
              <w:pStyle w:val="Compact"/>
              <w:jc w:val="left"/>
            </w:pPr>
            <w:r>
              <w:t xml:space="preserve">SN I KR 120/78 (1978)</w:t>
            </w:r>
            <w:r>
              <w:t xml:space="preserve"> </w:t>
            </w:r>
            <w:fldSimple w:instr="NOTEREF _Ref_Footnote_7 \h \f">
              <w:r>
                <w:rPr>
                  <w:vertAlign w:val="superscript"/>
                </w:rPr>
                <w:t>7</w:t>
              </w:r>
            </w:fldSimple>
          </w:p>
        </w:tc>
        <w:tc>
          <w:tcPr/>
          <w:p>
            <w:pPr>
              <w:pStyle w:val="Compact"/>
              <w:jc w:val="left"/>
            </w:pPr>
            <w:r>
              <w:t xml:space="preserve">Sąd Najwyższy</w:t>
            </w:r>
          </w:p>
        </w:tc>
        <w:tc>
          <w:tcPr/>
          <w:p>
            <w:pPr>
              <w:pStyle w:val="Compact"/>
              <w:jc w:val="left"/>
            </w:pPr>
            <w:r>
              <w:t xml:space="preserve">Pioneer case establishing the</w:t>
            </w:r>
            <w:r>
              <w:t xml:space="preserve"> </w:t>
            </w:r>
            <w:r>
              <w:t xml:space="preserve">“</w:t>
            </w:r>
            <w:r>
              <w:t xml:space="preserve">essential contribution</w:t>
            </w:r>
            <w:r>
              <w:t xml:space="preserve">”</w:t>
            </w:r>
            <w:r>
              <w:t xml:space="preserve"> </w:t>
            </w:r>
            <w:r>
              <w:t xml:space="preserve">(</w:t>
            </w:r>
            <w:r>
              <w:rPr>
                <w:iCs/>
                <w:i/>
              </w:rPr>
              <w:t xml:space="preserve">istotny wkład</w:t>
            </w:r>
            <w:r>
              <w:t xml:space="preserve">) theory of co-perpetration — a co-perpetrator need not personally execute statutory features if their role was essential to the offense</w:t>
            </w:r>
          </w:p>
        </w:tc>
        <w:tc>
          <w:tcPr/>
          <w:p>
            <w:pPr>
              <w:pStyle w:val="Compact"/>
              <w:jc w:val="left"/>
            </w:pPr>
            <w:r>
              <w:t xml:space="preserve">Foundational authority: Waldek’s communications control was the essential channel through which the</w:t>
            </w:r>
            <w:r>
              <w:t xml:space="preserve"> </w:t>
            </w:r>
            <w:r>
              <w:rPr>
                <w:iCs/>
                <w:i/>
              </w:rPr>
              <w:t xml:space="preserve">wprowadzenie w błąd</w:t>
            </w:r>
            <w:r>
              <w:t xml:space="preserve"> </w:t>
            </w:r>
            <w:r>
              <w:t xml:space="preserve">element was realised</w:t>
            </w:r>
          </w:p>
        </w:tc>
      </w:tr>
      <w:tr>
        <w:tc>
          <w:tcPr/>
          <w:p>
            <w:pPr>
              <w:pStyle w:val="Compact"/>
              <w:jc w:val="left"/>
            </w:pPr>
            <w:r>
              <w:t xml:space="preserve">SA Katowice II AKa 384/13 (2014)</w:t>
            </w:r>
            <w:r>
              <w:t xml:space="preserve"> </w:t>
            </w:r>
            <w:fldSimple w:instr="NOTEREF _Ref_Footnote_4 \h \f">
              <w:r>
                <w:rPr>
                  <w:vertAlign w:val="superscript"/>
                </w:rPr>
                <w:t>4</w:t>
              </w:r>
            </w:fldSimple>
          </w:p>
        </w:tc>
        <w:tc>
          <w:tcPr/>
          <w:p>
            <w:pPr>
              <w:pStyle w:val="Compact"/>
              <w:jc w:val="left"/>
            </w:pPr>
            <w:r>
              <w:t xml:space="preserve">Sąd Apelacyjny w Katowicach</w:t>
            </w:r>
          </w:p>
        </w:tc>
        <w:tc>
          <w:tcPr/>
          <w:p>
            <w:pPr>
              <w:pStyle w:val="Compact"/>
              <w:jc w:val="left"/>
            </w:pPr>
            <w:r>
              <w:t xml:space="preserve">If the accused personally participated in the criminal action and directly realised statutory features, coordination alone does not make him a</w:t>
            </w:r>
            <w:r>
              <w:t xml:space="preserve"> </w:t>
            </w:r>
            <w:r>
              <w:rPr>
                <w:iCs/>
                <w:i/>
              </w:rPr>
              <w:t xml:space="preserve">sprawca kierowniczy</w:t>
            </w:r>
            <w:r>
              <w:t xml:space="preserve"> </w:t>
            </w:r>
            <w:r>
              <w:t xml:space="preserve">— he is a</w:t>
            </w:r>
            <w:r>
              <w:t xml:space="preserve"> </w:t>
            </w:r>
            <w:r>
              <w:rPr>
                <w:iCs/>
                <w:i/>
              </w:rPr>
              <w:t xml:space="preserve">współsprawca</w:t>
            </w:r>
          </w:p>
        </w:tc>
        <w:tc>
          <w:tcPr/>
          <w:p>
            <w:pPr>
              <w:pStyle w:val="Compact"/>
              <w:jc w:val="left"/>
            </w:pPr>
            <w:r>
              <w:t xml:space="preserve">Waldek personally executed the</w:t>
            </w:r>
            <w:r>
              <w:t xml:space="preserve"> </w:t>
            </w:r>
            <w:r>
              <w:rPr>
                <w:iCs/>
                <w:i/>
              </w:rPr>
              <w:t xml:space="preserve">wprowadzenie w błąd</w:t>
            </w:r>
            <w:r>
              <w:t xml:space="preserve"> </w:t>
            </w:r>
            <w:r>
              <w:t xml:space="preserve">element through his false emails, making him a co-executor rather than merely a director</w:t>
            </w:r>
          </w:p>
        </w:tc>
      </w:tr>
      <w:tr>
        <w:tc>
          <w:tcPr/>
          <w:p>
            <w:pPr>
              <w:pStyle w:val="Compact"/>
              <w:jc w:val="left"/>
            </w:pPr>
            <w:r>
              <w:t xml:space="preserve">SN III KK 108/24 (2024)</w:t>
            </w:r>
            <w:r>
              <w:t xml:space="preserve"> </w:t>
            </w:r>
            <w:r>
              <w:rPr>
                <w:vertAlign w:val="superscript"/>
              </w:rPr>
              <w:footnoteReference w:id="33"/>
            </w:r>
          </w:p>
        </w:tc>
        <w:tc>
          <w:tcPr/>
          <w:p>
            <w:pPr>
              <w:pStyle w:val="Compact"/>
              <w:jc w:val="left"/>
            </w:pPr>
            <w:r>
              <w:t xml:space="preserve">Sąd Najwyższy</w:t>
            </w:r>
          </w:p>
        </w:tc>
        <w:tc>
          <w:tcPr/>
          <w:p>
            <w:pPr>
              <w:pStyle w:val="Compact"/>
              <w:jc w:val="left"/>
            </w:pPr>
            <w:r>
              <w:t xml:space="preserve">Co-perpetration requires precise identification of specific behaviours that necessarily or substantially conditioned the realisation of offense elements by another co-perpetrator</w:t>
            </w:r>
          </w:p>
        </w:tc>
        <w:tc>
          <w:tcPr/>
          <w:p>
            <w:pPr>
              <w:pStyle w:val="Compact"/>
              <w:jc w:val="left"/>
            </w:pPr>
            <w:r>
              <w:t xml:space="preserve">Prosecution must specify exactly what Waldek did (controlled emails, made false promises, gave contradictory explanations) and why this was essential</w:t>
            </w:r>
          </w:p>
        </w:tc>
      </w:tr>
      <w:tr>
        <w:tc>
          <w:tcPr/>
          <w:p>
            <w:pPr>
              <w:pStyle w:val="Compact"/>
              <w:jc w:val="left"/>
            </w:pPr>
            <w:r>
              <w:t xml:space="preserve">SN II KK 162/11 (2011)</w:t>
            </w:r>
            <w:r>
              <w:t xml:space="preserve"> </w:t>
            </w:r>
            <w:fldSimple w:instr="NOTEREF _Ref_Footnote_1 \h \f">
              <w:r>
                <w:rPr>
                  <w:vertAlign w:val="superscript"/>
                </w:rPr>
                <w:t>1</w:t>
              </w:r>
            </w:fldSimple>
          </w:p>
        </w:tc>
        <w:tc>
          <w:tcPr/>
          <w:p>
            <w:pPr>
              <w:pStyle w:val="Compact"/>
              <w:jc w:val="left"/>
            </w:pPr>
            <w:r>
              <w:t xml:space="preserve">Sąd Najwyższy</w:t>
            </w:r>
          </w:p>
        </w:tc>
        <w:tc>
          <w:tcPr/>
          <w:p>
            <w:pPr>
              <w:pStyle w:val="Compact"/>
              <w:jc w:val="left"/>
            </w:pPr>
            <w:r>
              <w:t xml:space="preserve">A co-perpetrator’s behaviour must constitute a</w:t>
            </w:r>
            <w:r>
              <w:t xml:space="preserve"> </w:t>
            </w:r>
            <w:r>
              <w:t xml:space="preserve">“</w:t>
            </w:r>
            <w:r>
              <w:t xml:space="preserve">necessary or very important condition</w:t>
            </w:r>
            <w:r>
              <w:t xml:space="preserve">”</w:t>
            </w:r>
            <w:r>
              <w:t xml:space="preserve"> </w:t>
            </w:r>
            <w:r>
              <w:t xml:space="preserve">for another co-perpetrator to realise statutory features</w:t>
            </w:r>
          </w:p>
        </w:tc>
        <w:tc>
          <w:tcPr/>
          <w:p>
            <w:pPr>
              <w:pStyle w:val="Compact"/>
              <w:jc w:val="left"/>
            </w:pPr>
            <w:r>
              <w:t xml:space="preserve">Waldek’s communications were the necessary condition for sustaining the victim’s error over months</w:t>
            </w:r>
          </w:p>
        </w:tc>
      </w:tr>
      <w:tr>
        <w:tc>
          <w:tcPr/>
          <w:p>
            <w:pPr>
              <w:pStyle w:val="Compact"/>
              <w:jc w:val="left"/>
            </w:pPr>
            <w:r>
              <w:t xml:space="preserve">SA Warszawa II AKa 169/18 (2018)</w:t>
            </w:r>
            <w:r>
              <w:t xml:space="preserve"> </w:t>
            </w:r>
            <w:fldSimple w:instr="NOTEREF _Ref_Footnote_4 \h \f">
              <w:r>
                <w:rPr>
                  <w:vertAlign w:val="superscript"/>
                </w:rPr>
                <w:t>4</w:t>
              </w:r>
            </w:fldSimple>
          </w:p>
        </w:tc>
        <w:tc>
          <w:tcPr/>
          <w:p>
            <w:pPr>
              <w:pStyle w:val="Compact"/>
              <w:jc w:val="left"/>
            </w:pPr>
            <w:r>
              <w:t xml:space="preserve">Sąd Apelacyjny w Warszawie</w:t>
            </w:r>
          </w:p>
        </w:tc>
        <w:tc>
          <w:tcPr/>
          <w:p>
            <w:pPr>
              <w:pStyle w:val="Compact"/>
              <w:jc w:val="left"/>
            </w:pPr>
            <w:r>
              <w:t xml:space="preserve">“</w:t>
            </w:r>
            <w:r>
              <w:rPr>
                <w:iCs/>
                <w:i/>
              </w:rPr>
              <w:t xml:space="preserve">Wystarczy więc, że oskarżeni w ramach podziału ról, podejmowali takie działania, które z działaniami pozostałych uczestników porozumienia zmierzały do dokonania przypisanego czynu</w:t>
            </w:r>
            <w:r>
              <w:t xml:space="preserve">”</w:t>
            </w:r>
          </w:p>
        </w:tc>
        <w:tc>
          <w:tcPr/>
          <w:p>
            <w:pPr>
              <w:pStyle w:val="Compact"/>
              <w:jc w:val="left"/>
            </w:pPr>
            <w:r>
              <w:t xml:space="preserve">The functional division of roles — Waldek on communications, Mateusz on formal structure — satisfies this test</w:t>
            </w:r>
          </w:p>
        </w:tc>
      </w:tr>
    </w:tbl>
    <w:p>
      <w:pPr>
        <w:pStyle w:val="BodyText"/>
      </w:pPr>
      <w:r>
        <w:t xml:space="preserve">The analytical weight of these authorities, read together, is compelling. The SA Wrocław March 2017 judgment is particularly significant because it involved a defendant who performed exactly the type of operational functions that Waldek performed — handling correspondence, managing communications, and performing administrative functions — and the court classified this as co-perpetration, not aiding. The court’s rationale — that</w:t>
      </w:r>
      <w:r>
        <w:t xml:space="preserve"> </w:t>
      </w:r>
      <w:r>
        <w:t xml:space="preserve">“</w:t>
      </w:r>
      <w:r>
        <w:rPr>
          <w:iCs/>
          <w:i/>
        </w:rPr>
        <w:t xml:space="preserve">without his participation, the offense in such form, in such period, with participation of various persons, on such scale would not have been committed</w:t>
      </w:r>
      <w:r>
        <w:t xml:space="preserve">”</w:t>
      </w:r>
      <w:r>
        <w:t xml:space="preserve"> </w:t>
      </w:r>
      <w:r>
        <w:t xml:space="preserve">— applies with equal force to Waldek’s email control and customer communications</w:t>
      </w:r>
      <w:r>
        <w:t xml:space="preserve"> </w:t>
      </w:r>
      <w:fldSimple w:instr="NOTEREF _Ref_Footnote_7 \h \f">
        <w:r>
          <w:rPr>
            <w:vertAlign w:val="superscript"/>
          </w:rPr>
          <w:t>7</w:t>
        </w:r>
      </w:fldSimple>
      <w:r>
        <w:t xml:space="preserve">. The SN III KK 108/24 (2024) adds an important procedural caveat: the prosecution must precisely identify Waldek’s specific behaviours and explain how they conditioned the offence’s realisation</w:t>
      </w:r>
      <w:r>
        <w:t xml:space="preserve"> </w:t>
      </w:r>
      <w:fldSimple w:instr="NOTEREF _Ref_Footnote_33 \h \f">
        <w:r>
          <w:rPr>
            <w:vertAlign w:val="superscript"/>
          </w:rPr>
          <w:t>33</w:t>
        </w:r>
      </w:fldSimple>
      <w:r>
        <w:t xml:space="preserve">. This is not a significant obstacle — the email correspondence provides a documentary record of each deceptive statement.</w:t>
      </w:r>
    </w:p>
    <w:p>
      <w:r>
        <w:pict>
          <v:rect style="width:0;height:1.5pt" o:hralign="center" o:hrstd="t" o:hr="t"/>
        </w:pict>
      </w:r>
    </w:p>
    <w:bookmarkEnd w:id="35"/>
    <w:bookmarkEnd w:id="36"/>
    <w:bookmarkStart w:id="40" w:name="Xf15bc99cdf28d0358bbb01a4d6036a7624ec3b0"/>
    <w:p>
      <w:pPr>
        <w:pStyle w:val="Heading2"/>
      </w:pPr>
      <w:r>
        <w:t xml:space="preserve">1.3 Sprawstwo Kierownicze: Art. 18 § 1 zd. 3 KK — Directing Perpetration</w:t>
      </w:r>
    </w:p>
    <w:bookmarkStart w:id="37" w:name="the-panowanie-nad-czynem-requirement"/>
    <w:p>
      <w:pPr>
        <w:pStyle w:val="Heading3"/>
      </w:pPr>
      <w:r>
        <w:t xml:space="preserve">1.3.1 The</w:t>
      </w:r>
      <w:r>
        <w:t xml:space="preserve"> </w:t>
      </w:r>
      <w:r>
        <w:t xml:space="preserve">“</w:t>
      </w:r>
      <w:r>
        <w:t xml:space="preserve">Panowanie nad Czynem</w:t>
      </w:r>
      <w:r>
        <w:t xml:space="preserve">”</w:t>
      </w:r>
      <w:r>
        <w:t xml:space="preserve"> </w:t>
      </w:r>
      <w:r>
        <w:t xml:space="preserve">Requirement</w:t>
      </w:r>
    </w:p>
    <w:p>
      <w:pPr>
        <w:pStyle w:val="FirstParagraph"/>
      </w:pPr>
      <w:r>
        <w:rPr>
          <w:iCs/>
          <w:i/>
        </w:rPr>
        <w:t xml:space="preserve">Sprawstwo kierownicze</w:t>
      </w:r>
      <w:r>
        <w:t xml:space="preserve"> </w:t>
      </w:r>
      <w:r>
        <w:t xml:space="preserve">(directing perpetration) under Article 18 § 1 sentence 3 KK applies when a person</w:t>
      </w:r>
      <w:r>
        <w:t xml:space="preserve"> </w:t>
      </w:r>
      <w:r>
        <w:t xml:space="preserve">“</w:t>
      </w:r>
      <w:r>
        <w:rPr>
          <w:iCs/>
          <w:i/>
        </w:rPr>
        <w:t xml:space="preserve">kieruje wykonaniem czynu zabronionego przez inną osobę</w:t>
      </w:r>
      <w:r>
        <w:t xml:space="preserve">”</w:t>
      </w:r>
      <w:r>
        <w:t xml:space="preserve"> </w:t>
      </w:r>
      <w:r>
        <w:t xml:space="preserve">(directs the execution of a prohibited act by another person). The defining element is</w:t>
      </w:r>
      <w:r>
        <w:t xml:space="preserve"> </w:t>
      </w:r>
      <w:r>
        <w:rPr>
          <w:iCs/>
          <w:i/>
        </w:rPr>
        <w:t xml:space="preserve">panowanie nad czynem</w:t>
      </w:r>
      <w:r>
        <w:t xml:space="preserve"> </w:t>
      </w:r>
      <w:r>
        <w:t xml:space="preserve">(mastery over the act). According to the landmark SN judgment of 30 May 1975 (Rw 204/75), the essence of directing perpetration is that the directing person has a</w:t>
      </w:r>
      <w:r>
        <w:t xml:space="preserve"> </w:t>
      </w:r>
      <w:r>
        <w:t xml:space="preserve">“</w:t>
      </w:r>
      <w:r>
        <w:rPr>
          <w:iCs/>
          <w:i/>
        </w:rPr>
        <w:t xml:space="preserve">rzeczywista możliwość faktycznego panowania nad rozwojem i przebiegiem bezprawnej akcji</w:t>
      </w:r>
      <w:r>
        <w:t xml:space="preserve">”</w:t>
      </w:r>
      <w:r>
        <w:t xml:space="preserve"> </w:t>
      </w:r>
      <w:r>
        <w:t xml:space="preserve">— a real possibility of factual mastery over the development and course of the unlawful action</w:t>
      </w:r>
      <w:r>
        <w:t xml:space="preserve"> </w:t>
      </w:r>
      <w:r>
        <w:rPr>
          <w:vertAlign w:val="superscript"/>
        </w:rPr>
        <w:footnoteReference w:id="34"/>
      </w:r>
      <w:r>
        <w:t xml:space="preserve"> </w:t>
      </w:r>
      <w:r>
        <w:rPr>
          <w:vertAlign w:val="superscript"/>
        </w:rPr>
        <w:footnoteReference w:id="35"/>
      </w:r>
      <w:r>
        <w:t xml:space="preserve">. Critical to this mastery is that</w:t>
      </w:r>
      <w:r>
        <w:t xml:space="preserve"> </w:t>
      </w:r>
      <w:r>
        <w:t xml:space="preserve">“</w:t>
      </w:r>
      <w:r>
        <w:rPr>
          <w:iCs/>
          <w:i/>
        </w:rPr>
        <w:t xml:space="preserve">od decyzji osoby kierującej popełnieniem przez inną osobę czynu zabronionego zależy rozpoczęcie i prowadzenie, a ewentualnie także zmiana lub nawet przerwanie całej bezprawnej akcji</w:t>
      </w:r>
      <w:r>
        <w:t xml:space="preserve">”</w:t>
      </w:r>
      <w:r>
        <w:t xml:space="preserve"> </w:t>
      </w:r>
      <w:fldSimple w:instr="NOTEREF _Ref_Footnote_34 \h \f">
        <w:r>
          <w:rPr>
            <w:vertAlign w:val="superscript"/>
          </w:rPr>
          <w:t>34</w:t>
        </w:r>
      </w:fldSimple>
      <w:r>
        <w:t xml:space="preserve">.</w:t>
      </w:r>
    </w:p>
    <w:p>
      <w:pPr>
        <w:pStyle w:val="BodyText"/>
      </w:pPr>
      <w:r>
        <w:t xml:space="preserve">The directing perpetrator does not personally execute any statutory features of the offense — the direct executor is merely his</w:t>
      </w:r>
      <w:r>
        <w:t xml:space="preserve"> </w:t>
      </w:r>
      <w:r>
        <w:t xml:space="preserve">“</w:t>
      </w:r>
      <w:r>
        <w:t xml:space="preserve">tool</w:t>
      </w:r>
      <w:r>
        <w:t xml:space="preserve">”</w:t>
      </w:r>
      <w:r>
        <w:t xml:space="preserve"> </w:t>
      </w:r>
      <w:r>
        <w:t xml:space="preserve">(</w:t>
      </w:r>
      <w:r>
        <w:rPr>
          <w:iCs/>
          <w:i/>
        </w:rPr>
        <w:t xml:space="preserve">narzędzie</w:t>
      </w:r>
      <w:r>
        <w:t xml:space="preserve">). As the SA Katowice in II AKa 384/13 clarified:</w:t>
      </w:r>
      <w:r>
        <w:t xml:space="preserve"> </w:t>
      </w:r>
      <w:r>
        <w:t xml:space="preserve">“</w:t>
      </w:r>
      <w:r>
        <w:rPr>
          <w:iCs/>
          <w:i/>
        </w:rPr>
        <w:t xml:space="preserve">sprawca kierowniczy nie wypełnia żadnego z warunków odpowiedzialności wyznaczonych znamionami czynu zabronionego, ponieważ nie dokonuje tego czynu osobiście. Bezpośredni wykonawca czynu zabronionego jest</w:t>
      </w:r>
      <w:r>
        <w:rPr>
          <w:iCs/>
          <w:i/>
        </w:rPr>
        <w:t xml:space="preserve"> </w:t>
      </w:r>
      <w:r>
        <w:rPr>
          <w:iCs/>
          <w:i/>
        </w:rPr>
        <w:t xml:space="preserve">‘</w:t>
      </w:r>
      <w:r>
        <w:rPr>
          <w:iCs/>
          <w:i/>
        </w:rPr>
        <w:t xml:space="preserve">narzędziem</w:t>
      </w:r>
      <w:r>
        <w:rPr>
          <w:iCs/>
          <w:i/>
        </w:rPr>
        <w:t xml:space="preserve">’</w:t>
      </w:r>
      <w:r>
        <w:rPr>
          <w:iCs/>
          <w:i/>
        </w:rPr>
        <w:t xml:space="preserve">, za pomocą którego sprawca kierowniczy dokonuje czynu zabronionego</w:t>
      </w:r>
      <w:r>
        <w:t xml:space="preserve">”</w:t>
      </w:r>
      <w:r>
        <w:t xml:space="preserve"> </w:t>
      </w:r>
      <w:fldSimple w:instr="NOTEREF _Ref_Footnote_4 \h \f">
        <w:r>
          <w:rPr>
            <w:vertAlign w:val="superscript"/>
          </w:rPr>
          <w:t>4</w:t>
        </w:r>
      </w:fldSimple>
      <w:r>
        <w:t xml:space="preserve">. Academic commentary describes the directing perpetrator as the</w:t>
      </w:r>
      <w:r>
        <w:t xml:space="preserve"> </w:t>
      </w:r>
      <w:r>
        <w:t xml:space="preserve">“</w:t>
      </w:r>
      <w:r>
        <w:rPr>
          <w:iCs/>
          <w:i/>
        </w:rPr>
        <w:t xml:space="preserve">mózg przedsięwzięcia przestępczego</w:t>
      </w:r>
      <w:r>
        <w:t xml:space="preserve">”</w:t>
      </w:r>
      <w:r>
        <w:t xml:space="preserve"> </w:t>
      </w:r>
      <w:r>
        <w:t xml:space="preserve">(brain of the criminal enterprise) who</w:t>
      </w:r>
      <w:r>
        <w:t xml:space="preserve"> </w:t>
      </w:r>
      <w:r>
        <w:t xml:space="preserve">“</w:t>
      </w:r>
      <w:r>
        <w:rPr>
          <w:iCs/>
          <w:i/>
        </w:rPr>
        <w:t xml:space="preserve">steruje nim, najczęściej też jest jego organizatorem</w:t>
      </w:r>
      <w:r>
        <w:t xml:space="preserve">”</w:t>
      </w:r>
      <w:r>
        <w:t xml:space="preserve"> </w:t>
      </w:r>
      <w:r>
        <w:rPr>
          <w:vertAlign w:val="superscript"/>
        </w:rPr>
        <w:footnoteReference w:id="36"/>
      </w:r>
      <w:r>
        <w:t xml:space="preserve">.</w:t>
      </w:r>
    </w:p>
    <w:bookmarkEnd w:id="37"/>
    <w:bookmarkStart w:id="38" w:name="Xbaa5e7be4762e2b41b8e8afe73db511ae3bf7da"/>
    <w:p>
      <w:pPr>
        <w:pStyle w:val="Heading3"/>
      </w:pPr>
      <w:r>
        <w:t xml:space="preserve">1.3.2 Why Directing Perpetration Is Harder to Prove</w:t>
      </w:r>
    </w:p>
    <w:p>
      <w:pPr>
        <w:pStyle w:val="FirstParagraph"/>
      </w:pPr>
      <w:r>
        <w:t xml:space="preserve">Directing perpetration is harder to prove than co-perpetration in this case because the evidence suggests that Waldek personally executed statutory features of the fraud — specifically, the</w:t>
      </w:r>
      <w:r>
        <w:t xml:space="preserve"> </w:t>
      </w:r>
      <w:r>
        <w:rPr>
          <w:iCs/>
          <w:i/>
        </w:rPr>
        <w:t xml:space="preserve">wprowadzenie w błąd</w:t>
      </w:r>
      <w:r>
        <w:t xml:space="preserve"> </w:t>
      </w:r>
      <w:r>
        <w:t xml:space="preserve">element through his email communications. When a person</w:t>
      </w:r>
      <w:r>
        <w:t xml:space="preserve"> </w:t>
      </w:r>
      <w:r>
        <w:t xml:space="preserve">“</w:t>
      </w:r>
      <w:r>
        <w:rPr>
          <w:iCs/>
          <w:i/>
        </w:rPr>
        <w:t xml:space="preserve">osobiście uczestniczył wraz z innymi w działaniu przestępczym i bezpośrednio realizował znamiona ustawowe przestępstwa, to sama koordynacja poszczególnych zachowań ról oraz jego kierownicza rola w popełnieniu przestępstwa, nie może przesądzać o tym, że był on sprawcą kierowniczym</w:t>
      </w:r>
      <w:r>
        <w:t xml:space="preserve">”</w:t>
      </w:r>
      <w:r>
        <w:t xml:space="preserve"> </w:t>
      </w:r>
      <w:fldSimple w:instr="NOTEREF _Ref_Footnote_4 \h \f">
        <w:r>
          <w:rPr>
            <w:vertAlign w:val="superscript"/>
          </w:rPr>
          <w:t>4</w:t>
        </w:r>
      </w:fldSimple>
      <w:r>
        <w:t xml:space="preserve">. Waldek is not merely the</w:t>
      </w:r>
      <w:r>
        <w:t xml:space="preserve"> </w:t>
      </w:r>
      <w:r>
        <w:t xml:space="preserve">“</w:t>
      </w:r>
      <w:r>
        <w:t xml:space="preserve">brain</w:t>
      </w:r>
      <w:r>
        <w:t xml:space="preserve">”</w:t>
      </w:r>
      <w:r>
        <w:t xml:space="preserve"> </w:t>
      </w:r>
      <w:r>
        <w:t xml:space="preserve">directing Mateusz — he is a co-executor who personally made false statements to the victim. This makes</w:t>
      </w:r>
      <w:r>
        <w:t xml:space="preserve"> </w:t>
      </w:r>
      <w:r>
        <w:rPr>
          <w:iCs/>
          <w:i/>
        </w:rPr>
        <w:t xml:space="preserve">współsprawstwo</w:t>
      </w:r>
      <w:r>
        <w:t xml:space="preserve"> </w:t>
      </w:r>
      <w:r>
        <w:t xml:space="preserve">the correct legal classification.</w:t>
      </w:r>
    </w:p>
    <w:p>
      <w:pPr>
        <w:pStyle w:val="BodyText"/>
      </w:pPr>
      <w:r>
        <w:t xml:space="preserve">Moreover, proving</w:t>
      </w:r>
      <w:r>
        <w:t xml:space="preserve"> </w:t>
      </w:r>
      <w:r>
        <w:rPr>
          <w:iCs/>
          <w:i/>
        </w:rPr>
        <w:t xml:space="preserve">panowanie nad czynem</w:t>
      </w:r>
      <w:r>
        <w:t xml:space="preserve"> </w:t>
      </w:r>
      <w:r>
        <w:t xml:space="preserve">requires demonstrating that Mateusz was in</w:t>
      </w:r>
      <w:r>
        <w:t xml:space="preserve"> </w:t>
      </w:r>
      <w:r>
        <w:t xml:space="preserve">“</w:t>
      </w:r>
      <w:r>
        <w:rPr>
          <w:iCs/>
          <w:i/>
        </w:rPr>
        <w:t xml:space="preserve">totalne podporządkowanie</w:t>
      </w:r>
      <w:r>
        <w:t xml:space="preserve">”</w:t>
      </w:r>
      <w:r>
        <w:t xml:space="preserve"> </w:t>
      </w:r>
      <w:r>
        <w:t xml:space="preserve">(total subordination) to Waldek</w:t>
      </w:r>
      <w:r>
        <w:t xml:space="preserve"> </w:t>
      </w:r>
      <w:fldSimple w:instr="NOTEREF _Ref_Footnote_35 \h \f">
        <w:r>
          <w:rPr>
            <w:vertAlign w:val="superscript"/>
          </w:rPr>
          <w:t>35</w:t>
        </w:r>
      </w:fldSimple>
      <w:r>
        <w:t xml:space="preserve">— a high bar when the formal business owner is an adult family member working abroad. The relationship appears more collaborative than hierarchical, further supporting the co-perpetration charge.</w:t>
      </w:r>
    </w:p>
    <w:bookmarkEnd w:id="38"/>
    <w:bookmarkStart w:id="39" w:name="X44e347f6da90e46a5e1e5e107cde82e545e951e"/>
    <w:p>
      <w:pPr>
        <w:pStyle w:val="Heading3"/>
      </w:pPr>
      <w:r>
        <w:t xml:space="preserve">1.3.3 Comparison: Współsprawstwo vs. Sprawstwo Kierownicze</w:t>
      </w:r>
    </w:p>
    <w:tbl>
      <w:tblPr>
        <w:tblStyle w:val="Table"/>
        <w:tblW w:type="pct" w:w="5000"/>
        <w:tblLook w:firstRow="1" w:lastRow="0" w:firstColumn="0" w:lastColumn="0" w:noHBand="0" w:noVBand="0" w:val="0020"/>
      </w:tblPr>
      <w:tblGrid>
        <w:gridCol w:w="792"/>
        <w:gridCol w:w="2992"/>
        <w:gridCol w:w="4136"/>
      </w:tblGrid>
      <w:tr>
        <w:trPr>
          <w:tblHeader w:val="true"/>
        </w:trPr>
        <w:tc>
          <w:tcPr/>
          <w:p>
            <w:pPr>
              <w:pStyle w:val="Compact"/>
              <w:jc w:val="left"/>
            </w:pPr>
            <w:r>
              <w:t xml:space="preserve">Element</w:t>
            </w:r>
          </w:p>
        </w:tc>
        <w:tc>
          <w:tcPr/>
          <w:p>
            <w:pPr>
              <w:pStyle w:val="Compact"/>
              <w:jc w:val="left"/>
            </w:pPr>
            <w:r>
              <w:t xml:space="preserve">Współsprawstwo (Co-Perpetration)</w:t>
            </w:r>
          </w:p>
        </w:tc>
        <w:tc>
          <w:tcPr/>
          <w:p>
            <w:pPr>
              <w:pStyle w:val="Compact"/>
              <w:jc w:val="left"/>
            </w:pPr>
            <w:r>
              <w:t xml:space="preserve">Sprawstwo Kierownicze (Directing Perpetration)</w:t>
            </w:r>
          </w:p>
        </w:tc>
      </w:tr>
      <w:tr>
        <w:tc>
          <w:tcPr/>
          <w:p>
            <w:pPr>
              <w:pStyle w:val="Compact"/>
              <w:jc w:val="left"/>
            </w:pPr>
            <w:r>
              <w:rPr>
                <w:bCs/>
                <w:b/>
              </w:rPr>
              <w:t xml:space="preserve">Statutory basis</w:t>
            </w:r>
          </w:p>
        </w:tc>
        <w:tc>
          <w:tcPr/>
          <w:p>
            <w:pPr>
              <w:pStyle w:val="Compact"/>
              <w:jc w:val="left"/>
            </w:pPr>
            <w:r>
              <w:t xml:space="preserve">Art. 18 § 1 zd. 2 KK</w:t>
            </w:r>
          </w:p>
        </w:tc>
        <w:tc>
          <w:tcPr/>
          <w:p>
            <w:pPr>
              <w:pStyle w:val="Compact"/>
              <w:jc w:val="left"/>
            </w:pPr>
            <w:r>
              <w:t xml:space="preserve">Art. 18 § 1 zd. 3 KK</w:t>
            </w:r>
          </w:p>
        </w:tc>
      </w:tr>
      <w:tr>
        <w:tc>
          <w:tcPr/>
          <w:p>
            <w:pPr>
              <w:pStyle w:val="Compact"/>
              <w:jc w:val="left"/>
            </w:pPr>
            <w:r>
              <w:rPr>
                <w:bCs/>
                <w:b/>
              </w:rPr>
              <w:t xml:space="preserve">Personal execution of features</w:t>
            </w:r>
          </w:p>
        </w:tc>
        <w:tc>
          <w:tcPr/>
          <w:p>
            <w:pPr>
              <w:pStyle w:val="Compact"/>
              <w:jc w:val="left"/>
            </w:pPr>
            <w:r>
              <w:t xml:space="preserve">Each co-perpetrator may personally execute some statutory features</w:t>
            </w:r>
            <w:r>
              <w:t xml:space="preserve"> </w:t>
            </w:r>
            <w:fldSimple w:instr="NOTEREF _Ref_Footnote_4 \h \f">
              <w:r>
                <w:rPr>
                  <w:vertAlign w:val="superscript"/>
                </w:rPr>
                <w:t>4</w:t>
              </w:r>
            </w:fldSimple>
          </w:p>
        </w:tc>
        <w:tc>
          <w:tcPr/>
          <w:p>
            <w:pPr>
              <w:pStyle w:val="Compact"/>
              <w:jc w:val="left"/>
            </w:pPr>
            <w:r>
              <w:t xml:space="preserve">Directing perpetrator does NOT personally execute any features — the direct executor is his</w:t>
            </w:r>
            <w:r>
              <w:t xml:space="preserve"> </w:t>
            </w:r>
            <w:r>
              <w:t xml:space="preserve">“</w:t>
            </w:r>
            <w:r>
              <w:t xml:space="preserve">tool</w:t>
            </w:r>
            <w:r>
              <w:t xml:space="preserve">”</w:t>
            </w:r>
            <w:r>
              <w:t xml:space="preserve"> </w:t>
            </w:r>
            <w:fldSimple w:instr="NOTEREF _Ref_Footnote_4 \h \f">
              <w:r>
                <w:rPr>
                  <w:vertAlign w:val="superscript"/>
                </w:rPr>
                <w:t>4</w:t>
              </w:r>
            </w:fldSimple>
            <w:r>
              <w:t xml:space="preserve"> </w:t>
            </w:r>
            <w:r>
              <w:rPr>
                <w:vertAlign w:val="superscript"/>
              </w:rPr>
              <w:footnoteReference w:id="37"/>
            </w:r>
          </w:p>
        </w:tc>
      </w:tr>
      <w:tr>
        <w:tc>
          <w:tcPr/>
          <w:p>
            <w:pPr>
              <w:pStyle w:val="Compact"/>
              <w:jc w:val="left"/>
            </w:pPr>
            <w:r>
              <w:rPr>
                <w:bCs/>
                <w:b/>
              </w:rPr>
              <w:t xml:space="preserve">Required relationship</w:t>
            </w:r>
          </w:p>
        </w:tc>
        <w:tc>
          <w:tcPr/>
          <w:p>
            <w:pPr>
              <w:pStyle w:val="Compact"/>
              <w:jc w:val="left"/>
            </w:pPr>
            <w:r>
              <w:rPr>
                <w:iCs/>
                <w:i/>
              </w:rPr>
              <w:t xml:space="preserve">Porozumienie</w:t>
            </w:r>
            <w:r>
              <w:t xml:space="preserve"> </w:t>
            </w:r>
            <w:r>
              <w:t xml:space="preserve">(agreement) — can be tacit/dorozumiane</w:t>
            </w:r>
            <w:r>
              <w:t xml:space="preserve"> </w:t>
            </w:r>
            <w:fldSimple w:instr="NOTEREF _Ref_Footnote_3 \h \f">
              <w:r>
                <w:rPr>
                  <w:vertAlign w:val="superscript"/>
                </w:rPr>
                <w:t>3</w:t>
              </w:r>
            </w:fldSimple>
          </w:p>
        </w:tc>
        <w:tc>
          <w:tcPr/>
          <w:p>
            <w:pPr>
              <w:pStyle w:val="Compact"/>
              <w:jc w:val="left"/>
            </w:pPr>
            <w:r>
              <w:rPr>
                <w:iCs/>
                <w:i/>
              </w:rPr>
              <w:t xml:space="preserve">Panowanie nad czynem</w:t>
            </w:r>
            <w:r>
              <w:t xml:space="preserve"> </w:t>
            </w:r>
            <w:r>
              <w:t xml:space="preserve">— factual mastery over the criminal action</w:t>
            </w:r>
            <w:r>
              <w:t xml:space="preserve"> </w:t>
            </w:r>
            <w:fldSimple w:instr="NOTEREF _Ref_Footnote_34 \h \f">
              <w:r>
                <w:rPr>
                  <w:vertAlign w:val="superscript"/>
                </w:rPr>
                <w:t>34</w:t>
              </w:r>
            </w:fldSimple>
            <w:r>
              <w:t xml:space="preserve"> </w:t>
            </w:r>
            <w:fldSimple w:instr="NOTEREF _Ref_Footnote_35 \h \f">
              <w:r>
                <w:rPr>
                  <w:vertAlign w:val="superscript"/>
                </w:rPr>
                <w:t>35</w:t>
              </w:r>
            </w:fldSimple>
          </w:p>
        </w:tc>
      </w:tr>
      <w:tr>
        <w:tc>
          <w:tcPr/>
          <w:p>
            <w:pPr>
              <w:pStyle w:val="Compact"/>
              <w:jc w:val="left"/>
            </w:pPr>
            <w:r>
              <w:rPr>
                <w:bCs/>
                <w:b/>
              </w:rPr>
              <w:t xml:space="preserve">Agreement element</w:t>
            </w:r>
          </w:p>
        </w:tc>
        <w:tc>
          <w:tcPr/>
          <w:p>
            <w:pPr>
              <w:pStyle w:val="Compact"/>
              <w:jc w:val="left"/>
            </w:pPr>
            <w:r>
              <w:t xml:space="preserve">Required (explicit or inferred from conduct)</w:t>
            </w:r>
          </w:p>
        </w:tc>
        <w:tc>
          <w:tcPr/>
          <w:p>
            <w:pPr>
              <w:pStyle w:val="Compact"/>
              <w:jc w:val="left"/>
            </w:pPr>
            <w:r>
              <w:t xml:space="preserve">Not strictly required — mastery over the act suffices</w:t>
            </w:r>
          </w:p>
        </w:tc>
      </w:tr>
      <w:tr>
        <w:tc>
          <w:tcPr/>
          <w:p>
            <w:pPr>
              <w:pStyle w:val="Compact"/>
              <w:jc w:val="left"/>
            </w:pPr>
            <w:r>
              <w:rPr>
                <w:bCs/>
                <w:b/>
              </w:rPr>
              <w:t xml:space="preserve">Waldek’s personal execution</w:t>
            </w:r>
          </w:p>
        </w:tc>
        <w:tc>
          <w:tcPr/>
          <w:p>
            <w:pPr>
              <w:pStyle w:val="Compact"/>
              <w:jc w:val="left"/>
            </w:pPr>
            <w:r>
              <w:t xml:space="preserve">Consistent — he personally made false statements to victim</w:t>
            </w:r>
          </w:p>
        </w:tc>
        <w:tc>
          <w:tcPr/>
          <w:p>
            <w:pPr>
              <w:pStyle w:val="Compact"/>
              <w:jc w:val="left"/>
            </w:pPr>
            <w:r>
              <w:t xml:space="preserve">Inconsistent — he executed</w:t>
            </w:r>
            <w:r>
              <w:t xml:space="preserve"> </w:t>
            </w:r>
            <w:r>
              <w:rPr>
                <w:iCs/>
                <w:i/>
              </w:rPr>
              <w:t xml:space="preserve">wprowadzenie w błąd</w:t>
            </w:r>
            <w:r>
              <w:t xml:space="preserve"> </w:t>
            </w:r>
            <w:r>
              <w:t xml:space="preserve">himself, so he cannot be merely a director</w:t>
            </w:r>
          </w:p>
        </w:tc>
      </w:tr>
      <w:tr>
        <w:tc>
          <w:tcPr/>
          <w:p>
            <w:pPr>
              <w:pStyle w:val="Compact"/>
              <w:jc w:val="left"/>
            </w:pPr>
            <w:r>
              <w:rPr>
                <w:bCs/>
                <w:b/>
              </w:rPr>
              <w:t xml:space="preserve">Evidentiary burden</w:t>
            </w:r>
          </w:p>
        </w:tc>
        <w:tc>
          <w:tcPr/>
          <w:p>
            <w:pPr>
              <w:pStyle w:val="Compact"/>
              <w:jc w:val="left"/>
            </w:pPr>
            <w:r>
              <w:t xml:space="preserve">Lower: agreement can be inferred from coordinated conduct</w:t>
            </w:r>
          </w:p>
        </w:tc>
        <w:tc>
          <w:tcPr/>
          <w:p>
            <w:pPr>
              <w:pStyle w:val="Compact"/>
              <w:jc w:val="left"/>
            </w:pPr>
            <w:r>
              <w:t xml:space="preserve">Higher: must prove total factual control over another adult</w:t>
            </w:r>
          </w:p>
        </w:tc>
      </w:tr>
      <w:tr>
        <w:tc>
          <w:tcPr/>
          <w:p>
            <w:pPr>
              <w:pStyle w:val="Compact"/>
              <w:jc w:val="left"/>
            </w:pPr>
            <w:r>
              <w:rPr>
                <w:bCs/>
                <w:b/>
              </w:rPr>
              <w:t xml:space="preserve">Optimal charge for Waldek</w:t>
            </w:r>
          </w:p>
        </w:tc>
        <w:tc>
          <w:tcPr/>
          <w:p>
            <w:pPr>
              <w:pStyle w:val="Compact"/>
              <w:jc w:val="left"/>
            </w:pPr>
            <w:r>
              <w:rPr>
                <w:bCs/>
                <w:b/>
              </w:rPr>
              <w:t xml:space="preserve">YES</w:t>
            </w:r>
            <w:r>
              <w:t xml:space="preserve"> </w:t>
            </w:r>
            <w:r>
              <w:t xml:space="preserve">— stronger fit with evidence</w:t>
            </w:r>
          </w:p>
        </w:tc>
        <w:tc>
          <w:tcPr/>
          <w:p>
            <w:pPr>
              <w:pStyle w:val="Compact"/>
              <w:jc w:val="left"/>
            </w:pPr>
            <w:r>
              <w:rPr>
                <w:bCs/>
                <w:b/>
              </w:rPr>
              <w:t xml:space="preserve">NO</w:t>
            </w:r>
            <w:r>
              <w:t xml:space="preserve"> </w:t>
            </w:r>
            <w:r>
              <w:t xml:space="preserve">— harder to prove and inconsistent with his direct execution of deception</w:t>
            </w:r>
          </w:p>
        </w:tc>
      </w:tr>
      <w:tr>
        <w:tc>
          <w:tcPr/>
          <w:p>
            <w:pPr>
              <w:pStyle w:val="Compact"/>
              <w:jc w:val="left"/>
            </w:pPr>
            <w:r>
              <w:rPr>
                <w:bCs/>
                <w:b/>
              </w:rPr>
              <w:t xml:space="preserve">Sentencing consequences</w:t>
            </w:r>
          </w:p>
        </w:tc>
        <w:tc>
          <w:tcPr/>
          <w:p>
            <w:pPr>
              <w:pStyle w:val="Compact"/>
              <w:jc w:val="left"/>
            </w:pPr>
            <w:r>
              <w:t xml:space="preserve">Full liability under Art. 286 § 1 KK (6 months to 8 years)</w:t>
            </w:r>
          </w:p>
        </w:tc>
        <w:tc>
          <w:tcPr/>
          <w:p>
            <w:pPr>
              <w:pStyle w:val="Compact"/>
              <w:jc w:val="left"/>
            </w:pPr>
            <w:r>
              <w:t xml:space="preserve">Same statutory threat, but may be treated more severely as the</w:t>
            </w:r>
            <w:r>
              <w:t xml:space="preserve"> </w:t>
            </w:r>
            <w:r>
              <w:t xml:space="preserve">“</w:t>
            </w:r>
            <w:r>
              <w:t xml:space="preserve">organiser</w:t>
            </w:r>
            <w:r>
              <w:t xml:space="preserve">”</w:t>
            </w:r>
          </w:p>
        </w:tc>
      </w:tr>
    </w:tbl>
    <w:p>
      <w:pPr>
        <w:pStyle w:val="BodyText"/>
      </w:pPr>
      <w:r>
        <w:t xml:space="preserve">The comparison demonstrates that</w:t>
      </w:r>
      <w:r>
        <w:t xml:space="preserve"> </w:t>
      </w:r>
      <w:r>
        <w:rPr>
          <w:iCs/>
          <w:i/>
        </w:rPr>
        <w:t xml:space="preserve">współsprawstwo</w:t>
      </w:r>
      <w:r>
        <w:t xml:space="preserve"> </w:t>
      </w:r>
      <w:r>
        <w:t xml:space="preserve">is the optimal charge for Waldek. The evidentiary requirements are lower, the legal fit is stronger given his personal execution of the deception element, and the sentencing consequences are identical. The prosecution should frame Waldek as a</w:t>
      </w:r>
      <w:r>
        <w:t xml:space="preserve"> </w:t>
      </w:r>
      <w:r>
        <w:rPr>
          <w:iCs/>
          <w:i/>
        </w:rPr>
        <w:t xml:space="preserve">współsprawca</w:t>
      </w:r>
      <w:r>
        <w:t xml:space="preserve"> </w:t>
      </w:r>
      <w:r>
        <w:t xml:space="preserve">who made an</w:t>
      </w:r>
      <w:r>
        <w:t xml:space="preserve"> </w:t>
      </w:r>
      <w:r>
        <w:rPr>
          <w:iCs/>
          <w:i/>
        </w:rPr>
        <w:t xml:space="preserve">istotny wkład</w:t>
      </w:r>
      <w:r>
        <w:t xml:space="preserve"> </w:t>
      </w:r>
      <w:r>
        <w:t xml:space="preserve">(essential contribution) to the</w:t>
      </w:r>
      <w:r>
        <w:t xml:space="preserve"> </w:t>
      </w:r>
      <w:r>
        <w:rPr>
          <w:iCs/>
          <w:i/>
        </w:rPr>
        <w:t xml:space="preserve">wprowadzenie w błąd</w:t>
      </w:r>
      <w:r>
        <w:t xml:space="preserve"> </w:t>
      </w:r>
      <w:r>
        <w:t xml:space="preserve">element through his communications control, not as a</w:t>
      </w:r>
      <w:r>
        <w:t xml:space="preserve"> </w:t>
      </w:r>
      <w:r>
        <w:rPr>
          <w:iCs/>
          <w:i/>
        </w:rPr>
        <w:t xml:space="preserve">sprawca kierowniczy</w:t>
      </w:r>
      <w:r>
        <w:t xml:space="preserve"> </w:t>
      </w:r>
      <w:r>
        <w:t xml:space="preserve">who merely directed Mateusz.</w:t>
      </w:r>
    </w:p>
    <w:p>
      <w:r>
        <w:pict>
          <v:rect style="width:0;height:1.5pt" o:hralign="center" o:hrstd="t" o:hr="t"/>
        </w:pict>
      </w:r>
    </w:p>
    <w:bookmarkEnd w:id="39"/>
    <w:bookmarkEnd w:id="40"/>
    <w:bookmarkStart w:id="45" w:name="X19e7754f5a30727cbf1e7639c52ae40b36eed2f"/>
    <w:p>
      <w:pPr>
        <w:pStyle w:val="Heading2"/>
      </w:pPr>
      <w:r>
        <w:t xml:space="preserve">1.4 Fallback Theories: Podżeganie (§ 2) and Pomocnictwo (§ 3)</w:t>
      </w:r>
    </w:p>
    <w:bookmarkStart w:id="41" w:name="podżeganie-unlikely"/>
    <w:p>
      <w:pPr>
        <w:pStyle w:val="Heading3"/>
      </w:pPr>
      <w:r>
        <w:t xml:space="preserve">1.4.1 Podżeganie — Unlikely</w:t>
      </w:r>
    </w:p>
    <w:p>
      <w:pPr>
        <w:pStyle w:val="FirstParagraph"/>
      </w:pPr>
      <w:r>
        <w:rPr>
          <w:iCs/>
          <w:i/>
        </w:rPr>
        <w:t xml:space="preserve">Podżeganie</w:t>
      </w:r>
      <w:r>
        <w:t xml:space="preserve"> </w:t>
      </w:r>
      <w:r>
        <w:t xml:space="preserve">(instigation) under Article 18 § 2 KK requires that a person,</w:t>
      </w:r>
      <w:r>
        <w:t xml:space="preserve"> </w:t>
      </w:r>
      <w:r>
        <w:t xml:space="preserve">“</w:t>
      </w:r>
      <w:r>
        <w:rPr>
          <w:iCs/>
          <w:i/>
        </w:rPr>
        <w:t xml:space="preserve">chcąc, aby inna osoba dokonała czynu zabronionego, nakłania ją do tego</w:t>
      </w:r>
      <w:r>
        <w:t xml:space="preserve">”</w:t>
      </w:r>
      <w:r>
        <w:t xml:space="preserve"> </w:t>
      </w:r>
      <w:fldSimple w:instr="NOTEREF _Ref_Footnote_7 \h \f">
        <w:r>
          <w:rPr>
            <w:vertAlign w:val="superscript"/>
          </w:rPr>
          <w:t>7</w:t>
        </w:r>
      </w:fldSimple>
      <w:r>
        <w:t xml:space="preserve">. Two critical limitations make this theory unlikely for Waldek.</w:t>
      </w:r>
    </w:p>
    <w:p>
      <w:pPr>
        <w:pStyle w:val="BodyText"/>
      </w:pPr>
      <w:r>
        <w:t xml:space="preserve">First, podżeganie requires</w:t>
      </w:r>
      <w:r>
        <w:t xml:space="preserve"> </w:t>
      </w:r>
      <w:r>
        <w:rPr>
          <w:iCs/>
          <w:i/>
        </w:rPr>
        <w:t xml:space="preserve">dolus directus</w:t>
      </w:r>
      <w:r>
        <w:t xml:space="preserve"> </w:t>
      </w:r>
      <w:r>
        <w:t xml:space="preserve">— the statutory formula</w:t>
      </w:r>
      <w:r>
        <w:t xml:space="preserve"> </w:t>
      </w:r>
      <w:r>
        <w:t xml:space="preserve">“</w:t>
      </w:r>
      <w:r>
        <w:rPr>
          <w:iCs/>
          <w:i/>
        </w:rPr>
        <w:t xml:space="preserve">chcąc</w:t>
      </w:r>
      <w:r>
        <w:t xml:space="preserve">”</w:t>
      </w:r>
      <w:r>
        <w:t xml:space="preserve"> </w:t>
      </w:r>
      <w:r>
        <w:t xml:space="preserve">explicitly excludes</w:t>
      </w:r>
      <w:r>
        <w:t xml:space="preserve"> </w:t>
      </w:r>
      <w:r>
        <w:rPr>
          <w:iCs/>
          <w:i/>
        </w:rPr>
        <w:t xml:space="preserve">dolus eventualis</w:t>
      </w:r>
      <w:r>
        <w:t xml:space="preserve"> </w:t>
      </w:r>
      <w:r>
        <w:rPr>
          <w:vertAlign w:val="superscript"/>
        </w:rPr>
        <w:footnoteReference w:id="38"/>
      </w:r>
      <w:r>
        <w:t xml:space="preserve"> </w:t>
      </w:r>
      <w:fldSimple w:instr="NOTEREF _Ref_Footnote_33 \h \f">
        <w:r>
          <w:rPr>
            <w:vertAlign w:val="superscript"/>
          </w:rPr>
          <w:t>33</w:t>
        </w:r>
      </w:fldSimple>
      <w:r>
        <w:t xml:space="preserve"> </w:t>
      </w:r>
      <w:fldSimple w:instr="NOTEREF _Ref_Footnote_4 \h \f">
        <w:r>
          <w:rPr>
            <w:vertAlign w:val="superscript"/>
          </w:rPr>
          <w:t>4</w:t>
        </w:r>
      </w:fldSimple>
      <w:r>
        <w:t xml:space="preserve">. The instigator must</w:t>
      </w:r>
      <w:r>
        <w:t xml:space="preserve"> </w:t>
      </w:r>
      <w:r>
        <w:rPr>
          <w:iCs/>
          <w:i/>
        </w:rPr>
        <w:t xml:space="preserve">want</w:t>
      </w:r>
      <w:r>
        <w:t xml:space="preserve"> </w:t>
      </w:r>
      <w:r>
        <w:t xml:space="preserve">the other person to commit the crime; merely accepting the possibility is insufficient</w:t>
      </w:r>
      <w:r>
        <w:t xml:space="preserve"> </w:t>
      </w:r>
      <w:fldSimple w:instr="NOTEREF _Ref_Footnote_38 \h \f">
        <w:r>
          <w:rPr>
            <w:vertAlign w:val="superscript"/>
          </w:rPr>
          <w:t>38</w:t>
        </w:r>
      </w:fldSimple>
      <w:r>
        <w:t xml:space="preserve">. Second, and more fundamentally,</w:t>
      </w:r>
      <w:r>
        <w:t xml:space="preserve"> </w:t>
      </w:r>
      <w:r>
        <w:t xml:space="preserve">“</w:t>
      </w:r>
      <w:r>
        <w:rPr>
          <w:iCs/>
          <w:i/>
        </w:rPr>
        <w:t xml:space="preserve">o podżeganiu można mówić tylko wtedy, gdy osoba nakłaniana nie miała w danym czasie zamiaru popełnienia określonego czynu</w:t>
      </w:r>
      <w:r>
        <w:t xml:space="preserve">”</w:t>
      </w:r>
      <w:r>
        <w:t xml:space="preserve"> </w:t>
      </w:r>
      <w:fldSimple w:instr="NOTEREF _Ref_Footnote_38 \h \f">
        <w:r>
          <w:rPr>
            <w:vertAlign w:val="superscript"/>
          </w:rPr>
          <w:t>38</w:t>
        </w:r>
      </w:fldSimple>
      <w:r>
        <w:t xml:space="preserve">. If Mateusz already intended to operate the fraudulent scheme (or the business) before any instigation by Waldek, podżegation is factually impossible. Given that Mateusz is the JDG owner and the bank account holder, it is far more likely that he already possessed the requisite criminal intent, or at minimum that any agreement between the two arose through mutual coordination rather than one-sided instigation. Normal business encouragement — even if it indirectly facilitated criminal conduct — does not constitute</w:t>
      </w:r>
      <w:r>
        <w:t xml:space="preserve"> </w:t>
      </w:r>
      <w:r>
        <w:t xml:space="preserve">“</w:t>
      </w:r>
      <w:r>
        <w:rPr>
          <w:iCs/>
          <w:i/>
        </w:rPr>
        <w:t xml:space="preserve">nakłanianie</w:t>
      </w:r>
      <w:r>
        <w:t xml:space="preserve">”</w:t>
      </w:r>
      <w:r>
        <w:t xml:space="preserve"> </w:t>
      </w:r>
      <w:fldSimple w:instr="NOTEREF _Ref_Footnote_38 \h \f">
        <w:r>
          <w:rPr>
            <w:vertAlign w:val="superscript"/>
          </w:rPr>
          <w:t>38</w:t>
        </w:r>
      </w:fldSimple>
      <w:r>
        <w:t xml:space="preserve">.</w:t>
      </w:r>
    </w:p>
    <w:bookmarkEnd w:id="41"/>
    <w:bookmarkStart w:id="42" w:name="pomocnictwo-the-viable-fallback"/>
    <w:p>
      <w:pPr>
        <w:pStyle w:val="Heading3"/>
      </w:pPr>
      <w:r>
        <w:t xml:space="preserve">1.4.2 Pomocnictwo — The Viable Fallback</w:t>
      </w:r>
    </w:p>
    <w:p>
      <w:pPr>
        <w:pStyle w:val="FirstParagraph"/>
      </w:pPr>
      <w:r>
        <w:rPr>
          <w:iCs/>
          <w:i/>
        </w:rPr>
        <w:t xml:space="preserve">Pomocnictwo</w:t>
      </w:r>
      <w:r>
        <w:t xml:space="preserve"> </w:t>
      </w:r>
      <w:r>
        <w:t xml:space="preserve">(aiding/abetting) under Article 18 § 3 KK provides a viable fallback theory if co-perpetration cannot be established. The provision criminalises conduct where a person,</w:t>
      </w:r>
      <w:r>
        <w:t xml:space="preserve"> </w:t>
      </w:r>
      <w:r>
        <w:t xml:space="preserve">“</w:t>
      </w:r>
      <w:r>
        <w:rPr>
          <w:iCs/>
          <w:i/>
        </w:rPr>
        <w:t xml:space="preserve">w zamiarze, aby inna osoba dokonała czynu zabronionego, swoim zachowaniem ułatwia jego popełnienie</w:t>
      </w:r>
      <w:r>
        <w:t xml:space="preserve">”</w:t>
      </w:r>
      <w:r>
        <w:t xml:space="preserve"> </w:t>
      </w:r>
      <w:fldSimple w:instr="NOTEREF _Ref_Footnote_7 \h \f">
        <w:r>
          <w:rPr>
            <w:vertAlign w:val="superscript"/>
          </w:rPr>
          <w:t>7</w:t>
        </w:r>
      </w:fldSimple>
      <w:r>
        <w:t xml:space="preserve">. The catalogue of aiding acts —</w:t>
      </w:r>
      <w:r>
        <w:t xml:space="preserve"> </w:t>
      </w:r>
      <w:r>
        <w:t xml:space="preserve">“</w:t>
      </w:r>
      <w:r>
        <w:rPr>
          <w:iCs/>
          <w:i/>
        </w:rPr>
        <w:t xml:space="preserve">w szczególności dostarczając narzędzie, środek przewozu, udzielając rady lub informacji</w:t>
      </w:r>
      <w:r>
        <w:t xml:space="preserve">”</w:t>
      </w:r>
      <w:r>
        <w:t xml:space="preserve"> </w:t>
      </w:r>
      <w:r>
        <w:t xml:space="preserve">— is exemplary, not exhaustive</w:t>
      </w:r>
      <w:r>
        <w:t xml:space="preserve"> </w:t>
      </w:r>
      <w:fldSimple w:instr="NOTEREF _Ref_Footnote_6 \h \f">
        <w:r>
          <w:rPr>
            <w:vertAlign w:val="superscript"/>
          </w:rPr>
          <w:t>6</w:t>
        </w:r>
      </w:fldSimple>
      <w:r>
        <w:t xml:space="preserve"> </w:t>
      </w:r>
      <w:r>
        <w:rPr>
          <w:vertAlign w:val="superscript"/>
        </w:rPr>
        <w:footnoteReference w:id="39"/>
      </w:r>
      <w:r>
        <w:t xml:space="preserve">.</w:t>
      </w:r>
    </w:p>
    <w:p>
      <w:pPr>
        <w:pStyle w:val="BodyText"/>
      </w:pPr>
      <w:r>
        <w:t xml:space="preserve">Waldek’s conduct can be framed as</w:t>
      </w:r>
      <w:r>
        <w:t xml:space="preserve"> </w:t>
      </w:r>
      <w:r>
        <w:rPr>
          <w:iCs/>
          <w:i/>
        </w:rPr>
        <w:t xml:space="preserve">pomocnictwo psychiczne</w:t>
      </w:r>
      <w:r>
        <w:t xml:space="preserve"> </w:t>
      </w:r>
      <w:r>
        <w:t xml:space="preserve">(psychological aid) — reinforcing Mateusz’s ability to continue the fraud by handling customer communications, making false refund promises to pacify the victim, and creating an appearance of business legitimacy that delayed the victim from reporting the fraud to authorities</w:t>
      </w:r>
      <w:r>
        <w:t xml:space="preserve"> </w:t>
      </w:r>
      <w:fldSimple w:instr="NOTEREF _Ref_Footnote_6 \h \f">
        <w:r>
          <w:rPr>
            <w:vertAlign w:val="superscript"/>
          </w:rPr>
          <w:t>6</w:t>
        </w:r>
      </w:fldSimple>
      <w:r>
        <w:t xml:space="preserve"> </w:t>
      </w:r>
      <w:fldSimple w:instr="NOTEREF _Ref_Footnote_4 \h \f">
        <w:r>
          <w:rPr>
            <w:vertAlign w:val="superscript"/>
          </w:rPr>
          <w:t>4</w:t>
        </w:r>
      </w:fldSimple>
      <w:r>
        <w:t xml:space="preserve">. The SA in IV Ka 218/24 (2024) held that for pomocnictwo in fraud,</w:t>
      </w:r>
      <w:r>
        <w:t xml:space="preserve"> </w:t>
      </w:r>
      <w:r>
        <w:t xml:space="preserve">“</w:t>
      </w:r>
      <w:r>
        <w:rPr>
          <w:iCs/>
          <w:i/>
        </w:rPr>
        <w:t xml:space="preserve">wystarcza, aby sprawca swoim zachowaniem obiektywnie ułatwił innej osobie popełnienie czynu zabronionego i aby mając tego świadomość co najmniej godził się na to</w:t>
      </w:r>
      <w:r>
        <w:t xml:space="preserve">”</w:t>
      </w:r>
      <w:r>
        <w:t xml:space="preserve"> </w:t>
      </w:r>
      <w:r>
        <w:rPr>
          <w:vertAlign w:val="superscript"/>
        </w:rPr>
        <w:footnoteReference w:id="40"/>
      </w:r>
      <w:r>
        <w:t xml:space="preserve">.</w:t>
      </w:r>
    </w:p>
    <w:p>
      <w:pPr>
        <w:pStyle w:val="BodyText"/>
      </w:pPr>
      <w:r>
        <w:t xml:space="preserve">The critical issue is</w:t>
      </w:r>
      <w:r>
        <w:t xml:space="preserve"> </w:t>
      </w:r>
      <w:r>
        <w:rPr>
          <w:iCs/>
          <w:i/>
        </w:rPr>
        <w:t xml:space="preserve">timing</w:t>
      </w:r>
      <w:r>
        <w:t xml:space="preserve">: pomocnictwo must occur</w:t>
      </w:r>
      <w:r>
        <w:t xml:space="preserve"> </w:t>
      </w:r>
      <w:r>
        <w:rPr>
          <w:iCs/>
          <w:i/>
        </w:rPr>
        <w:t xml:space="preserve">before or during</w:t>
      </w:r>
      <w:r>
        <w:t xml:space="preserve"> </w:t>
      </w:r>
      <w:r>
        <w:t xml:space="preserve">the commission of the crime</w:t>
      </w:r>
      <w:r>
        <w:t xml:space="preserve"> </w:t>
      </w:r>
      <w:r>
        <w:rPr>
          <w:vertAlign w:val="superscript"/>
        </w:rPr>
        <w:footnoteReference w:id="41"/>
      </w:r>
      <w:r>
        <w:t xml:space="preserve"> </w:t>
      </w:r>
      <w:r>
        <w:rPr>
          <w:vertAlign w:val="superscript"/>
        </w:rPr>
        <w:footnoteReference w:id="42"/>
      </w:r>
      <w:r>
        <w:t xml:space="preserve">. Conduct after the fraud is completed constitutes</w:t>
      </w:r>
      <w:r>
        <w:t xml:space="preserve"> </w:t>
      </w:r>
      <w:r>
        <w:rPr>
          <w:iCs/>
          <w:i/>
        </w:rPr>
        <w:t xml:space="preserve">paserstwo</w:t>
      </w:r>
      <w:r>
        <w:t xml:space="preserve"> </w:t>
      </w:r>
      <w:r>
        <w:t xml:space="preserve">(Art. 291 KK) or</w:t>
      </w:r>
      <w:r>
        <w:t xml:space="preserve"> </w:t>
      </w:r>
      <w:r>
        <w:rPr>
          <w:iCs/>
          <w:i/>
        </w:rPr>
        <w:t xml:space="preserve">poplecznictwo</w:t>
      </w:r>
      <w:r>
        <w:t xml:space="preserve"> </w:t>
      </w:r>
      <w:r>
        <w:t xml:space="preserve">(Art. 239 KK), not pomocnictwo</w:t>
      </w:r>
      <w:r>
        <w:t xml:space="preserve"> </w:t>
      </w:r>
      <w:fldSimple w:instr="NOTEREF _Ref_Footnote_41 \h \f">
        <w:r>
          <w:rPr>
            <w:vertAlign w:val="superscript"/>
          </w:rPr>
          <w:t>41</w:t>
        </w:r>
      </w:fldSimple>
      <w:r>
        <w:t xml:space="preserve">. Waldek’s communications occurred throughout the period during which the victim maintained forbearance — this timing likely satisfies the</w:t>
      </w:r>
      <w:r>
        <w:t xml:space="preserve"> </w:t>
      </w:r>
      <w:r>
        <w:t xml:space="preserve">“</w:t>
      </w:r>
      <w:r>
        <w:t xml:space="preserve">during</w:t>
      </w:r>
      <w:r>
        <w:t xml:space="preserve">”</w:t>
      </w:r>
      <w:r>
        <w:t xml:space="preserve"> </w:t>
      </w:r>
      <w:r>
        <w:t xml:space="preserve">requirement, as the fraud was an ongoing (</w:t>
      </w:r>
      <w:r>
        <w:rPr>
          <w:iCs/>
          <w:i/>
        </w:rPr>
        <w:t xml:space="preserve">ciągłe</w:t>
      </w:r>
      <w:r>
        <w:t xml:space="preserve">) offense sustained by each new false promise.</w:t>
      </w:r>
    </w:p>
    <w:bookmarkEnd w:id="42"/>
    <w:bookmarkStart w:id="43" w:name="critical-mens-rea-distinction"/>
    <w:p>
      <w:pPr>
        <w:pStyle w:val="Heading3"/>
      </w:pPr>
      <w:r>
        <w:t xml:space="preserve">1.4.3 Critical Mens Rea Distinction</w:t>
      </w:r>
    </w:p>
    <w:p>
      <w:pPr>
        <w:pStyle w:val="FirstParagraph"/>
      </w:pPr>
      <w:r>
        <w:t xml:space="preserve">The decisive doctrinal distinction between podżeganie and pomocnictwo lies in the mens rea requirement. Podżeganie accepts</w:t>
      </w:r>
      <w:r>
        <w:t xml:space="preserve"> </w:t>
      </w:r>
      <w:r>
        <w:rPr>
          <w:iCs/>
          <w:i/>
        </w:rPr>
        <w:t xml:space="preserve">only dolus directus</w:t>
      </w:r>
      <w:r>
        <w:t xml:space="preserve">; pomocnictwo accepts</w:t>
      </w:r>
      <w:r>
        <w:t xml:space="preserve"> </w:t>
      </w:r>
      <w:r>
        <w:rPr>
          <w:iCs/>
          <w:i/>
        </w:rPr>
        <w:t xml:space="preserve">dolus directus OR dolus eventualis</w:t>
      </w:r>
      <w:r>
        <w:t xml:space="preserve"> </w:t>
      </w:r>
      <w:fldSimple w:instr="NOTEREF _Ref_Footnote_4 \h \f">
        <w:r>
          <w:rPr>
            <w:vertAlign w:val="superscript"/>
          </w:rPr>
          <w:t>4</w:t>
        </w:r>
      </w:fldSimple>
      <w:r>
        <w:t xml:space="preserve">. As Brzozowska summarises:</w:t>
      </w:r>
      <w:r>
        <w:t xml:space="preserve"> </w:t>
      </w:r>
      <w:r>
        <w:t xml:space="preserve">“</w:t>
      </w:r>
      <w:r>
        <w:rPr>
          <w:iCs/>
          <w:i/>
        </w:rPr>
        <w:t xml:space="preserve">Podżeganie możliwe jest tylko w zamiarze bezpośrednim. […] Pomocnictwo możliwe jest zarówno w zamiarze bezpośrednim, jak i ewentualnym</w:t>
      </w:r>
      <w:r>
        <w:t xml:space="preserve">”</w:t>
      </w:r>
      <w:r>
        <w:t xml:space="preserve"> </w:t>
      </w:r>
      <w:fldSimple w:instr="NOTEREF _Ref_Footnote_4 \h \f">
        <w:r>
          <w:rPr>
            <w:vertAlign w:val="superscript"/>
          </w:rPr>
          <w:t>4</w:t>
        </w:r>
      </w:fldSimple>
      <w:r>
        <w:t xml:space="preserve">. This distinction is strategically critical: if the prosecution can prove only that Waldek</w:t>
      </w:r>
      <w:r>
        <w:t xml:space="preserve"> </w:t>
      </w:r>
      <w:r>
        <w:rPr>
          <w:iCs/>
          <w:i/>
        </w:rPr>
        <w:t xml:space="preserve">accepted</w:t>
      </w:r>
      <w:r>
        <w:t xml:space="preserve"> </w:t>
      </w:r>
      <w:r>
        <w:t xml:space="preserve">(godził się na) the possibility that his communications facilitated fraud — without proving he</w:t>
      </w:r>
      <w:r>
        <w:t xml:space="preserve"> </w:t>
      </w:r>
      <w:r>
        <w:rPr>
          <w:iCs/>
          <w:i/>
        </w:rPr>
        <w:t xml:space="preserve">wanted</w:t>
      </w:r>
      <w:r>
        <w:t xml:space="preserve"> </w:t>
      </w:r>
      <w:r>
        <w:t xml:space="preserve">the fraud to occur — pomocnictwo can still be established. The court in SO Sieradzu II Ka 88/15 confirmed that the aider</w:t>
      </w:r>
      <w:r>
        <w:t xml:space="preserve"> </w:t>
      </w:r>
      <w:r>
        <w:t xml:space="preserve">“</w:t>
      </w:r>
      <w:r>
        <w:rPr>
          <w:iCs/>
          <w:i/>
        </w:rPr>
        <w:t xml:space="preserve">musi być świadomy, że swoim zachowaniem (działaniem lub zaniechaniem) ułatwia konkretnemu sprawcy popełnienie określonego przestępstwa</w:t>
      </w:r>
      <w:r>
        <w:t xml:space="preserve">”</w:t>
      </w:r>
      <w:r>
        <w:t xml:space="preserve"> </w:t>
      </w:r>
      <w:r>
        <w:rPr>
          <w:vertAlign w:val="superscript"/>
        </w:rPr>
        <w:footnoteReference w:id="43"/>
      </w:r>
      <w:r>
        <w:t xml:space="preserve">.</w:t>
      </w:r>
    </w:p>
    <w:bookmarkEnd w:id="43"/>
    <w:bookmarkStart w:id="44" w:name="X5972ef998b0ed38f37a74cc31fd020b927f293f"/>
    <w:p>
      <w:pPr>
        <w:pStyle w:val="Heading3"/>
      </w:pPr>
      <w:r>
        <w:t xml:space="preserve">1.4.4 Art. 19 § 2 KK Mitigation — A Sentencing Leverage Point</w:t>
      </w:r>
    </w:p>
    <w:p>
      <w:pPr>
        <w:pStyle w:val="FirstParagraph"/>
      </w:pPr>
      <w:r>
        <w:t xml:space="preserve">Article 19 § 2 KK provides a unique strategic advantage for the pomocnictwo theory:</w:t>
      </w:r>
      <w:r>
        <w:t xml:space="preserve"> </w:t>
      </w:r>
      <w:r>
        <w:t xml:space="preserve">“</w:t>
      </w:r>
      <w:r>
        <w:rPr>
          <w:iCs/>
          <w:i/>
        </w:rPr>
        <w:t xml:space="preserve">Wymierzając karę za pomocnictwo sąd może zastosować nadzwyczajne złagodzenie kary</w:t>
      </w:r>
      <w:r>
        <w:t xml:space="preserve">”</w:t>
      </w:r>
      <w:r>
        <w:t xml:space="preserve"> </w:t>
      </w:r>
      <w:fldSimple w:instr="NOTEREF _Ref_Footnote_5 \h \f">
        <w:r>
          <w:rPr>
            <w:vertAlign w:val="superscript"/>
          </w:rPr>
          <w:t>5</w:t>
        </w:r>
      </w:fldSimple>
      <w:r>
        <w:t xml:space="preserve"> </w:t>
      </w:r>
      <w:r>
        <w:rPr>
          <w:vertAlign w:val="superscript"/>
        </w:rPr>
        <w:footnoteReference w:id="44"/>
      </w:r>
      <w:r>
        <w:t xml:space="preserve">. This extraordinary mitigation is available</w:t>
      </w:r>
      <w:r>
        <w:t xml:space="preserve"> </w:t>
      </w:r>
      <w:r>
        <w:rPr>
          <w:iCs/>
          <w:i/>
        </w:rPr>
        <w:t xml:space="preserve">only</w:t>
      </w:r>
      <w:r>
        <w:t xml:space="preserve"> </w:t>
      </w:r>
      <w:r>
        <w:t xml:space="preserve">for pomocnictwo — not for współsprawstwo, not for podżeganie</w:t>
      </w:r>
      <w:r>
        <w:t xml:space="preserve"> </w:t>
      </w:r>
      <w:fldSimple w:instr="NOTEREF _Ref_Footnote_5 \h \f">
        <w:r>
          <w:rPr>
            <w:vertAlign w:val="superscript"/>
          </w:rPr>
          <w:t>5</w:t>
        </w:r>
      </w:fldSimple>
      <w:r>
        <w:t xml:space="preserve">. The SA Lublin in II AKa 237/13 held that</w:t>
      </w:r>
      <w:r>
        <w:t xml:space="preserve"> </w:t>
      </w:r>
      <w:r>
        <w:t xml:space="preserve">“</w:t>
      </w:r>
      <w:r>
        <w:rPr>
          <w:iCs/>
          <w:i/>
        </w:rPr>
        <w:t xml:space="preserve">przesłanką nadzwyczajnego złagodzenia kary jest w świetle tego przepisu już samo przypisanie odpowiedzialności za pomocnictwo</w:t>
      </w:r>
      <w:r>
        <w:t xml:space="preserve">”</w:t>
      </w:r>
      <w:r>
        <w:t xml:space="preserve"> </w:t>
      </w:r>
      <w:fldSimple w:instr="NOTEREF _Ref_Footnote_44 \h \f">
        <w:r>
          <w:rPr>
            <w:vertAlign w:val="superscript"/>
          </w:rPr>
          <w:t>44</w:t>
        </w:r>
      </w:fldSimple>
      <w:r>
        <w:t xml:space="preserve">.</w:t>
      </w:r>
    </w:p>
    <w:p>
      <w:pPr>
        <w:pStyle w:val="BodyText"/>
      </w:pPr>
      <w:r>
        <w:t xml:space="preserve">This creates sentencing leverage. While the prosecution should charge</w:t>
      </w:r>
      <w:r>
        <w:t xml:space="preserve"> </w:t>
      </w:r>
      <w:r>
        <w:rPr>
          <w:iCs/>
          <w:i/>
        </w:rPr>
        <w:t xml:space="preserve">współsprawstwo</w:t>
      </w:r>
      <w:r>
        <w:t xml:space="preserve"> </w:t>
      </w:r>
      <w:r>
        <w:t xml:space="preserve">as the primary theory (it carries the same statutory threat and is easier to prove than podżeganie), the possibility of reclassifying to pomocnictwo in exchange for cooperation or an early guilty plea gives both the prosecution and the defense room for negotiation. For the victim, this means that even if Waldek is convicted only as an aider (</w:t>
      </w:r>
      <w:r>
        <w:rPr>
          <w:iCs/>
          <w:i/>
        </w:rPr>
        <w:t xml:space="preserve">pomocnik</w:t>
      </w:r>
      <w:r>
        <w:t xml:space="preserve">), he remains liable for the full statutory penalty range of Art. 286 § 1 KK (6 months to 8 years), with the court having discretion to mitigate based on his subsidiary role</w:t>
      </w:r>
      <w:r>
        <w:t xml:space="preserve"> </w:t>
      </w:r>
      <w:fldSimple w:instr="NOTEREF _Ref_Footnote_5 \h \f">
        <w:r>
          <w:rPr>
            <w:vertAlign w:val="superscript"/>
          </w:rPr>
          <w:t>5</w:t>
        </w:r>
      </w:fldSimple>
      <w:r>
        <w:t xml:space="preserve">.</w:t>
      </w:r>
    </w:p>
    <w:p>
      <w:r>
        <w:pict>
          <v:rect style="width:0;height:1.5pt" o:hralign="center" o:hrstd="t" o:hr="t"/>
        </w:pict>
      </w:r>
    </w:p>
    <w:bookmarkEnd w:id="44"/>
    <w:bookmarkEnd w:id="45"/>
    <w:bookmarkStart w:id="109" w:name="X4d7e350d60a28e08f308747f829158e7dca3236"/>
    <w:p>
      <w:pPr>
        <w:pStyle w:val="Heading2"/>
      </w:pPr>
      <w:r>
        <w:t xml:space="preserve">1.5 Art. 21 § 2 KK — Individual Circumstances of Co-Perpetrators</w:t>
      </w:r>
    </w:p>
    <w:bookmarkStart w:id="46" w:name="Xce757cdbc5220814359a8f02dde9fb499f36b12"/>
    <w:p>
      <w:pPr>
        <w:pStyle w:val="Heading3"/>
      </w:pPr>
      <w:r>
        <w:t xml:space="preserve">1.5.1 Why Art. 21 § 2 KK Does Not Apply to Pure Art. 286 KK Fraud</w:t>
      </w:r>
    </w:p>
    <w:p>
      <w:pPr>
        <w:pStyle w:val="FirstParagraph"/>
      </w:pPr>
      <w:r>
        <w:t xml:space="preserve">Article 21 § 2 KK establishes a mechanism for extending liability for</w:t>
      </w:r>
      <w:r>
        <w:t xml:space="preserve"> </w:t>
      </w:r>
      <w:r>
        <w:rPr>
          <w:iCs/>
          <w:i/>
        </w:rPr>
        <w:t xml:space="preserve">przestępstwa indywidualne</w:t>
      </w:r>
      <w:r>
        <w:t xml:space="preserve"> </w:t>
      </w:r>
      <w:r>
        <w:t xml:space="preserve">(individual offenses) to co-perpetrators who lack the individual characteristic, provided they knew of that characteristic</w:t>
      </w:r>
      <w:r>
        <w:t xml:space="preserve"> </w:t>
      </w:r>
      <w:fldSimple w:instr="NOTEREF _Ref_Footnote_39 \h \f">
        <w:r>
          <w:rPr>
            <w:vertAlign w:val="superscript"/>
          </w:rPr>
          <w:t>39</w:t>
        </w:r>
      </w:fldSimple>
      <w:r>
        <w:t xml:space="preserve"> </w:t>
      </w:r>
      <w:r>
        <w:rPr>
          <w:vertAlign w:val="superscript"/>
        </w:rPr>
        <w:footnoteReference w:id="45"/>
      </w:r>
      <w:r>
        <w:t xml:space="preserve">. The provision reads:</w:t>
      </w:r>
      <w:r>
        <w:t xml:space="preserve"> </w:t>
      </w:r>
      <w:r>
        <w:t xml:space="preserve">“</w:t>
      </w:r>
      <w:r>
        <w:rPr>
          <w:iCs/>
          <w:i/>
        </w:rPr>
        <w:t xml:space="preserve">Jeżeli okoliczność osobista dotycząca sprawcy, wpływająca chociażby tylko na wyższą karalność, stanowi znamię czynu zabronionego, współdziałający podlega odpowiedzialności karnej przewidzianej za ten czyn zabroniony, gdy o tej okoliczności wiedział, chociażby go nie dotyczyła</w:t>
      </w:r>
      <w:r>
        <w:t xml:space="preserve">”</w:t>
      </w:r>
      <w:r>
        <w:t xml:space="preserve"> </w:t>
      </w:r>
      <w:fldSimple w:instr="NOTEREF _Ref_Footnote_39 \h \f">
        <w:r>
          <w:rPr>
            <w:vertAlign w:val="superscript"/>
          </w:rPr>
          <w:t>39</w:t>
        </w:r>
      </w:fldSimple>
      <w:r>
        <w:t xml:space="preserve">.</w:t>
      </w:r>
    </w:p>
    <w:p>
      <w:pPr>
        <w:pStyle w:val="BodyText"/>
      </w:pPr>
      <w:r>
        <w:t xml:space="preserve">This provision does</w:t>
      </w:r>
      <w:r>
        <w:t xml:space="preserve"> </w:t>
      </w:r>
      <w:r>
        <w:rPr>
          <w:bCs/>
          <w:b/>
        </w:rPr>
        <w:t xml:space="preserve">not</w:t>
      </w:r>
      <w:r>
        <w:t xml:space="preserve"> </w:t>
      </w:r>
      <w:r>
        <w:t xml:space="preserve">apply to pure Art. 286 KK fraud. Art. 286 KK is a</w:t>
      </w:r>
      <w:r>
        <w:t xml:space="preserve"> </w:t>
      </w:r>
      <w:r>
        <w:rPr>
          <w:iCs/>
          <w:i/>
        </w:rPr>
        <w:t xml:space="preserve">przestępstwo powszechne</w:t>
      </w:r>
      <w:r>
        <w:t xml:space="preserve"> </w:t>
      </w:r>
      <w:r>
        <w:t xml:space="preserve">(general offense) —</w:t>
      </w:r>
      <w:r>
        <w:t xml:space="preserve"> </w:t>
      </w:r>
      <w:r>
        <w:t xml:space="preserve">“</w:t>
      </w:r>
      <w:r>
        <w:rPr>
          <w:iCs/>
          <w:i/>
        </w:rPr>
        <w:t xml:space="preserve">może je popełnić każda osoba zdolna do ponoszenia odpowiedzialności karnej</w:t>
      </w:r>
      <w:r>
        <w:t xml:space="preserve">”</w:t>
      </w:r>
      <w:r>
        <w:t xml:space="preserve"> </w:t>
      </w:r>
      <w:r>
        <w:rPr>
          <w:vertAlign w:val="superscript"/>
        </w:rPr>
        <w:footnoteReference w:id="46"/>
      </w:r>
      <w:r>
        <w:t xml:space="preserve"> </w:t>
      </w:r>
      <w:r>
        <w:rPr>
          <w:vertAlign w:val="superscript"/>
        </w:rPr>
        <w:footnoteReference w:id="47"/>
      </w:r>
      <w:r>
        <w:t xml:space="preserve">. The perpetrator does not need any special characteristic — being an entrepreneur, a JDG owner, or a taxpayer is not an element of the offense. Mateusz’s status as a JDG owner is merely a factual circumstance, not a legal element of fraud</w:t>
      </w:r>
      <w:r>
        <w:t xml:space="preserve"> </w:t>
      </w:r>
      <w:fldSimple w:instr="NOTEREF _Ref_Footnote_46 \h \f">
        <w:r>
          <w:rPr>
            <w:vertAlign w:val="superscript"/>
          </w:rPr>
          <w:t>46</w:t>
        </w:r>
      </w:fldSimple>
      <w:r>
        <w:t xml:space="preserve"> </w:t>
      </w:r>
      <w:fldSimple w:instr="NOTEREF _Ref_Footnote_47 \h \f">
        <w:r>
          <w:rPr>
            <w:vertAlign w:val="superscript"/>
          </w:rPr>
          <w:t>47</w:t>
        </w:r>
      </w:fldSimple>
      <w:r>
        <w:t xml:space="preserve">. As the SN explained in III KK 396/13, Art. 21 § 2 KK constitutes a</w:t>
      </w:r>
      <w:r>
        <w:t xml:space="preserve"> </w:t>
      </w:r>
      <w:r>
        <w:t xml:space="preserve">“</w:t>
      </w:r>
      <w:r>
        <w:rPr>
          <w:iCs/>
          <w:i/>
        </w:rPr>
        <w:t xml:space="preserve">novum</w:t>
      </w:r>
      <w:r>
        <w:t xml:space="preserve">”</w:t>
      </w:r>
      <w:r>
        <w:t xml:space="preserve"> </w:t>
      </w:r>
      <w:r>
        <w:t xml:space="preserve">in Polish criminal law designed specifically for</w:t>
      </w:r>
      <w:r>
        <w:t xml:space="preserve"> </w:t>
      </w:r>
      <w:r>
        <w:rPr>
          <w:iCs/>
          <w:i/>
        </w:rPr>
        <w:t xml:space="preserve">przestępstwa indywidualne</w:t>
      </w:r>
      <w:r>
        <w:t xml:space="preserve">, where a personal characteristic constitutes a constitutive element of the offense</w:t>
      </w:r>
      <w:r>
        <w:t xml:space="preserve"> </w:t>
      </w:r>
      <w:fldSimple w:instr="NOTEREF _Ref_Footnote_45 \h \f">
        <w:r>
          <w:rPr>
            <w:vertAlign w:val="superscript"/>
          </w:rPr>
          <w:t>45</w:t>
        </w:r>
      </w:fldSimple>
      <w:r>
        <w:t xml:space="preserve">. Since Art. 286 KK lacks any such individual characteristic, Art. 21 § 2 KK has no application to the fraud charge.</w:t>
      </w:r>
    </w:p>
    <w:bookmarkEnd w:id="46"/>
    <w:bookmarkStart w:id="47" w:name="the-tax-offense-angle"/>
    <w:p>
      <w:pPr>
        <w:pStyle w:val="Heading3"/>
      </w:pPr>
      <w:r>
        <w:t xml:space="preserve">1.5.2 The Tax Offense Angle</w:t>
      </w:r>
    </w:p>
    <w:p>
      <w:pPr>
        <w:pStyle w:val="FirstParagraph"/>
      </w:pPr>
      <w:r>
        <w:t xml:space="preserve">Art. 21 § 2 KK becomes highly relevant, however, if the prosecutor also charges tax offenses under the Fiscal Criminal Code (</w:t>
      </w:r>
      <w:r>
        <w:rPr>
          <w:iCs/>
          <w:i/>
        </w:rPr>
        <w:t xml:space="preserve">Kodeks Karny Skarbowy</w:t>
      </w:r>
      <w:r>
        <w:t xml:space="preserve">,</w:t>
      </w:r>
      <w:r>
        <w:t xml:space="preserve"> </w:t>
      </w:r>
      <w:r>
        <w:t xml:space="preserve">“</w:t>
      </w:r>
      <w:r>
        <w:t xml:space="preserve">KKS</w:t>
      </w:r>
      <w:r>
        <w:t xml:space="preserve">”</w:t>
      </w:r>
      <w:r>
        <w:t xml:space="preserve">). Tax offenses under Art. 54 § 1 or 2 KKS (tax evasion) are</w:t>
      </w:r>
      <w:r>
        <w:t xml:space="preserve"> </w:t>
      </w:r>
      <w:r>
        <w:rPr>
          <w:iCs/>
          <w:i/>
        </w:rPr>
        <w:t xml:space="preserve">przestępstwa indywidualne właściwe</w:t>
      </w:r>
      <w:r>
        <w:t xml:space="preserve"> </w:t>
      </w:r>
      <w:r>
        <w:t xml:space="preserve">— only a</w:t>
      </w:r>
      <w:r>
        <w:t xml:space="preserve"> </w:t>
      </w:r>
      <w:r>
        <w:rPr>
          <w:iCs/>
          <w:i/>
        </w:rPr>
        <w:t xml:space="preserve">podatnik</w:t>
      </w:r>
      <w:r>
        <w:t xml:space="preserve"> </w:t>
      </w:r>
      <w:r>
        <w:t xml:space="preserve">(taxpayer) can commit them</w:t>
      </w:r>
      <w:r>
        <w:t xml:space="preserve"> </w:t>
      </w:r>
      <w:r>
        <w:rPr>
          <w:vertAlign w:val="superscript"/>
        </w:rPr>
        <w:footnoteReference w:id="48"/>
      </w:r>
      <w:r>
        <w:t xml:space="preserve"> </w:t>
      </w:r>
      <w:r>
        <w:rPr>
          <w:vertAlign w:val="superscript"/>
        </w:rPr>
        <w:footnoteReference w:id="49"/>
      </w:r>
      <w:r>
        <w:t xml:space="preserve">. Mateusz, as a registered JDG owner issuing VAT invoices, is a</w:t>
      </w:r>
      <w:r>
        <w:t xml:space="preserve"> </w:t>
      </w:r>
      <w:r>
        <w:rPr>
          <w:iCs/>
          <w:i/>
        </w:rPr>
        <w:t xml:space="preserve">podatnik</w:t>
      </w:r>
      <w:r>
        <w:t xml:space="preserve">. If the fraudulent scheme involved VAT-related misconduct — for example, issuing VAT invoices without intent to deliver goods, thereby improperly claiming input VAT or collecting output VAT without rendering the taxable supply — Art. 21 § 2 KK (applied via Art. 20 § 2 KKS) extends liability to Waldek if he knew that Mateusz was a taxpayer</w:t>
      </w:r>
      <w:r>
        <w:t xml:space="preserve"> </w:t>
      </w:r>
      <w:fldSimple w:instr="NOTEREF _Ref_Footnote_48 \h \f">
        <w:r>
          <w:rPr>
            <w:vertAlign w:val="superscript"/>
          </w:rPr>
          <w:t>48</w:t>
        </w:r>
      </w:fldSimple>
      <w:r>
        <w:t xml:space="preserve"> </w:t>
      </w:r>
      <w:r>
        <w:rPr>
          <w:vertAlign w:val="superscript"/>
        </w:rPr>
        <w:footnoteReference w:id="50"/>
      </w:r>
      <w:r>
        <w:t xml:space="preserve">.</w:t>
      </w:r>
    </w:p>
    <w:p>
      <w:pPr>
        <w:pStyle w:val="BodyText"/>
      </w:pPr>
      <w:r>
        <w:t xml:space="preserve">The knowledge requirement (</w:t>
      </w:r>
      <w:r>
        <w:t xml:space="preserve">“</w:t>
      </w:r>
      <w:r>
        <w:rPr>
          <w:iCs/>
          <w:i/>
        </w:rPr>
        <w:t xml:space="preserve">wiedział</w:t>
      </w:r>
      <w:r>
        <w:t xml:space="preserve">”</w:t>
      </w:r>
      <w:r>
        <w:t xml:space="preserve">) requires actual awareness — not merely constructive knowledge. As the SA Kraków in VII Ka 897/19 held, the co-perpetrator must have</w:t>
      </w:r>
      <w:r>
        <w:t xml:space="preserve"> </w:t>
      </w:r>
      <w:r>
        <w:t xml:space="preserve">“</w:t>
      </w:r>
      <w:r>
        <w:rPr>
          <w:iCs/>
          <w:i/>
        </w:rPr>
        <w:t xml:space="preserve">uświadamiał sobie, iż współdziała z podmiotem przestępstwa indywidualnego</w:t>
      </w:r>
      <w:r>
        <w:t xml:space="preserve">”</w:t>
      </w:r>
      <w:r>
        <w:t xml:space="preserve"> </w:t>
      </w:r>
      <w:fldSimple w:instr="NOTEREF _Ref_Footnote_24 \h \f">
        <w:r>
          <w:rPr>
            <w:vertAlign w:val="superscript"/>
          </w:rPr>
          <w:t>24</w:t>
        </w:r>
      </w:fldSimple>
      <w:r>
        <w:t xml:space="preserve">. In Waldek’s case, this condition is likely satisfied: as the de facto operator handling business communications and co-publishing the</w:t>
      </w:r>
      <w:r>
        <w:t xml:space="preserve"> </w:t>
      </w:r>
      <w:r>
        <w:t xml:space="preserve">“</w:t>
      </w:r>
      <w:r>
        <w:t xml:space="preserve">3dkrakow</w:t>
      </w:r>
      <w:r>
        <w:t xml:space="preserve">”</w:t>
      </w:r>
      <w:r>
        <w:t xml:space="preserve"> </w:t>
      </w:r>
      <w:r>
        <w:t xml:space="preserve">brand on</w:t>
      </w:r>
      <w:r>
        <w:t xml:space="preserve"> </w:t>
      </w:r>
      <w:r>
        <w:rPr>
          <w:iCs/>
          <w:i/>
        </w:rPr>
        <w:t xml:space="preserve">gpucomputer.pl</w:t>
      </w:r>
      <w:r>
        <w:t xml:space="preserve"> </w:t>
      </w:r>
      <w:r>
        <w:t xml:space="preserve">for a decade, he almost certainly knew that Mateusz operated a registered JDG and issued VAT invoices. The SN in IV KK 460/17 (2019) held that Art. 21 § 2 KK</w:t>
      </w:r>
      <w:r>
        <w:t xml:space="preserve"> </w:t>
      </w:r>
      <w:r>
        <w:t xml:space="preserve">“</w:t>
      </w:r>
      <w:r>
        <w:rPr>
          <w:iCs/>
          <w:i/>
        </w:rPr>
        <w:t xml:space="preserve">prowadzi zawsze do zrównania odpowiedzialności każdego ekstraneusa współdziałającego w popełnieniu przestępstwa indywidualnego z osobą posiadającą ową</w:t>
      </w:r>
      <w:r>
        <w:rPr>
          <w:iCs/>
          <w:i/>
        </w:rPr>
        <w:t xml:space="preserve"> </w:t>
      </w:r>
      <w:r>
        <w:rPr>
          <w:iCs/>
          <w:i/>
        </w:rPr>
        <w:t xml:space="preserve">‘</w:t>
      </w:r>
      <w:r>
        <w:rPr>
          <w:iCs/>
          <w:i/>
        </w:rPr>
        <w:t xml:space="preserve">okoliczność osobistą</w:t>
      </w:r>
      <w:r>
        <w:rPr>
          <w:iCs/>
          <w:i/>
        </w:rPr>
        <w:t xml:space="preserve">’</w:t>
      </w:r>
      <w:r>
        <w:t xml:space="preserve">”</w:t>
      </w:r>
      <w:r>
        <w:t xml:space="preserve"> </w:t>
      </w:r>
      <w:fldSimple w:instr="NOTEREF _Ref_Footnote_24 \h \f">
        <w:r>
          <w:rPr>
            <w:vertAlign w:val="superscript"/>
          </w:rPr>
          <w:t>24</w:t>
        </w:r>
      </w:fldSimple>
      <w:r>
        <w:t xml:space="preserve">. This</w:t>
      </w:r>
      <w:r>
        <w:t xml:space="preserve"> </w:t>
      </w:r>
      <w:r>
        <w:t xml:space="preserve">“</w:t>
      </w:r>
      <w:r>
        <w:t xml:space="preserve">equalisation</w:t>
      </w:r>
      <w:r>
        <w:t xml:space="preserve">”</w:t>
      </w:r>
      <w:r>
        <w:t xml:space="preserve"> </w:t>
      </w:r>
      <w:r>
        <w:t xml:space="preserve">means Waldek would face the same statutory penalties for the tax offense as Mateusz, despite not being a taxpayer himself.</w:t>
      </w:r>
    </w:p>
    <w:p>
      <w:pPr>
        <w:pStyle w:val="BodyText"/>
      </w:pPr>
      <w:r>
        <w:t xml:space="preserve">If Art. 21 § 2 KK applies, Art. 21 § 3 KK provides an important safety valve:</w:t>
      </w:r>
      <w:r>
        <w:t xml:space="preserve"> </w:t>
      </w:r>
      <w:r>
        <w:t xml:space="preserve">“</w:t>
      </w:r>
      <w:r>
        <w:rPr>
          <w:iCs/>
          <w:i/>
        </w:rPr>
        <w:t xml:space="preserve">Wobec współdziałającego, którego nie dotyczy okoliczność określona w § 2, sąd może zastosować nadzwyczajne złagodzenie kary</w:t>
      </w:r>
      <w:r>
        <w:t xml:space="preserve">”</w:t>
      </w:r>
      <w:r>
        <w:t xml:space="preserve"> </w:t>
      </w:r>
      <w:fldSimple w:instr="NOTEREF _Ref_Footnote_39 \h \f">
        <w:r>
          <w:rPr>
            <w:vertAlign w:val="superscript"/>
          </w:rPr>
          <w:t>39</w:t>
        </w:r>
      </w:fldSimple>
      <w:r>
        <w:t xml:space="preserve"> </w:t>
      </w:r>
      <w:r>
        <w:rPr>
          <w:vertAlign w:val="superscript"/>
        </w:rPr>
        <w:footnoteReference w:id="51"/>
      </w:r>
      <w:r>
        <w:t xml:space="preserve">. This discretionary mitigation recognises the lesser culpability of the</w:t>
      </w:r>
      <w:r>
        <w:t xml:space="preserve"> </w:t>
      </w:r>
      <w:r>
        <w:rPr>
          <w:iCs/>
          <w:i/>
        </w:rPr>
        <w:t xml:space="preserve">extraneus</w:t>
      </w:r>
      <w:r>
        <w:t xml:space="preserve"> </w:t>
      </w:r>
      <w:r>
        <w:t xml:space="preserve">(the outsider who lacks the individual characteristic) compared to the</w:t>
      </w:r>
      <w:r>
        <w:t xml:space="preserve"> </w:t>
      </w:r>
      <w:r>
        <w:rPr>
          <w:iCs/>
          <w:i/>
        </w:rPr>
        <w:t xml:space="preserve">intraneus</w:t>
      </w:r>
      <w:r>
        <w:t xml:space="preserve"> </w:t>
      </w:r>
      <w:r>
        <w:t xml:space="preserve">(the person who possesses it). In practice, courts frequently apply extraordinary mitigation for non-taxpayer co-perpetrators in fiscal criminal cases</w:t>
      </w:r>
      <w:r>
        <w:t xml:space="preserve"> </w:t>
      </w:r>
      <w:fldSimple w:instr="NOTEREF _Ref_Footnote_51 \h \f">
        <w:r>
          <w:rPr>
            <w:vertAlign w:val="superscript"/>
          </w:rPr>
          <w:t>51</w:t>
        </w:r>
      </w:fldSimple>
      <w:r>
        <w:t xml:space="preserve">.</w:t>
      </w:r>
    </w:p>
    <w:p>
      <w:pPr>
        <w:pStyle w:val="BodyText"/>
      </w:pPr>
      <w:r>
        <w:t xml:space="preserve">The practical implication for the victim is significant: even if Art. 21 § 2 KK does not apply to the fraud charge itself, the possibility of tax offense charges strengthens the overall criminal case against Waldek. The victim should ensure that the</w:t>
      </w:r>
      <w:r>
        <w:t xml:space="preserve"> </w:t>
      </w:r>
      <w:r>
        <w:rPr>
          <w:iCs/>
          <w:i/>
        </w:rPr>
        <w:t xml:space="preserve">zawiadomienie</w:t>
      </w:r>
      <w:r>
        <w:t xml:space="preserve"> </w:t>
      </w:r>
      <w:r>
        <w:t xml:space="preserve">(criminal complaint) highlights any VAT or tax-related dimensions of the scheme — specifically, the issuance of a proforma invoice and any VAT-related documentation — so that the prosecutor can evaluate whether tax offenses were committed alongside the fraud. This dual-charge approach maximises both the criminal exposure and the civil recovery potential against Waldek.</w:t>
      </w:r>
      <w:r>
        <w:t xml:space="preserve"> </w:t>
      </w:r>
      <w:r>
        <w:t xml:space="preserve">## 2. Wymogi dowodowe i mapowanie dowodów na elementy prawne (Evidence Requirements &amp; Mapping)</w:t>
      </w:r>
    </w:p>
    <w:bookmarkEnd w:id="47"/>
    <w:bookmarkStart w:id="50" w:name="X7fcb023addf4645a5caa58ab304208acc946e42"/>
    <w:p>
      <w:pPr>
        <w:pStyle w:val="Heading3"/>
      </w:pPr>
      <w:r>
        <w:t xml:space="preserve">2.1 Standard dowodowy w polskim procesie karnym</w:t>
      </w:r>
    </w:p>
    <w:bookmarkStart w:id="48" w:name="X04f45ece7eae650546e8d91e015ad0b59f803fd"/>
    <w:p>
      <w:pPr>
        <w:pStyle w:val="Heading4"/>
      </w:pPr>
      <w:r>
        <w:t xml:space="preserve">2.1.1 Standard postawienia zarzutu (art. 313 k.p.k.) wobec standardu skazania</w:t>
      </w:r>
    </w:p>
    <w:p>
      <w:pPr>
        <w:pStyle w:val="FirstParagraph"/>
      </w:pPr>
      <w:r>
        <w:t xml:space="preserve">W polskim procesie karnym obowiązują dwa odrębne progi dowodowe, których pomylenie prowadzi do błędnej oceny szans na skuteczne ściganie. Standard uzasadniający wydanie wyroku skazującego jest jednym z najwyższych w polskim systemie prawnym: sąd musi przekonać się o winie oskarżonego „całkowicie, pewnie i wolnie od wątpliwości”</w:t>
      </w:r>
      <w:fldSimple w:instr="NOTEREF _Ref_Footnote_7 \h \f">
        <w:r>
          <w:rPr>
            <w:vertAlign w:val="superscript"/>
          </w:rPr>
          <w:t>7</w:t>
        </w:r>
      </w:fldSimple>
      <w:r>
        <w:t xml:space="preserve">. Zasada</w:t>
      </w:r>
      <w:r>
        <w:t xml:space="preserve"> </w:t>
      </w:r>
      <w:r>
        <w:rPr>
          <w:iCs/>
          <w:i/>
        </w:rPr>
        <w:t xml:space="preserve">in dubio pro reo</w:t>
      </w:r>
      <w:r>
        <w:t xml:space="preserve"> </w:t>
      </w:r>
      <w:r>
        <w:t xml:space="preserve">wyrażona w art. 5 § 2 k.p.k. nakazuje, by wątpliwości niemożliwe do usunięcia rozstrzygać na korzyść oskarżonego</w:t>
      </w:r>
      <w:fldSimple w:instr="NOTEREF _Ref_Footnote_38 \h \f">
        <w:r>
          <w:rPr>
            <w:vertAlign w:val="superscript"/>
          </w:rPr>
          <w:t>38</w:t>
        </w:r>
      </w:fldSimple>
      <w:r>
        <w:t xml:space="preserve">. Jednocześnie art. 7 k.p.k. przyznaje sądowi swobodę oceny dowodów (swobodna ocena dowodów), która jednak — jak podkreśla orzecznictwo — nie jest oceną dowolną; musi opierać się na zasadach prawidłowego rozumowania oraz wskazaniach wiedzy i doświadczenia życiowego</w:t>
      </w:r>
      <w:fldSimple w:instr="NOTEREF _Ref_Footnote_33 \h \f">
        <w:r>
          <w:rPr>
            <w:vertAlign w:val="superscript"/>
          </w:rPr>
          <w:t>33</w:t>
        </w:r>
      </w:fldSimple>
      <w:r>
        <w:t xml:space="preserve">. Sędzia musi w uzasadnieniu wyroku wykazać, że jego ocena była racjonalna, a nie arbitralna — zgodnie z wymogiem art. 424 § 1 k.p.k.</w:t>
      </w:r>
    </w:p>
    <w:p>
      <w:pPr>
        <w:pStyle w:val="BodyText"/>
      </w:pPr>
      <w:r>
        <w:t xml:space="preserve">Natomiast standard postawienia zarzutu, określony w art. 313 k.p.k., jest zdecydowanie niższy. Przepis ten stanowi, że „jeżeli zebrany w toku postępowania przygotowawczego materiał dowodowy dostarcza dostatecznych podstaw do przyjęcia, że popełniono czyn zabroniony, prokurator stawia zarzut”</w:t>
      </w:r>
      <w:fldSimple w:instr="NOTEREF _Ref_Footnote_6 \h \f">
        <w:r>
          <w:rPr>
            <w:vertAlign w:val="superscript"/>
          </w:rPr>
          <w:t>6</w:t>
        </w:r>
      </w:fldSimple>
      <w:r>
        <w:t xml:space="preserve">. Różnica między „dostatecznymi podstawami” a przekonaniem „całkowicie pewnym i wolnym od wątpliwości” jest zasadnicza: prokurator może postawić zarzut na podstawie materiału, który nie przekracza progu dowodowego koniecznego do skazania. Oznacza to, że nawet jeśli pewne okoliczności pozostają niejasne, samo istnienie silnych przesłanek uprawnia prokuratora do wszczęcia ścigania. Przesłanka „dostatecznych podstaw” wymaga jedynie, aby materiał dowodowy przemawiał za popełnieniem przestępstwa z większym prawdopodobieństwem niż jego niepopełnienie — co w nauce prawa karnego określa się jako wystarczające uzasadnienie</w:t>
      </w:r>
      <w:r>
        <w:t xml:space="preserve"> </w:t>
      </w:r>
      <w:r>
        <w:rPr>
          <w:iCs/>
          <w:i/>
        </w:rPr>
        <w:t xml:space="preserve">prima facie</w:t>
      </w:r>
      <w:r>
        <w:t xml:space="preserve">.</w:t>
      </w:r>
    </w:p>
    <w:p>
      <w:pPr>
        <w:pStyle w:val="BodyText"/>
      </w:pPr>
      <w:r>
        <w:t xml:space="preserve">Dla Pańskiej sprawy ta różnica ma fundamentalne znaczenie praktyczne. Obecnie zgromadzone dowody — dwie skrzynki e-mail wysyłające zobowiązania zwrotu minutę po sobie, sprzeczne wyjaśnienia dotyczące statusu towaru, dziesięcioletnia współpublikacja marki 3dkrakow — tworzą razem zbiór okoliczności, który prawdopodobnie przekracza próg „dostatecznych podstaw” z art. 313 k.p.k. Zgodnie z poglądem Sądu Apelacyjnego wyrażonym w wyroku IV Ka 218/24, współsprawstwo wymaga wykazania, że oskarżony „podejmował wspólnie i w porozumieniu decyzje dotyczące inkryminowanej transakcji mając świadomość jej istoty”</w:t>
      </w:r>
      <w:fldSimple w:instr="NOTEREF _Ref_Footnote_39 \h \f">
        <w:r>
          <w:rPr>
            <w:vertAlign w:val="superscript"/>
          </w:rPr>
          <w:t>39</w:t>
        </w:r>
      </w:fldSimple>
      <w:r>
        <w:t xml:space="preserve">. Nie oznacza to jednak, że każdy element musi być udowodniony standardem karnym przed postawieniem zarzutu. Wręcz przeciwnie — standard z art. 313 k.p.k. został ukształtowany właśnie po to, by umożliwić wszczęcie ścigania w sytuacjach, gdzie niektóre elementy wymagają dalszego wyjaśnienia.</w:t>
      </w:r>
    </w:p>
    <w:bookmarkEnd w:id="48"/>
    <w:bookmarkStart w:id="49" w:name="Xae8d1377a2c3a42c1dda9caf4fcec722dace778"/>
    <w:p>
      <w:pPr>
        <w:pStyle w:val="Heading4"/>
      </w:pPr>
      <w:r>
        <w:t xml:space="preserve">2.1.2 W jaki sposób istniejące dowody zaspokajają standard postawienia zarzutu dla współsprawstwa</w:t>
      </w:r>
    </w:p>
    <w:p>
      <w:pPr>
        <w:pStyle w:val="FirstParagraph"/>
      </w:pPr>
      <w:r>
        <w:t xml:space="preserve">Aby ocenić, czy zgromadzony materiał przekracza próg „dostatecznych podstaw” dla zarzutu współsprawstwa (art. 18 § 1 KK w związku z art. 286 § 1 KK), należy przeanalizować, które elementy znamienne przestępstwa posiadają obecnie wsparcie w dowodach, a które wymagają dalszego uzupełnienia. Współsprawstwo wymaga wykazania trzech przesłanek: (a) porozumienia (w porozumieniu), (b) wspólnego działania (wspólnie), oraz (c) wykonania czynu zabronionego</w:t>
      </w:r>
      <w:fldSimple w:instr="NOTEREF _Ref_Footnote_39 \h \f">
        <w:r>
          <w:rPr>
            <w:vertAlign w:val="superscript"/>
          </w:rPr>
          <w:t>39</w:t>
        </w:r>
      </w:fldSimple>
      <w:r>
        <w:t xml:space="preserve">. Porozumienie przestępcze może mieć charakter dorozumiany — wystarczy porozumiewawcze mrugnięcie okiem, szturchnięcie lub cmoknięcie</w:t>
      </w:r>
      <w:fldSimple w:instr="NOTEREF _Ref_Footnote_41 \h \f">
        <w:r>
          <w:rPr>
            <w:vertAlign w:val="superscript"/>
          </w:rPr>
          <w:t>41</w:t>
        </w:r>
      </w:fldSimple>
      <w:r>
        <w:t xml:space="preserve">. Jednakże, jak wskazuje orzecznictwo, samo domniemanie porozumienia na podstawie bliskich relacji jest niewystarczające</w:t>
      </w:r>
      <w:fldSimple w:instr="NOTEREF _Ref_Footnote_39 \h \f">
        <w:r>
          <w:rPr>
            <w:vertAlign w:val="superscript"/>
          </w:rPr>
          <w:t>39</w:t>
        </w:r>
      </w:fldSimple>
      <w:r>
        <w:t xml:space="preserve">.</w:t>
      </w:r>
    </w:p>
    <w:p>
      <w:pPr>
        <w:pStyle w:val="BodyText"/>
      </w:pPr>
      <w:r>
        <w:t xml:space="preserve">W Pańskim przypadku zgromadzone dowody wspierają poszczególne przesłanki współsprawstwa na następujących zasadach. Element „wspólnego działania” jest najsilniej udokumentowany — Waldemar Łopata osobiście prowadził korespondencję z Panem z adresu waldek@gpucomputer.pl, składał obietnice zwrotu pieniędzy i udzielał wyjaśnień dotyczących statusu zamówienia. Te działania stanowią bezpośrednie wykonanie elementu „wprowadzenia w błąd” z art. 286 § 1 KK, ponieważ zgodnie z poglądem Sądu Najwyższego wyrażonym w postanowieniu z 26 czerwca 2003 r. (sygn. V KK 324/02), „wystarczające jest ustalenie jakiegokolwiek działania, które może spowodować błędne wyobrażenie o rzeczywistości u osoby rozporządzającej mieniem”. Element porozumienia znajduje wsparcie pośrednie w dowodzie dziesięcioletniej współpublikacji marki 3dkrakow na stronie gpucomputer.pl, który wskazuje na długotrwałą współpracę gospodarczą między Mateuszem Szklarskim a Waldemarem Łopatą. Jednakże, jak podkreślają sądy apelacyjne, sam fakt współpracy gospodarczej nie jest tożsamy z porozumieniem przestępczym — konieczne są dodatkowe okoliczności wskazujące na wiedzę o charakterze przestępczym przedsięwzięcia</w:t>
      </w:r>
      <w:fldSimple w:instr="NOTEREF _Ref_Footnote_39 \h \f">
        <w:r>
          <w:rPr>
            <w:vertAlign w:val="superscript"/>
          </w:rPr>
          <w:t>39</w:t>
        </w:r>
      </w:fldSimple>
      <w:r>
        <w:t xml:space="preserve">. Właśnie tutaj sprzeczne wyjaśnienia Waldemara (customs vs. bankruptcy) odgrywają kluczową rolę: logicznie wykluczające się wersje zdarzeń wykazują, że obie były fabrykowane, co implikuje świadomość nieistnienia towaru i tym samym — wiedzę o oszustwie.</w:t>
      </w:r>
    </w:p>
    <w:bookmarkEnd w:id="49"/>
    <w:bookmarkEnd w:id="50"/>
    <w:bookmarkStart w:id="51" w:name="X0308fb5802af280290a65c1d01e65982cbe522e"/>
    <w:p>
      <w:pPr>
        <w:pStyle w:val="Heading3"/>
      </w:pPr>
      <w:r>
        <w:t xml:space="preserve">2.2 Tabela mapowania dowodów na elementy prawne</w:t>
      </w:r>
    </w:p>
    <w:p>
      <w:pPr>
        <w:pStyle w:val="FirstParagraph"/>
      </w:pPr>
      <w:r>
        <w:t xml:space="preserve">Poniższa tabela przedstawia systematyczne powiązanie poszczególnych dowodów dostępnych obecnie w sprawie z konkretnymi elementami znamiennymi przestępstwa oszustwa z art. 286 § 1 KK oraz współsprawstwa z art. 18 § 1 KK. Każdy wiersz tabeli zawiera ocenę siły dowodowej oraz identyfikację luki, którą należy uzupełnić w toku postępowania przygotowawczego.</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Dowód</w:t>
            </w:r>
          </w:p>
        </w:tc>
        <w:tc>
          <w:tcPr/>
          <w:p>
            <w:pPr>
              <w:pStyle w:val="Compact"/>
              <w:jc w:val="left"/>
            </w:pPr>
            <w:r>
              <w:t xml:space="preserve">Element prawny (przestępstwo)</w:t>
            </w:r>
          </w:p>
        </w:tc>
        <w:tc>
          <w:tcPr/>
          <w:p>
            <w:pPr>
              <w:pStyle w:val="Compact"/>
              <w:jc w:val="left"/>
            </w:pPr>
            <w:r>
              <w:t xml:space="preserve">Element prawny (współsprawstwo)</w:t>
            </w:r>
          </w:p>
        </w:tc>
        <w:tc>
          <w:tcPr/>
          <w:p>
            <w:pPr>
              <w:pStyle w:val="Compact"/>
              <w:jc w:val="left"/>
            </w:pPr>
            <w:r>
              <w:t xml:space="preserve">Siła dowodowa</w:t>
            </w:r>
          </w:p>
        </w:tc>
        <w:tc>
          <w:tcPr/>
          <w:p>
            <w:pPr>
              <w:pStyle w:val="Compact"/>
              <w:jc w:val="left"/>
            </w:pPr>
            <w:r>
              <w:t xml:space="preserve">Kluczowa luka</w:t>
            </w:r>
          </w:p>
        </w:tc>
      </w:tr>
      <w:tr>
        <w:tc>
          <w:tcPr/>
          <w:p>
            <w:pPr>
              <w:pStyle w:val="Compact"/>
              <w:jc w:val="left"/>
            </w:pPr>
            <w:r>
              <w:rPr>
                <w:bCs/>
                <w:b/>
              </w:rPr>
              <w:t xml:space="preserve">1. Podwójna kontrola skrzynek e-mail</w:t>
            </w:r>
            <w:r>
              <w:t xml:space="preserve"> </w:t>
            </w:r>
            <w:r>
              <w:t xml:space="preserve">(gpucomputer@ i waldek@, wiadomości wysłane o 13:10 i 13:11 z identycznymi obietnicami zwrotu)</w:t>
            </w:r>
          </w:p>
        </w:tc>
        <w:tc>
          <w:tcPr/>
          <w:p>
            <w:pPr>
              <w:pStyle w:val="Compact"/>
              <w:jc w:val="left"/>
            </w:pPr>
            <w:r>
              <w:t xml:space="preserve">Wprowadzenie w błąd — obietnice zwrotu z obu adresów dowodzą, że ta sama osoba kontrolowała główną skrzynkę firmową</w:t>
            </w:r>
          </w:p>
        </w:tc>
        <w:tc>
          <w:tcPr/>
          <w:p>
            <w:pPr>
              <w:pStyle w:val="Compact"/>
              <w:jc w:val="left"/>
            </w:pPr>
            <w:r>
              <w:t xml:space="preserve">Panowanie nad czynem — wspólna kontrola komunikacji wskazuje na podział ról; wykładnia „istotny wkład” (SA Wrocław, 9 marca 2017 r.) obejmuje prowadzenie korespondencji</w:t>
            </w:r>
            <w:fldSimple w:instr="NOTEREF _Ref_Footnote_39 \h \f">
              <w:r>
                <w:rPr>
                  <w:vertAlign w:val="superscript"/>
                </w:rPr>
                <w:t>39</w:t>
              </w:r>
            </w:fldSimple>
          </w:p>
        </w:tc>
        <w:tc>
          <w:tcPr/>
          <w:p>
            <w:pPr>
              <w:pStyle w:val="Compact"/>
              <w:jc w:val="left"/>
            </w:pPr>
            <w:r>
              <w:rPr>
                <w:bCs/>
                <w:b/>
              </w:rPr>
              <w:t xml:space="preserve">Silna</w:t>
            </w:r>
            <w:r>
              <w:t xml:space="preserve"> </w:t>
            </w:r>
            <w:r>
              <w:t xml:space="preserve">— minutowa różnica czasu wyklucza przypadkowość</w:t>
            </w:r>
          </w:p>
        </w:tc>
        <w:tc>
          <w:tcPr/>
          <w:p>
            <w:pPr>
              <w:pStyle w:val="Compact"/>
              <w:jc w:val="left"/>
            </w:pPr>
            <w:r>
              <w:t xml:space="preserve">Brak logów IP bezpośrednio wiążących skrzynki z urządzeniem Waldemara</w:t>
            </w:r>
            <w:fldSimple w:instr="NOTEREF _Ref_Footnote_4 \h \f">
              <w:r>
                <w:rPr>
                  <w:vertAlign w:val="superscript"/>
                </w:rPr>
                <w:t>4</w:t>
              </w:r>
            </w:fldSimple>
          </w:p>
        </w:tc>
      </w:tr>
      <w:tr>
        <w:tc>
          <w:tcPr/>
          <w:p>
            <w:pPr>
              <w:pStyle w:val="Compact"/>
              <w:jc w:val="left"/>
            </w:pPr>
            <w:r>
              <w:rPr>
                <w:bCs/>
                <w:b/>
              </w:rPr>
              <w:t xml:space="preserve">2. Sprzeczne wyjaśnienia</w:t>
            </w:r>
            <w:r>
              <w:t xml:space="preserve"> </w:t>
            </w:r>
            <w:r>
              <w:t xml:space="preserve">(„cleared by customs” 24.02 vs. „supplier bankrupt” 13.05)</w:t>
            </w:r>
          </w:p>
        </w:tc>
        <w:tc>
          <w:tcPr/>
          <w:p>
            <w:pPr>
              <w:pStyle w:val="Compact"/>
              <w:jc w:val="left"/>
            </w:pPr>
            <w:r>
              <w:t xml:space="preserve">Zamiar bezpośredni (dolus directus) — logicznie nie do pogodzenia wersje wykazują świadomość wprowadzania w błąd; „szczególnie wnikliwa ocena” wyjaśnień oskarżonego</w:t>
            </w:r>
            <w:fldSimple w:instr="NOTEREF _Ref_Footnote_7 \h \f">
              <w:r>
                <w:rPr>
                  <w:vertAlign w:val="superscript"/>
                </w:rPr>
                <w:t>7</w:t>
              </w:r>
            </w:fldSimple>
          </w:p>
        </w:tc>
        <w:tc>
          <w:tcPr/>
          <w:p>
            <w:pPr>
              <w:pStyle w:val="Compact"/>
              <w:jc w:val="left"/>
            </w:pPr>
            <w:r>
              <w:t xml:space="preserve">Utrzymywanie pokrzywdzonego w błędzie — sprzeczne wyjaśnienia wykazują, że wersja o wysyłce była z góry fałszywa, co potwierdza wiedzę o niemożności dostawy</w:t>
            </w:r>
            <w:fldSimple w:instr="NOTEREF _Ref_Footnote_8 \h \f">
              <w:r>
                <w:rPr>
                  <w:vertAlign w:val="superscript"/>
                </w:rPr>
                <w:t>8</w:t>
              </w:r>
            </w:fldSimple>
          </w:p>
        </w:tc>
        <w:tc>
          <w:tcPr/>
          <w:p>
            <w:pPr>
              <w:pStyle w:val="Compact"/>
              <w:jc w:val="left"/>
            </w:pPr>
            <w:r>
              <w:rPr>
                <w:bCs/>
                <w:b/>
              </w:rPr>
              <w:t xml:space="preserve">Bardzo silna</w:t>
            </w:r>
            <w:r>
              <w:t xml:space="preserve"> </w:t>
            </w:r>
            <w:r>
              <w:t xml:space="preserve">— wykluczające się wyjaśnienia podważają wiarygodność w każdym aspekcie</w:t>
            </w:r>
          </w:p>
        </w:tc>
        <w:tc>
          <w:tcPr/>
          <w:p>
            <w:pPr>
              <w:pStyle w:val="Compact"/>
              <w:jc w:val="left"/>
            </w:pPr>
            <w:r>
              <w:t xml:space="preserve">Oba wyjaśnienia pochodzą z e-maili; brak nagrania rozmów telefonicznych</w:t>
            </w:r>
            <w:r>
              <w:rPr>
                <w:vertAlign w:val="superscript"/>
              </w:rPr>
              <w:footnoteReference w:id="52"/>
            </w:r>
          </w:p>
        </w:tc>
      </w:tr>
      <w:tr>
        <w:tc>
          <w:tcPr/>
          <w:p>
            <w:pPr>
              <w:pStyle w:val="Compact"/>
              <w:jc w:val="left"/>
            </w:pPr>
            <w:r>
              <w:rPr>
                <w:bCs/>
                <w:b/>
              </w:rPr>
              <w:t xml:space="preserve">3. Obietnice zwrotu z adresu waldek@</w:t>
            </w:r>
          </w:p>
        </w:tc>
        <w:tc>
          <w:tcPr/>
          <w:p>
            <w:pPr>
              <w:pStyle w:val="Compact"/>
              <w:jc w:val="left"/>
            </w:pPr>
            <w:r>
              <w:t xml:space="preserve">Wprowadzenie w błąd — osobiste zobowiązanie się do zwrotu pieniędzy stanowi bezpośrednie wykonanie elementu czynności sprawczej</w:t>
            </w:r>
          </w:p>
        </w:tc>
        <w:tc>
          <w:tcPr/>
          <w:p>
            <w:pPr>
              <w:pStyle w:val="Compact"/>
              <w:jc w:val="left"/>
            </w:pPr>
            <w:r>
              <w:t xml:space="preserve">Świadomość (dolus) — składanie obietnic zwrotu z prywatnego adresu wskazuje na akceptację odpowiedzialności i wiedzę o zaistniałym zobowiązaniu</w:t>
            </w:r>
          </w:p>
        </w:tc>
        <w:tc>
          <w:tcPr/>
          <w:p>
            <w:pPr>
              <w:pStyle w:val="Compact"/>
              <w:jc w:val="left"/>
            </w:pPr>
            <w:r>
              <w:rPr>
                <w:bCs/>
                <w:b/>
              </w:rPr>
              <w:t xml:space="preserve">Silna</w:t>
            </w:r>
            <w:r>
              <w:t xml:space="preserve"> </w:t>
            </w:r>
            <w:r>
              <w:t xml:space="preserve">— treść wiadomości bezpośrednio dowodzi osobistego zaangażowania</w:t>
            </w:r>
          </w:p>
        </w:tc>
        <w:tc>
          <w:tcPr/>
          <w:p>
            <w:pPr>
              <w:pStyle w:val="Compact"/>
              <w:jc w:val="left"/>
            </w:pPr>
            <w:r>
              <w:t xml:space="preserve">Weryfikacja, czy Waldemar miał dostęp do konta bankowego JDG</w:t>
            </w:r>
            <w:fldSimple w:instr="NOTEREF _Ref_Footnote_27 \h \f">
              <w:r>
                <w:rPr>
                  <w:vertAlign w:val="superscript"/>
                </w:rPr>
                <w:t>27</w:t>
              </w:r>
            </w:fldSimple>
          </w:p>
        </w:tc>
      </w:tr>
      <w:tr>
        <w:tc>
          <w:tcPr/>
          <w:p>
            <w:pPr>
              <w:pStyle w:val="Compact"/>
              <w:jc w:val="left"/>
            </w:pPr>
            <w:r>
              <w:rPr>
                <w:bCs/>
                <w:b/>
              </w:rPr>
              <w:t xml:space="preserve">4. Współpublikacja marki 3dkrakow od 2016 r.</w:t>
            </w:r>
            <w:r>
              <w:t xml:space="preserve"> </w:t>
            </w:r>
            <w:r>
              <w:t xml:space="preserve">(zrzuty Wayback Machine)</w:t>
            </w:r>
          </w:p>
        </w:tc>
        <w:tc>
          <w:tcPr/>
          <w:p>
            <w:pPr>
              <w:pStyle w:val="Compact"/>
              <w:jc w:val="left"/>
            </w:pPr>
            <w:r>
              <w:t xml:space="preserve">— (nie bezpośrednio element oszustwa, ale kontekst czasowy)</w:t>
            </w:r>
          </w:p>
        </w:tc>
        <w:tc>
          <w:tcPr/>
          <w:p>
            <w:pPr>
              <w:pStyle w:val="Compact"/>
              <w:jc w:val="left"/>
            </w:pPr>
            <w:r>
              <w:t xml:space="preserve">Porozumienie (dorozumiane) — 10 lat współpublikacji marki wskazuje na długotrwałe porozumienie gospodarcze, z którego można wywieść porozumienie przestępcze</w:t>
            </w:r>
            <w:fldSimple w:instr="NOTEREF _Ref_Footnote_41 \h \f">
              <w:r>
                <w:rPr>
                  <w:vertAlign w:val="superscript"/>
                </w:rPr>
                <w:t>41</w:t>
              </w:r>
            </w:fldSimple>
          </w:p>
        </w:tc>
        <w:tc>
          <w:tcPr/>
          <w:p>
            <w:pPr>
              <w:pStyle w:val="Compact"/>
              <w:jc w:val="left"/>
            </w:pPr>
            <w:r>
              <w:rPr>
                <w:bCs/>
                <w:b/>
              </w:rPr>
              <w:t xml:space="preserve">Średnia</w:t>
            </w:r>
            <w:r>
              <w:t xml:space="preserve"> </w:t>
            </w:r>
            <w:r>
              <w:t xml:space="preserve">— dowód pośredni (circumstantial evidence); sama współpraca gospodarcza nie jest przestępstwem</w:t>
            </w:r>
          </w:p>
        </w:tc>
        <w:tc>
          <w:tcPr/>
          <w:p>
            <w:pPr>
              <w:pStyle w:val="Compact"/>
              <w:jc w:val="left"/>
            </w:pPr>
            <w:r>
              <w:t xml:space="preserve">Wymaga uwierzytelnienia (notariusz lub opinia biegłego)</w:t>
            </w:r>
            <w:fldSimple w:instr="NOTEREF _Ref_Footnote_44 \h \f">
              <w:r>
                <w:rPr>
                  <w:vertAlign w:val="superscript"/>
                </w:rPr>
                <w:t>44</w:t>
              </w:r>
            </w:fldSimple>
            <w:r>
              <w:t xml:space="preserve"> </w:t>
            </w:r>
            <w:fldSimple w:instr="NOTEREF _Ref_Footnote_26 \h \f">
              <w:r>
                <w:rPr>
                  <w:vertAlign w:val="superscript"/>
                </w:rPr>
                <w:t>26</w:t>
              </w:r>
            </w:fldSimple>
          </w:p>
        </w:tc>
      </w:tr>
      <w:tr>
        <w:tc>
          <w:tcPr/>
          <w:p>
            <w:pPr>
              <w:pStyle w:val="Compact"/>
              <w:jc w:val="left"/>
            </w:pPr>
            <w:r>
              <w:rPr>
                <w:bCs/>
                <w:b/>
              </w:rPr>
              <w:t xml:space="preserve">5. Faktyczne prowadzenie działalności w czasie, gdy Mateusz przebywa w Holandii</w:t>
            </w:r>
          </w:p>
        </w:tc>
        <w:tc>
          <w:tcPr/>
          <w:p>
            <w:pPr>
              <w:pStyle w:val="Compact"/>
              <w:jc w:val="left"/>
            </w:pPr>
            <w:r>
              <w:t xml:space="preserve">Cel osiągnięcia korzyści majątkowej — kontrola nad bieżącymi operacjami pozwala zakładać udział w zyskach</w:t>
            </w:r>
          </w:p>
        </w:tc>
        <w:tc>
          <w:tcPr/>
          <w:p>
            <w:pPr>
              <w:pStyle w:val="Compact"/>
              <w:jc w:val="left"/>
            </w:pPr>
            <w:r>
              <w:t xml:space="preserve">Podział ról — Waldemar jako faktyczny operator, Mateusz jako formalny właściciel; art. 9 § 3 KKS uznaje „faktyczne wykonywanie” za przesłankę odpowiedzialności</w:t>
            </w:r>
            <w:r>
              <w:rPr>
                <w:vertAlign w:val="superscript"/>
              </w:rPr>
              <w:footnoteReference w:id="53"/>
            </w:r>
          </w:p>
        </w:tc>
        <w:tc>
          <w:tcPr/>
          <w:p>
            <w:pPr>
              <w:pStyle w:val="Compact"/>
              <w:jc w:val="left"/>
            </w:pPr>
            <w:r>
              <w:rPr>
                <w:bCs/>
                <w:b/>
              </w:rPr>
              <w:t xml:space="preserve">Średnia do silnej</w:t>
            </w:r>
            <w:r>
              <w:t xml:space="preserve"> </w:t>
            </w:r>
            <w:r>
              <w:t xml:space="preserve">— zależy od dodatkowych dowodów (ZUS, CEIDG)</w:t>
            </w:r>
          </w:p>
        </w:tc>
        <w:tc>
          <w:tcPr/>
          <w:p>
            <w:pPr>
              <w:pStyle w:val="Compact"/>
              <w:jc w:val="left"/>
            </w:pPr>
            <w:r>
              <w:t xml:space="preserve">Brak zapisów rejestracyjnych potwierdzających zatrudnienie Waldemara przy JDG</w:t>
            </w:r>
          </w:p>
        </w:tc>
      </w:tr>
      <w:tr>
        <w:tc>
          <w:tcPr/>
          <w:p>
            <w:pPr>
              <w:pStyle w:val="Compact"/>
              <w:jc w:val="left"/>
            </w:pPr>
            <w:r>
              <w:rPr>
                <w:bCs/>
                <w:b/>
              </w:rPr>
              <w:t xml:space="preserve">6. Wspólne nazwisko Łopata</w:t>
            </w:r>
          </w:p>
        </w:tc>
        <w:tc>
          <w:tcPr/>
          <w:p>
            <w:pPr>
              <w:pStyle w:val="Compact"/>
              <w:jc w:val="left"/>
            </w:pPr>
            <w:r>
              <w:t xml:space="preserve">— (nie bezpośredni element)</w:t>
            </w:r>
          </w:p>
        </w:tc>
        <w:tc>
          <w:tcPr/>
          <w:p>
            <w:pPr>
              <w:pStyle w:val="Compact"/>
              <w:jc w:val="left"/>
            </w:pPr>
            <w:r>
              <w:t xml:space="preserve">— (nie bezpośredni element)</w:t>
            </w:r>
          </w:p>
        </w:tc>
        <w:tc>
          <w:tcPr/>
          <w:p>
            <w:pPr>
              <w:pStyle w:val="Compact"/>
              <w:jc w:val="left"/>
            </w:pPr>
            <w:r>
              <w:rPr>
                <w:bCs/>
                <w:b/>
              </w:rPr>
              <w:t xml:space="preserve">Słaba</w:t>
            </w:r>
            <w:r>
              <w:t xml:space="preserve"> </w:t>
            </w:r>
            <w:r>
              <w:t xml:space="preserve">— związek rodzinny sam w sobie nie przesądza o odpowiedzialności karnej</w:t>
            </w:r>
            <w:r>
              <w:rPr>
                <w:vertAlign w:val="superscript"/>
              </w:rPr>
              <w:footnoteReference w:id="54"/>
            </w:r>
          </w:p>
        </w:tc>
        <w:tc>
          <w:tcPr/>
          <w:p>
            <w:pPr>
              <w:pStyle w:val="Compact"/>
              <w:jc w:val="left"/>
            </w:pPr>
            <w:r>
              <w:t xml:space="preserve">Potrzebne wyłącznie jako kontekst dla pozostałych dowodów</w:t>
            </w:r>
          </w:p>
        </w:tc>
      </w:tr>
    </w:tbl>
    <w:p>
      <w:pPr>
        <w:pStyle w:val="BodyText"/>
      </w:pPr>
      <w:r>
        <w:t xml:space="preserve">Analiza tabeli prowadzi do trzech kluczowych wniosków. Po pierwsze, najsilniejszym dowodem w sprawie jest kombinacja dowodu nr 1 (podwójna kontrola skrzynek e-mail) z dowodem nr 2 (sprzeczne wyjaśnienia). Minutowa różnica czasu między wysłaniem identycznych obietnic zwrotu z adresów gpucomputer@ i waldek@ (13:10 i 13:11) jest okolicznością, którą sąd prawdopodobnie uzna za wykluczającą przypadkowość. Zgodnie z teorią „istotnego wkładu” (istotny wkład) ukształtowaną w orzecznictwie, Sąd Apelacyjny we Wrocławiu w wyroku z 9 marca 2017 r. uznał, że „czynności w postaci […] odbierania korespondencji, przekazywania jej współsprawcom […] stanowią formę współsprawstwa, a nie pomocnictwa”, podkreślając że „bez jego udziału przestępstwo w takiej formie, w takim okresie, przy udziale różnych osób, na taką skalę nie zostałoby popełnione”. Zastosowanie tej wykładni do sprawy Waldemara Łopaty jest bezpośrednie: kontrola nad korespondencją z klientem stanowiła warunek konieczny dla utrzymania pokrzywdzonego w przekonaniu, że transakcja jest realizowana prawidłowo, a bez niej oszustwo dokonane za pośrednictwem korespondencji e-mail nie mogłoby mieć miejsca w swojej faktycznej postaci.</w:t>
      </w:r>
    </w:p>
    <w:p>
      <w:pPr>
        <w:pStyle w:val="BodyText"/>
      </w:pPr>
      <w:r>
        <w:t xml:space="preserve">Po drugie, sprzeczne wyjaśnienia („cleared by customs” vs. „supplier bankrupt”) pełnią podwójną funkcję dowodową. Z jednej strony, w świetle zasady „szczególnie wnikliwej oceny” wyjaśnień oskarżonego</w:t>
      </w:r>
      <w:fldSimple w:instr="NOTEREF _Ref_Footnote_7 \h \f">
        <w:r>
          <w:rPr>
            <w:vertAlign w:val="superscript"/>
          </w:rPr>
          <w:t>7</w:t>
        </w:r>
      </w:fldSimple>
      <w:r>
        <w:t xml:space="preserve">, są to okoliczności fundamentalnie podważające wiarygodność wszelkich tłumaczeń, które Waldemar mógłby złożyć na etapie postępowania. Sąd Apelacyjny w wyroku II AKa 406/22 podkreślił „nikłą wartość dowodową wyjaśnień oskarżonego” w sytuacji, gdy pozostają one w sprzeczności z innymi dowodami</w:t>
      </w:r>
      <w:fldSimple w:instr="NOTEREF _Ref_Footnote_8 \h \f">
        <w:r>
          <w:rPr>
            <w:vertAlign w:val="superscript"/>
          </w:rPr>
          <w:t>8</w:t>
        </w:r>
      </w:fldSimple>
      <w:r>
        <w:t xml:space="preserve">. Z drugiej strony, ponieważ obie wersje dotyczą tego samego towaru i tego samego okresu, ich wykluczający się charakter wykazuje, że żadna z nich nie była prawdziwa — co z kolei implikuje świadomość braku możliwości dostawy. Jak podkreśla publikacja KSSiP, wyjaśnienia oskarżonego „nie mogą być przyjmowane bezkrytyczne” i „każde przyznanie się oskarżonego do winy musi być skontrolowane […] skonfrontowane z innymi dowodami”</w:t>
      </w:r>
      <w:fldSimple w:instr="NOTEREF _Ref_Footnote_7 \h \f">
        <w:r>
          <w:rPr>
            <w:vertAlign w:val="superscript"/>
          </w:rPr>
          <w:t>7</w:t>
        </w:r>
      </w:fldSimple>
      <w:r>
        <w:t xml:space="preserve">. W Pańskim przypadku brak przyznania się do winy jest zastąpiony przez sam fakt składania wzajemnie wykluczających się wyjaśnień — co, zgodnie z regułą Sądu Apelacyjnego w Bydgoszczy (IV Ka 853/19), zobowiązuje sąd do wyjaśnienia w uzasadnieniu, na których dowodach się oparł i dlaczego odrzucił pozostałe</w:t>
      </w:r>
      <w:fldSimple w:instr="NOTEREF _Ref_Footnote_5 \h \f">
        <w:r>
          <w:rPr>
            <w:vertAlign w:val="superscript"/>
          </w:rPr>
          <w:t>5</w:t>
        </w:r>
      </w:fldSimple>
      <w:r>
        <w:t xml:space="preserve">.</w:t>
      </w:r>
    </w:p>
    <w:p>
      <w:pPr>
        <w:pStyle w:val="BodyText"/>
      </w:pPr>
      <w:r>
        <w:t xml:space="preserve">Po trzecie, dowód nr 4 (współpublikacja marki 3dkrakow) i dowód nr 6 (wspólne nazwisko) mają charakter jedynie uzupełniający. Sam fakt współpracy gospodarczej lub pokrewieństwa rodzinnego nie stanowi podstawy do postawienia zarzutu karnego</w:t>
      </w:r>
      <w:fldSimple w:instr="NOTEREF _Ref_Footnote_54 \h \f">
        <w:r>
          <w:rPr>
            <w:vertAlign w:val="superscript"/>
          </w:rPr>
          <w:t>54</w:t>
        </w:r>
      </w:fldSimple>
      <w:r>
        <w:t xml:space="preserve">. Jednak w połączeniu z dowodami bezpośrednimi (kontrola e-maili, sprzeczne wyjaśnienia) tworzą one spójny obraz długotrwałego porozumienia, w ramach którego Waldemar pełnił funkcję faktycznego operatora przedsiębiorstwa. Sąd Apelacyjny w Katowicach w wyroku II Ka 193/21 wskazał, że sądy badają „czy związki [rodzinne] stworzyły warunki zaufania i wzajemnej świadomości ułatwiające współpracę przestępczą, ale zawsze wymagają dodatkowych dowodów na istnienie porozumienia przestępczego”</w:t>
      </w:r>
      <w:fldSimple w:instr="NOTEREF _Ref_Footnote_54 \h \f">
        <w:r>
          <w:rPr>
            <w:vertAlign w:val="superscript"/>
          </w:rPr>
          <w:t>54</w:t>
        </w:r>
      </w:fldSimple>
      <w:r>
        <w:t xml:space="preserve">. W Pańskim przypadku rola nazwiska Łopata sprowadza się do zwiększenia prawdopodobieństwa, że Waldemar miał świadomość działań Mateusza — co w połączeniu z kontrolą nad komunikacją i sprzecznymi wyjaśnieniami buduje ciąg logiczny prowadzący do wniosku o współsprawstwie. Zestawienie dowodów o sile „silnej” i „bardzo silnej” obejmuje kluczowe elementy czynności sprawczej oraz zamiar przestępczy, podczas gdy dowody o sile „średniej” i „słabej” wspierają kontekstualnie tezę o porozumieniu — co w sumie daje materiał przekraczający próg „dostatecznych podstaw” z art. 313 k.p.k.</w:t>
      </w:r>
    </w:p>
    <w:bookmarkEnd w:id="51"/>
    <w:bookmarkStart w:id="57" w:name="Xe903d437f9e85eeca24b041acffafbdb9dbe630"/>
    <w:p>
      <w:pPr>
        <w:pStyle w:val="Heading3"/>
      </w:pPr>
      <w:r>
        <w:t xml:space="preserve">2.3 Dodatkowe dowody, które prokurator powinien pozyskać</w:t>
      </w:r>
    </w:p>
    <w:bookmarkStart w:id="52" w:name="Xd3728320f3c4709e452770f6897e6b205d4d973"/>
    <w:p>
      <w:pPr>
        <w:pStyle w:val="Heading4"/>
      </w:pPr>
      <w:r>
        <w:t xml:space="preserve">2.3.1 Logi IP łączące wiadomości e-mail z urządzeniami Waldemara — najistotniejsza brakująca część układanki</w:t>
      </w:r>
    </w:p>
    <w:p>
      <w:pPr>
        <w:pStyle w:val="FirstParagraph"/>
      </w:pPr>
      <w:r>
        <w:t xml:space="preserve">Logi IP (Internet Protocol logs) stanowią absolutnie kluczowy element dowodowy, którego pozyskanie powinno być priorytetem dla prokuratora. Bez względu na to, jak przekonująca jest treść korespondencji, jej wartość dowodowa pozostaje ograniczona, dopóki nie zostanie wykazane, że wiadomości zostały wysłane z urządzenia lub połączenia internetowego związanego z Waldemarem Łopatą. Jak wskazuje praktyka, „w przypadku wiadomości mailowych […] musisz pamiętać, że stanie się tak jedynie wtedy, gdy można będzie powiązać jej treść z adresem skrzynki mailowej lub IP komputera”</w:t>
      </w:r>
      <w:fldSimple w:instr="NOTEREF _Ref_Footnote_52 \h \f">
        <w:r>
          <w:rPr>
            <w:vertAlign w:val="superscript"/>
          </w:rPr>
          <w:t>52</w:t>
        </w:r>
      </w:fldSimple>
      <w:r>
        <w:t xml:space="preserve">. Zgodnie z art. 218a k.p.k., prokurator może wystąpić z postanowieniem o tymczasowe zabezpieczenie danych informatycznych przechowywanych przez operatora telekomunikacyjnego lub dostawcę usług poczty elektronicznej</w:t>
      </w:r>
      <w:fldSimple w:instr="NOTEREF _Ref_Footnote_9 \h \f">
        <w:r>
          <w:rPr>
            <w:vertAlign w:val="superscript"/>
          </w:rPr>
          <w:t>9</w:t>
        </w:r>
      </w:fldSimple>
      <w:r>
        <w:t xml:space="preserve">. W sprawie o charakterze transgranicznym (Mateusz Szklarski w Holandii, serwery e-mail potencjalnie w Polsce) analiza logów IP może dodatkowo wykazać geograficzną lokalizację nadawcy w momencie wysyłania wiadomości — co ma znaczenie dla ustalenia, czy Waldemar faktycznie prowadził korespondencję z terytorium Polski, a nie np. przekazywał zadania Mateuszowi w Rotterdamie.</w:t>
      </w:r>
    </w:p>
    <w:bookmarkEnd w:id="52"/>
    <w:bookmarkStart w:id="53" w:name="Xedbee3870479b85ff8a5b64db99cc1e9eeb5fcc"/>
    <w:p>
      <w:pPr>
        <w:pStyle w:val="Heading4"/>
      </w:pPr>
      <w:r>
        <w:t xml:space="preserve">2.3.2 Rejestry bankowe wykazujące przepływ środków z konta JDG Mateusza do Waldemara</w:t>
      </w:r>
    </w:p>
    <w:p>
      <w:pPr>
        <w:pStyle w:val="FirstParagraph"/>
      </w:pPr>
      <w:r>
        <w:t xml:space="preserve">Pomimo że przelew 155 000 zł został zrealizowany na konto JDG Mateusza Szklarskiego, prokurator powinien zbadać, czy środki te lub ich część zostały przekazane Waldemarowi Łopacie. Zgodnie z art. 9 § 3 KKS, osoba, która „na podstawie przepisu prawa, decyzji właściwego organu, umowy lub faktycznego wykonywania zajmuje się sprawami gospodarczymi, w szczególności finansowymi” podmiotu, może ponosić odpowiedzialność karno-skarbową</w:t>
      </w:r>
      <w:fldSimple w:instr="NOTEREF _Ref_Footnote_53 \h \f">
        <w:r>
          <w:rPr>
            <w:vertAlign w:val="superscript"/>
          </w:rPr>
          <w:t>53</w:t>
        </w:r>
      </w:fldSimple>
      <w:r>
        <w:t xml:space="preserve">. W kontekście odpowiedzialności za oszustwo z art. 286 KK, dowód otrzymania korzyści majątkowej przez Waldemara znacząco wzmocniłby tezę o jego udziale w przestępstwie jako współsprawcy. Nawet jeśli Waldemar nie otrzymał bezpośredniego przelewu, dowody korzystania z karty debetowej konta JDG lub dokonywania wypłat z bankomatu mogą wykazać, że miał faktyczną kontrolę nad finansami przedsiębiorstwa — co z kolei wspiera tezę o „panowaniu nad czynem” (mastery over the act) i „istotnym wkładzie” w realizację znamion przestępstwa.</w:t>
      </w:r>
    </w:p>
    <w:bookmarkEnd w:id="53"/>
    <w:bookmarkStart w:id="54" w:name="Xd85799b36f31b375830bb5281bac806e069b6bd"/>
    <w:p>
      <w:pPr>
        <w:pStyle w:val="Heading4"/>
      </w:pPr>
      <w:r>
        <w:t xml:space="preserve">2.3.3 Dane telekomunikacyjne (12-miesięczny okres retencji zgodnie z polskim prawem)</w:t>
      </w:r>
    </w:p>
    <w:p>
      <w:pPr>
        <w:pStyle w:val="FirstParagraph"/>
      </w:pPr>
      <w:r>
        <w:t xml:space="preserve">Zgodnie z art. 180a Prawa telekomunikacyjnego, operatorzy telekomunikacyjni przechowują dane o połączeniach i lokalizacji przez okres 12 miesięcy</w:t>
      </w:r>
      <w:r>
        <w:rPr>
          <w:vertAlign w:val="superscript"/>
        </w:rPr>
        <w:footnoteReference w:id="55"/>
      </w:r>
      <w:r>
        <w:t xml:space="preserve">. Oznacza to, że jeśli prokurator zwróci się o dane telekomunikacyjne w odpowiednim czasie, może uzyskać dostęp do billingów (billing records) łączących numery telefonów zarówno Mateusza Szklarskiego, jak i Waldemara Łopaty. Analza częstotliwości i czasu rozmów między nimi w okresie realizacji zamówienia (a w szczególności po złożeniu zamówienia, gdy termin dostawy był przekraczany) może dostarczyć dowodów na istnienie koordynacji działań. Co więcej, dane o lokalizacji telefonów komórkowych w kluczowych momentach (np. w momencie wysyłania e-maili z obietnicami zwrotu) mogą potwierdzić lub wykluczyć fizyczną obecność Waldemara przy urządzeniu, z którego wysłano wiadomość. Należy jednak mieć na uwadze ograniczenia techniczne: sprawca mógł korzystać z sieci VPN, otwartych hotspotów lub innych metod maskowania swojej lokalizacji</w:t>
      </w:r>
      <w:fldSimple w:instr="NOTEREF _Ref_Footnote_55 \h \f">
        <w:r>
          <w:rPr>
            <w:vertAlign w:val="superscript"/>
          </w:rPr>
          <w:t>55</w:t>
        </w:r>
      </w:fldSimple>
      <w:r>
        <w:t xml:space="preserve">.</w:t>
      </w:r>
    </w:p>
    <w:bookmarkEnd w:id="54"/>
    <w:bookmarkStart w:id="55" w:name="X2741aac5d56d87cafcba59aaa626ea0cb6470b1"/>
    <w:p>
      <w:pPr>
        <w:pStyle w:val="Heading4"/>
      </w:pPr>
      <w:r>
        <w:t xml:space="preserve">2.3.4 Rejestry ZUS/CEIDG dotyczące zatrudnienia lub działalności gospodarczej Waldemara</w:t>
      </w:r>
    </w:p>
    <w:p>
      <w:pPr>
        <w:pStyle w:val="FirstParagraph"/>
      </w:pPr>
      <w:r>
        <w:t xml:space="preserve">Kolejnym istotnym źródłem informacji są rejestry Zakładu Ubezpieczeń Społecznych oraz Centralna Ewidencja i Informacja o Działalności Gospodarczej. Jeżeli Waldemar Łopata był zgłoszony do ubezpieczeń społecznych przez JDG Mateusza Szklarskiego lub figuruje w CEIDG jako osoba współprowadząca działalność, stanowi to bezpośredni dowód formalnego powiązania z przedsiębiorstwem. Warto również zbadać, czy Waldemar samodzielnie prowadzi działalność gospodarczą — w szczególności pod marką „3dkrakow”. Takie ustalenia wzmacniają tezę o jego faktycznym „panowaniu nad czynem” i o tym, że nie był jedynie przypadkowym pomocnikiem, ale osobą mającą realny wpływ na funkcjonowanie przedsiębiorstwa. Jeżeli rejestry ZUS wykażą, że Waldemar nie był formalnie zatrudniony przy JDG, a mimo to prowadził korespondencję w imieniu firmy, stanowi to dodatkowy argument za „faktycznym prowadzeniem” działalności w rozumieniu art. 9 § 3 KKS.</w:t>
      </w:r>
    </w:p>
    <w:bookmarkEnd w:id="55"/>
    <w:bookmarkStart w:id="56" w:name="X5c4dbf54ffe6e71458e96e975d7562bcae56309"/>
    <w:p>
      <w:pPr>
        <w:pStyle w:val="Heading4"/>
      </w:pPr>
      <w:r>
        <w:t xml:space="preserve">2.3.5 Uwierzytelnienie zrzutów Wayback Machine (notariusz lub opinia biegłego)</w:t>
      </w:r>
    </w:p>
    <w:p>
      <w:pPr>
        <w:pStyle w:val="FirstParagraph"/>
      </w:pPr>
      <w:r>
        <w:t xml:space="preserve">Zrzuty z Internet Archive (Wayback Machine) wykazujące współpublikację marki 3dkrakow na stronie gpucomputer.pl od 2016 roku stanowią cenny dowód pośredni na długotrwałą współpracę gospodarczą. Jednakże, jak wskazuje praktyka sądowa, „choć ze swej istoty wydruk komputerowy może być łatwo modyfikowany, to ta okoliczność nie pozbawia go przymiotu dowodu”</w:t>
      </w:r>
      <w:fldSimple w:instr="NOTEREF _Ref_Footnote_26 \h \f">
        <w:r>
          <w:rPr>
            <w:vertAlign w:val="superscript"/>
          </w:rPr>
          <w:t>26</w:t>
        </w:r>
      </w:fldSimple>
      <w:r>
        <w:t xml:space="preserve">. Aby zmaksymalizować wartość dowodową tych materiałów, zaleca się ich uwierzytelnienie. Najbardziej wiarygodną metodą jest sporządzenie notarialnego protokołu otwarcia strony internetowej (protokół otwarcia strony internetowej), w którym notariusz dokonuje oględzin strony i potwierdza jej treść wraz z datą i godziną sporządzenia czynności</w:t>
      </w:r>
      <w:fldSimple w:instr="NOTEREF _Ref_Footnote_26 \h \f">
        <w:r>
          <w:rPr>
            <w:vertAlign w:val="superscript"/>
          </w:rPr>
          <w:t>26</w:t>
        </w:r>
      </w:fldSimple>
      <w:r>
        <w:t xml:space="preserve">. Alternatywnie, można złożyć wniosek o dopuszczenie dowodu z opinii biegłego ds. informatyki, który ustali autentyczność i integralność zrzutów</w:t>
      </w:r>
      <w:fldSimple w:instr="NOTEREF _Ref_Footnote_42 \h \f">
        <w:r>
          <w:rPr>
            <w:vertAlign w:val="superscript"/>
          </w:rPr>
          <w:t>42</w:t>
        </w:r>
      </w:fldSimple>
      <w:r>
        <w:t xml:space="preserve">. Z badania przeprowadzonego przez Marka Mozgawę (KSSiP) wynika, że w 183 z 253 spraw karnych w Sądzie Okręgowym w Warszawie dowody cyfrowe przedstawiano jedynie w formie wydruków bez uwierzytelnienia technicznego; w 99 przypadkach wydruki nie były uwierzytelnione w ogóle — sądy je dopuszczały, ale ich moc dowodowa była ograniczona</w:t>
      </w:r>
      <w:fldSimple w:instr="NOTEREF _Ref_Footnote_10 \h \f">
        <w:r>
          <w:rPr>
            <w:vertAlign w:val="superscript"/>
          </w:rPr>
          <w:t>10</w:t>
        </w:r>
      </w:fldSimple>
      <w:r>
        <w:t xml:space="preserve">. Uwierzytelnienie zrzutów przed złożeniem zawiadomienia znacząco wzmocni pozycję dowodową w toku całego postępowania, zarówno karnego, jak i ewentualnego cywilnego. Warto podkreślić, że koszt notarialnego uwierzytelnienia jest niewspółmiernie niski wobec potencjalnej wartości dowodowej, jaką tak zabezpieczony materiał uzyskuje w ocenie sądu.</w:t>
      </w:r>
      <w:r>
        <w:t xml:space="preserve"> </w:t>
      </w:r>
      <w:r>
        <w:t xml:space="preserve">## 3. Most Cywilny — Jak Skazanie Waldka na Gruncie Karnym Otwiera Drogę do Odzyskania 155 000 zł</w:t>
      </w:r>
    </w:p>
    <w:p>
      <w:pPr>
        <w:pStyle w:val="BodyText"/>
      </w:pPr>
      <w:r>
        <w:t xml:space="preserve">Rozdział ten stanowi serce całej analizy. Pan zapłacił 155 000 zł firmie Mateusza, a jego adwokat stwierdził, że</w:t>
      </w:r>
      <w:r>
        <w:t xml:space="preserve"> </w:t>
      </w:r>
      <w:r>
        <w:t xml:space="preserve">“</w:t>
      </w:r>
      <w:r>
        <w:t xml:space="preserve">na tym etapie nie ma podstaw do dochodzenia od Waldka</w:t>
      </w:r>
      <w:r>
        <w:t xml:space="preserve">”</w:t>
      </w:r>
      <w:r>
        <w:t xml:space="preserve">, ponieważ umowa była zawarta z podmiotem Mateusza. Niniejszy rozdział wyjaśnia dlaczego to stwierdzenie jest prawdziwe co do zasady — ale tylko dla roszczeń kontraktowych (umownych), natomiast całkowicie pomija odrębną, równorzędną ścieżkę roszczeniową z tytułu czynu niedozwolonego (deliktową). Skazanie Waldka za współsprawstwo w oszustwie otwiera przed Panem co najmniej dwa niezależne, wzajemnie wzmacniające się mechanizmy odzyskania środków: restytucję karną na podstawie art. 46 k.k. oraz skutek wiążący (prejudykat) wyroku karnego na gruncie cywilnym na podstawie art. 11 k.p.c. Każdy z nich pozwala dochodzić całości kwoty 155 000 zł osobiście od Waldka — niezależnie od tego, że pieniądze trafiły na konto Mateusza.</w:t>
      </w:r>
    </w:p>
    <w:p>
      <w:r>
        <w:pict>
          <v:rect style="width:0;height:1.5pt" o:hralign="center" o:hrstd="t" o:hr="t"/>
        </w:pict>
      </w:r>
    </w:p>
    <w:bookmarkEnd w:id="56"/>
    <w:bookmarkEnd w:id="57"/>
    <w:bookmarkStart w:id="62" w:name="Xce323a106432d6737a26ba690c61f186b044dbe"/>
    <w:p>
      <w:pPr>
        <w:pStyle w:val="Heading3"/>
      </w:pPr>
      <w:r>
        <w:t xml:space="preserve">3.1 Art. 46 k.k. — Restytucja Karną wobec Współsprawcy</w:t>
      </w:r>
    </w:p>
    <w:bookmarkStart w:id="58" w:name="X70385477cd8ef40d8e0871fc4f06ca696c6c962"/>
    <w:p>
      <w:pPr>
        <w:pStyle w:val="Heading4"/>
      </w:pPr>
      <w:r>
        <w:t xml:space="preserve">3.1.1 Zakres art. 46 § 1 k.k.: sąd MOŻE, a na wniosek pokrzywdzonego ORZEKA obowiązek naprawienia szkody</w:t>
      </w:r>
    </w:p>
    <w:p>
      <w:pPr>
        <w:pStyle w:val="FirstParagraph"/>
      </w:pPr>
      <w:r>
        <w:t xml:space="preserve">Art. 46 § 1 k.k. stanowi podstawę prawną, na mocy której sąd karny może — stosując przepisy prawa cywilnego — zobowiązać skazanego do naprawienia wyrządzonej przestępstwem szkody lub do zapłaty zadośćuczynienia za doznaną krzywdę</w:t>
      </w:r>
      <w:fldSimple w:instr="NOTEREF _Ref_Footnote_10 \h \f">
        <w:r>
          <w:rPr>
            <w:vertAlign w:val="superscript"/>
          </w:rPr>
          <w:t>10</w:t>
        </w:r>
      </w:fldSimple>
      <w:r>
        <w:t xml:space="preserve">. Kluczowe dla Pana jako pokrzywdzonego jest rozróżnienie dwóch trybów orzekania tego obowiązku. Po pierwsze, sąd</w:t>
      </w:r>
      <w:r>
        <w:t xml:space="preserve"> </w:t>
      </w:r>
      <w:r>
        <w:rPr>
          <w:iCs/>
          <w:i/>
        </w:rPr>
        <w:t xml:space="preserve">może</w:t>
      </w:r>
      <w:r>
        <w:t xml:space="preserve"> </w:t>
      </w:r>
      <w:r>
        <w:t xml:space="preserve">orzec z urzędu (ex officio) — ma wtedy pełną dyskrecję i może, ale nie musi, nałożyć ten obowiązek</w:t>
      </w:r>
      <w:fldSimple w:instr="NOTEREF _Ref_Footnote_38 \h \f">
        <w:r>
          <w:rPr>
            <w:vertAlign w:val="superscript"/>
          </w:rPr>
          <w:t>38</w:t>
        </w:r>
      </w:fldSimple>
      <w:r>
        <w:t xml:space="preserve">. Po drugie,</w:t>
      </w:r>
      <w:r>
        <w:t xml:space="preserve"> </w:t>
      </w:r>
      <w:r>
        <w:t xml:space="preserve">“</w:t>
      </w:r>
      <w:r>
        <w:t xml:space="preserve">na wniosek pokrzywdzonego lub innej osoby uprawnionej</w:t>
      </w:r>
      <w:r>
        <w:t xml:space="preserve"> </w:t>
      </w:r>
      <w:r>
        <w:rPr>
          <w:iCs/>
          <w:i/>
        </w:rPr>
        <w:t xml:space="preserve">orzeka</w:t>
      </w:r>
      <w:r>
        <w:t xml:space="preserve">”</w:t>
      </w:r>
      <w:r>
        <w:t xml:space="preserve"> </w:t>
      </w:r>
      <w:r>
        <w:t xml:space="preserve">— co oznacza, że złożenie wniosku czyni z tego obowiązek sądu, o ile tylko zachodzą przesłanki materialnoprawne</w:t>
      </w:r>
      <w:fldSimple w:instr="NOTEREF _Ref_Footnote_38 \h \f">
        <w:r>
          <w:rPr>
            <w:vertAlign w:val="superscript"/>
          </w:rPr>
          <w:t>38</w:t>
        </w:r>
      </w:fldSimple>
      <w:r>
        <w:t xml:space="preserve">. Wniosek taki może być zgłoszony do czasu zamknięcia przewodu sądowego na rozprawie głównej (art. 49a k.p.k.)</w:t>
      </w:r>
      <w:fldSimple w:instr="NOTEREF _Ref_Footnote_38 \h \f">
        <w:r>
          <w:rPr>
            <w:vertAlign w:val="superscript"/>
          </w:rPr>
          <w:t>38</w:t>
        </w:r>
      </w:fldSimple>
      <w:r>
        <w:t xml:space="preserve">.</w:t>
      </w:r>
    </w:p>
    <w:p>
      <w:pPr>
        <w:pStyle w:val="BodyText"/>
      </w:pPr>
      <w:r>
        <w:t xml:space="preserve">W praktyce oznacza to, że Pan</w:t>
      </w:r>
      <w:r>
        <w:t xml:space="preserve"> </w:t>
      </w:r>
      <w:r>
        <w:rPr>
          <w:iCs/>
          <w:i/>
        </w:rPr>
        <w:t xml:space="preserve">musi</w:t>
      </w:r>
      <w:r>
        <w:t xml:space="preserve"> </w:t>
      </w:r>
      <w:r>
        <w:t xml:space="preserve">złożyć wniosek o naprawienie szkody w toku postępowania karnego przeciwko Waldkowi. Bez takiego wniosku sąd ma, co prawda, możliwość orzeczenia restytucji z urzędu, ale nie jest do tego zobowiązany. Złożenie wniosku eliminuje element ryzyka i czyni z restytucji prawo, a nie łaskę sądu.</w:t>
      </w:r>
    </w:p>
    <w:bookmarkEnd w:id="58"/>
    <w:bookmarkStart w:id="59" w:name="X348c37a7558c15f9909608357e04983bd7cbf07"/>
    <w:p>
      <w:pPr>
        <w:pStyle w:val="Heading4"/>
      </w:pPr>
      <w:r>
        <w:t xml:space="preserve">3.1.2 Reforma po 2015 r.: solidarna odpowiedzialność współsprawców na gruncie art. 441 § 1 k.c. stosowana przez art. 46 k.k.</w:t>
      </w:r>
    </w:p>
    <w:p>
      <w:pPr>
        <w:pStyle w:val="FirstParagraph"/>
      </w:pPr>
      <w:r>
        <w:t xml:space="preserve">Przed 2015 r. obowiązek naprawienia szkody na podstawie art. 46 k.k. miał charakter złożony — kompensacyjny i penalny jednocześnie, podlegający zasadzie indywidualizacji odpowiedzialności karnej</w:t>
      </w:r>
      <w:r>
        <w:rPr>
          <w:vertAlign w:val="superscript"/>
        </w:rPr>
        <w:footnoteReference w:id="56"/>
      </w:r>
      <w:r>
        <w:t xml:space="preserve">. To ograniczało możliwość orzeczenia pełnej restytucji od współsprawcy, który nie otrzymał bezpośrednio środków. Z dniem 1 lipca 2015 r. sytuacja uległa fundamentalnej zmianie: obowiązek naprawienia szkody został wyłączony spod działania zasady indywidualizacji odpowiedzialności karnej i zakwalifikowany do środków kompensacyjnych</w:t>
      </w:r>
      <w:fldSimple w:instr="NOTEREF _Ref_Footnote_36 \h \f">
        <w:r>
          <w:rPr>
            <w:vertAlign w:val="superscript"/>
          </w:rPr>
          <w:t>36</w:t>
        </w:r>
      </w:fldSimple>
      <w:r>
        <w:t xml:space="preserve">.</w:t>
      </w:r>
    </w:p>
    <w:p>
      <w:pPr>
        <w:pStyle w:val="BodyText"/>
      </w:pPr>
      <w:r>
        <w:t xml:space="preserve">Ta zmiana ma kluczowe znaczenie praktyczne. Ponieważ art. 46 § 1 k.k. nakazuje stosowanie przepisów prawa cywilnego, a obowiązek ten ma teraz wyłącznie funkcję kompensacyjną, sąd karny stosuje wprost art. 441 § 1 k.c., który stanowi, że</w:t>
      </w:r>
      <w:r>
        <w:t xml:space="preserve"> </w:t>
      </w:r>
      <w:r>
        <w:t xml:space="preserve">“</w:t>
      </w:r>
      <w:r>
        <w:t xml:space="preserve">jeżeli kilka osób ponosi odpowiedzialność za szkodę wyrządzoną czynem niedozwolonym, ich odpowiedzialność jest solidarna</w:t>
      </w:r>
      <w:r>
        <w:t xml:space="preserve">”</w:t>
      </w:r>
      <w:r>
        <w:rPr>
          <w:vertAlign w:val="superscript"/>
        </w:rPr>
        <w:footnoteReference w:id="57"/>
      </w:r>
      <w:r>
        <w:t xml:space="preserve"> </w:t>
      </w:r>
      <w:fldSimple w:instr="NOTEREF _Ref_Footnote_11 \h \f">
        <w:r>
          <w:rPr>
            <w:vertAlign w:val="superscript"/>
          </w:rPr>
          <w:t>11</w:t>
        </w:r>
      </w:fldSimple>
      <w:r>
        <w:t xml:space="preserve">. Współsprawcy przestępstwa — w tym Waldek, jeśli zostanie uznany za współsprawcę oszustwa — odpowiadają solidarnie za całość szkody</w:t>
      </w:r>
      <w:fldSimple w:instr="NOTEREF _Ref_Footnote_12 \h \f">
        <w:r>
          <w:rPr>
            <w:vertAlign w:val="superscript"/>
          </w:rPr>
          <w:t>12</w:t>
        </w:r>
      </w:fldSimple>
      <w:r>
        <w:t xml:space="preserve">. Sąd Najwyższy potwierdził to w uchwale z 13 grudnia 2000 r. (I KZP 40/00), stwierdzając, że orzeczenie środka karnego przewidzianego w art. 46 § 1 k.k. jest dopuszczalne</w:t>
      </w:r>
      <w:r>
        <w:t xml:space="preserve"> </w:t>
      </w:r>
      <w:r>
        <w:t xml:space="preserve">“</w:t>
      </w:r>
      <w:r>
        <w:t xml:space="preserve">również w postaci solidarnego zobowiązania współsprawców przestępstwa do naprawienia wyrządzonej szkody w całości albo w części</w:t>
      </w:r>
      <w:r>
        <w:t xml:space="preserve">”</w:t>
      </w:r>
      <w:fldSimple w:instr="NOTEREF _Ref_Footnote_12 \h \f">
        <w:r>
          <w:rPr>
            <w:vertAlign w:val="superscript"/>
          </w:rPr>
          <w:t>12</w:t>
        </w:r>
      </w:fldSimple>
      <w:r>
        <w:t xml:space="preserve">. Postanowienie SN z 26 lipca 2016 r. (II KK 196/16) utrwaliło ten kierunek po reformie</w:t>
      </w:r>
      <w:fldSimple w:instr="NOTEREF _Ref_Footnote_36 \h \f">
        <w:r>
          <w:rPr>
            <w:vertAlign w:val="superscript"/>
          </w:rPr>
          <w:t>36</w:t>
        </w:r>
      </w:fldSimple>
      <w:r>
        <w:t xml:space="preserve">.</w:t>
      </w:r>
    </w:p>
    <w:bookmarkEnd w:id="59"/>
    <w:bookmarkStart w:id="60" w:name="Xd7d1053f0a61dcc97dd2534762dafe121470599"/>
    <w:p>
      <w:pPr>
        <w:pStyle w:val="Heading4"/>
      </w:pPr>
      <w:r>
        <w:t xml:space="preserve">3.1.3 Praktyczne konsekwencje: pokrzywdzony może żądać naprawienia szkody od Waldki osobiście, mimo że pieniądze trafiły na konto Mateusza</w:t>
      </w:r>
    </w:p>
    <w:p>
      <w:pPr>
        <w:pStyle w:val="FirstParagraph"/>
      </w:pPr>
      <w:r>
        <w:t xml:space="preserve">Zasada solidarnej odpowiedzialności oznacza, że każdy ze współsprawców może być zobowiązany do zapłaty pełnej kwoty szkody — w Pana przypadku 155 000 zł — niezależnie od tego, kto faktycznie przyjął środki. Sąd Apelacyjny w Warszawie w wyroku z 10 lipca 2019 r. (II AKa 41/19) stwierdził wyraźnie:</w:t>
      </w:r>
      <w:r>
        <w:t xml:space="preserve"> </w:t>
      </w:r>
      <w:r>
        <w:t xml:space="preserve">“</w:t>
      </w:r>
      <w:r>
        <w:t xml:space="preserve">Wspólne działanie z pozostałymi oskarżonymi w sprawie uzasadnia przypisanie tym osobom, współdziałającym ze sobą, spowodowania całości szkody i rodzi odpowiedzialność za szkodę w pełnej wysokości, a co za tym idzie implikuje konieczność solidarnego zobowiązania sprawców do naprawienia szkody w pełnej wysokości</w:t>
      </w:r>
      <w:r>
        <w:t xml:space="preserve">”</w:t>
      </w:r>
      <w:fldSimple w:instr="NOTEREF _Ref_Footnote_11 \h \f">
        <w:r>
          <w:rPr>
            <w:vertAlign w:val="superscript"/>
          </w:rPr>
          <w:t>11</w:t>
        </w:r>
      </w:fldSimple>
      <w:r>
        <w:t xml:space="preserve">. Analogicznie SA w Białymstoku w wyroku II AKa 19/21 z 16 kwietnia 2021 r. potwierdził, że</w:t>
      </w:r>
      <w:r>
        <w:t xml:space="preserve"> </w:t>
      </w:r>
      <w:r>
        <w:t xml:space="preserve">“</w:t>
      </w:r>
      <w:r>
        <w:t xml:space="preserve">w przypadku wyrządzenia szkody przez współsprawców przestępstwa zastosowanie ma art. 441 § 1 k.c.</w:t>
      </w:r>
      <w:r>
        <w:t xml:space="preserve">”</w:t>
      </w:r>
      <w:fldSimple w:instr="NOTEREF _Ref_Footnote_36 \h \f">
        <w:r>
          <w:rPr>
            <w:vertAlign w:val="superscript"/>
          </w:rPr>
          <w:t>36</w:t>
        </w:r>
      </w:fldSimple>
      <w:r>
        <w:t xml:space="preserve">.</w:t>
      </w:r>
    </w:p>
    <w:p>
      <w:pPr>
        <w:pStyle w:val="BodyText"/>
      </w:pPr>
      <w:r>
        <w:t xml:space="preserve">To oznacza, że nawet jeśli Mateusz jest właścicielem konta firmowego, na które Pan wpłacił 155 000 zł, a Waldek nie otrzymał z tych środków ani złotówki bezpośrednio, sąd karny może — na Pana wniosek — zobowiązać Waldka do zapłaty całości kwoty. Mechanizm ten funkcjonuje na zasadzie</w:t>
      </w:r>
      <w:r>
        <w:t xml:space="preserve"> </w:t>
      </w:r>
      <w:r>
        <w:t xml:space="preserve">“</w:t>
      </w:r>
      <w:r>
        <w:t xml:space="preserve">przesunięcia</w:t>
      </w:r>
      <w:r>
        <w:t xml:space="preserve">”</w:t>
      </w:r>
      <w:r>
        <w:t xml:space="preserve"> </w:t>
      </w:r>
      <w:r>
        <w:t xml:space="preserve">(displacement): konieczność ustalenia udziału każdego ze współsprawców zostaje przesunięta na etap ewentualnych spraw regresowych między nimi, ale nie ma znaczenia dla samego pokrzywdzonego</w:t>
      </w:r>
      <w:r>
        <w:rPr>
          <w:vertAlign w:val="superscript"/>
        </w:rPr>
        <w:footnoteReference w:id="58"/>
      </w:r>
      <w:r>
        <w:t xml:space="preserve">. Jeśli Waldek zapłaci 155 000 zł, będzie miał roszczenie regresowe wobec Mateusza na podstawie art. 441 § 2 k.c. — ale Pan, jako pokrzywdzony, może egzekwować całą kwotę od tego z współsprawców, który ma wykonalny majątek.</w:t>
      </w:r>
    </w:p>
    <w:bookmarkEnd w:id="60"/>
    <w:bookmarkStart w:id="61" w:name="Xf4be68b00574d44526601f28f7093e495ec821d"/>
    <w:p>
      <w:pPr>
        <w:pStyle w:val="Heading4"/>
      </w:pPr>
      <w:r>
        <w:t xml:space="preserve">3.1.4 Ograniczenia: dyskrecja sądu</w:t>
      </w:r>
      <w:r>
        <w:t xml:space="preserve"> </w:t>
      </w:r>
      <w:r>
        <w:t xml:space="preserve">“</w:t>
      </w:r>
      <w:r>
        <w:t xml:space="preserve">może</w:t>
      </w:r>
      <w:r>
        <w:t xml:space="preserve">”</w:t>
      </w:r>
      <w:r>
        <w:t xml:space="preserve"> </w:t>
      </w:r>
      <w:r>
        <w:t xml:space="preserve">bez wniosku pokrzywdzonego; trudności egzekucyjne przy niewypłacalności Waldki</w:t>
      </w:r>
    </w:p>
    <w:p>
      <w:pPr>
        <w:pStyle w:val="FirstParagraph"/>
      </w:pPr>
      <w:r>
        <w:t xml:space="preserve">Mimo potężnego potencjału art. 46 k.k., należy mieć świadomość trzech ograniczeń. Po pierwsze, jak wskazano, bez wniosku pokrzywdzonego sąd nie jest zobowiązany do orzeczenia restytucji</w:t>
      </w:r>
      <w:fldSimple w:instr="NOTEREF _Ref_Footnote_38 \h \f">
        <w:r>
          <w:rPr>
            <w:vertAlign w:val="superscript"/>
          </w:rPr>
          <w:t>38</w:t>
        </w:r>
      </w:fldSimple>
      <w:r>
        <w:t xml:space="preserve">. Po drugie, klauzula kumulacyjna z art. 415 § 1 zdanie drugie k.p.k. uniemożliwia orzeczenie naprawienia szkody, jeśli roszczenie wynikające z popełnienia przestępstwa jest przedmiotem innego postępowania lub o tym roszczeniu prawomocnie orzeczono</w:t>
      </w:r>
      <w:r>
        <w:rPr>
          <w:vertAlign w:val="superscript"/>
        </w:rPr>
        <w:footnoteReference w:id="59"/>
      </w:r>
      <w:r>
        <w:t xml:space="preserve">. W Pana przypadku oznacza to, że jeśli jednocześnie toczy się postępowanie cywilne w sprawie tej samej kwoty, sąd karny może odmówić orzeczenia restytucji. Po trzecie — i najistotniejsze z perspektywy praktycznej — orzeczenie obowiązku naprawienia szkody nie gwarantuje jej faktycznego odzyskania. Jeśli Waldek nie posiada majątku podlegającego egzekucji, Pan otrzyma tytuł wykonawczy bez możliwości jego zrealizowania</w:t>
      </w:r>
      <w:r>
        <w:rPr>
          <w:vertAlign w:val="superscript"/>
        </w:rPr>
        <w:footnoteReference w:id="60"/>
      </w:r>
      <w:r>
        <w:t xml:space="preserve">. W takiej sytuacji pozostaje jednak otwarta droga dochodzenia roszczenia w postępowaniu cywilnym na podstawie art. 46 § 3 k.k., który stanowi wyraźnie, że orzeczenie odszkodowania na podstawie § 1</w:t>
      </w:r>
      <w:r>
        <w:t xml:space="preserve"> </w:t>
      </w:r>
      <w:r>
        <w:t xml:space="preserve">“</w:t>
      </w:r>
      <w:r>
        <w:t xml:space="preserve">nie stoi na przeszkodzie dochodzeniu niezaspokojonej części roszczenia w drodze postępowania cywilnego</w:t>
      </w:r>
      <w:r>
        <w:t xml:space="preserve">”</w:t>
      </w:r>
      <w:r>
        <w:t xml:space="preserve">.</w:t>
      </w:r>
    </w:p>
    <w:p>
      <w:pPr>
        <w:pStyle w:val="BodyText"/>
      </w:pPr>
      <w:r>
        <w:t xml:space="preserve">Poniższa tabela systematyzuje mechanizm restytucji karnej:</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Treść prawna / Orzecznictwo</w:t>
            </w:r>
          </w:p>
        </w:tc>
        <w:tc>
          <w:tcPr/>
          <w:p>
            <w:pPr>
              <w:pStyle w:val="Compact"/>
              <w:jc w:val="left"/>
            </w:pPr>
            <w:r>
              <w:t xml:space="preserve">Implikacja dla sprawy</w:t>
            </w:r>
          </w:p>
        </w:tc>
      </w:tr>
      <w:tr>
        <w:tc>
          <w:tcPr/>
          <w:p>
            <w:pPr>
              <w:pStyle w:val="Compact"/>
              <w:jc w:val="left"/>
            </w:pPr>
            <w:r>
              <w:t xml:space="preserve">Podstawa prawna</w:t>
            </w:r>
          </w:p>
        </w:tc>
        <w:tc>
          <w:tcPr/>
          <w:p>
            <w:pPr>
              <w:pStyle w:val="Compact"/>
              <w:jc w:val="left"/>
            </w:pPr>
            <w:r>
              <w:t xml:space="preserve">Art. 46 § 1 k.k. — sąd stosuje przepisy prawa cywilnego</w:t>
            </w:r>
            <w:fldSimple w:instr="NOTEREF _Ref_Footnote_10 \h \f">
              <w:r>
                <w:rPr>
                  <w:vertAlign w:val="superscript"/>
                </w:rPr>
                <w:t>10</w:t>
              </w:r>
            </w:fldSimple>
          </w:p>
        </w:tc>
        <w:tc>
          <w:tcPr/>
          <w:p>
            <w:pPr>
              <w:pStyle w:val="Compact"/>
              <w:jc w:val="left"/>
            </w:pPr>
            <w:r>
              <w:t xml:space="preserve">Odpowiedzialność kompensacyjna, nie karna</w:t>
            </w:r>
          </w:p>
        </w:tc>
      </w:tr>
      <w:tr>
        <w:tc>
          <w:tcPr/>
          <w:p>
            <w:pPr>
              <w:pStyle w:val="Compact"/>
              <w:jc w:val="left"/>
            </w:pPr>
            <w:r>
              <w:t xml:space="preserve">Tryb orzekania</w:t>
            </w:r>
          </w:p>
        </w:tc>
        <w:tc>
          <w:tcPr/>
          <w:p>
            <w:pPr>
              <w:pStyle w:val="Compact"/>
              <w:jc w:val="left"/>
            </w:pPr>
            <w:r>
              <w:t xml:space="preserve">Z urzędu (dyskrecja) lub na wniosek pokrzywdzonego (obowiązek)</w:t>
            </w:r>
            <w:fldSimple w:instr="NOTEREF _Ref_Footnote_38 \h \f">
              <w:r>
                <w:rPr>
                  <w:vertAlign w:val="superscript"/>
                </w:rPr>
                <w:t>38</w:t>
              </w:r>
            </w:fldSimple>
          </w:p>
        </w:tc>
        <w:tc>
          <w:tcPr/>
          <w:p>
            <w:pPr>
              <w:pStyle w:val="Compact"/>
              <w:jc w:val="left"/>
            </w:pPr>
            <w:r>
              <w:t xml:space="preserve">Pan</w:t>
            </w:r>
            <w:r>
              <w:t xml:space="preserve"> </w:t>
            </w:r>
            <w:r>
              <w:rPr>
                <w:iCs/>
                <w:i/>
              </w:rPr>
              <w:t xml:space="preserve">musi</w:t>
            </w:r>
            <w:r>
              <w:t xml:space="preserve"> </w:t>
            </w:r>
            <w:r>
              <w:t xml:space="preserve">złożyć wniosek przed zamknięciem przewodu</w:t>
            </w:r>
          </w:p>
        </w:tc>
      </w:tr>
      <w:tr>
        <w:tc>
          <w:tcPr/>
          <w:p>
            <w:pPr>
              <w:pStyle w:val="Compact"/>
              <w:jc w:val="left"/>
            </w:pPr>
            <w:r>
              <w:t xml:space="preserve">Podstawa solidarna</w:t>
            </w:r>
          </w:p>
        </w:tc>
        <w:tc>
          <w:tcPr/>
          <w:p>
            <w:pPr>
              <w:pStyle w:val="Compact"/>
              <w:jc w:val="left"/>
            </w:pPr>
            <w:r>
              <w:t xml:space="preserve">Art. 441 § 1 k.c. stosowany przez art. 46 § 1 k.k.</w:t>
            </w:r>
            <w:fldSimple w:instr="NOTEREF _Ref_Footnote_57 \h \f">
              <w:r>
                <w:rPr>
                  <w:vertAlign w:val="superscript"/>
                </w:rPr>
                <w:t>57</w:t>
              </w:r>
            </w:fldSimple>
            <w:r>
              <w:t xml:space="preserve"> </w:t>
            </w:r>
            <w:fldSimple w:instr="NOTEREF _Ref_Footnote_11 \h \f">
              <w:r>
                <w:rPr>
                  <w:vertAlign w:val="superscript"/>
                </w:rPr>
                <w:t>11</w:t>
              </w:r>
            </w:fldSimple>
          </w:p>
        </w:tc>
        <w:tc>
          <w:tcPr/>
          <w:p>
            <w:pPr>
              <w:pStyle w:val="Compact"/>
              <w:jc w:val="left"/>
            </w:pPr>
            <w:r>
              <w:t xml:space="preserve">Każdy współsprawca odpowiada za całość szkody</w:t>
            </w:r>
          </w:p>
        </w:tc>
      </w:tr>
      <w:tr>
        <w:tc>
          <w:tcPr/>
          <w:p>
            <w:pPr>
              <w:pStyle w:val="Compact"/>
              <w:jc w:val="left"/>
            </w:pPr>
            <w:r>
              <w:t xml:space="preserve">Precedens SN</w:t>
            </w:r>
          </w:p>
        </w:tc>
        <w:tc>
          <w:tcPr/>
          <w:p>
            <w:pPr>
              <w:pStyle w:val="Compact"/>
              <w:jc w:val="left"/>
            </w:pPr>
            <w:r>
              <w:t xml:space="preserve">Uchwała I KZP 40/00 (13.12.2000)</w:t>
            </w:r>
            <w:fldSimple w:instr="NOTEREF _Ref_Footnote_12 \h \f">
              <w:r>
                <w:rPr>
                  <w:vertAlign w:val="superscript"/>
                </w:rPr>
                <w:t>12</w:t>
              </w:r>
            </w:fldSimple>
          </w:p>
        </w:tc>
        <w:tc>
          <w:tcPr/>
          <w:p>
            <w:pPr>
              <w:pStyle w:val="Compact"/>
              <w:jc w:val="left"/>
            </w:pPr>
            <w:r>
              <w:t xml:space="preserve">Solidarne zobowiązanie współsprawców jest dopuszczalne</w:t>
            </w:r>
          </w:p>
        </w:tc>
      </w:tr>
      <w:tr>
        <w:tc>
          <w:tcPr/>
          <w:p>
            <w:pPr>
              <w:pStyle w:val="Compact"/>
              <w:jc w:val="left"/>
            </w:pPr>
            <w:r>
              <w:t xml:space="preserve">Post-reforma</w:t>
            </w:r>
          </w:p>
        </w:tc>
        <w:tc>
          <w:tcPr/>
          <w:p>
            <w:pPr>
              <w:pStyle w:val="Compact"/>
              <w:jc w:val="left"/>
            </w:pPr>
            <w:r>
              <w:t xml:space="preserve">Postanowienie SN II KK 196/16 (26.07.2016)</w:t>
            </w:r>
            <w:fldSimple w:instr="NOTEREF _Ref_Footnote_36 \h \f">
              <w:r>
                <w:rPr>
                  <w:vertAlign w:val="superscript"/>
                </w:rPr>
                <w:t>36</w:t>
              </w:r>
            </w:fldSimple>
          </w:p>
        </w:tc>
        <w:tc>
          <w:tcPr/>
          <w:p>
            <w:pPr>
              <w:pStyle w:val="Compact"/>
              <w:jc w:val="left"/>
            </w:pPr>
            <w:r>
              <w:t xml:space="preserve">Wyłączenie spod indywidualizacji odp. karnej; pełna kompensacyjność</w:t>
            </w:r>
          </w:p>
        </w:tc>
      </w:tr>
      <w:tr>
        <w:tc>
          <w:tcPr/>
          <w:p>
            <w:pPr>
              <w:pStyle w:val="Compact"/>
              <w:jc w:val="left"/>
            </w:pPr>
            <w:r>
              <w:t xml:space="preserve">Praktyka apelacyjna</w:t>
            </w:r>
          </w:p>
        </w:tc>
        <w:tc>
          <w:tcPr/>
          <w:p>
            <w:pPr>
              <w:pStyle w:val="Compact"/>
              <w:jc w:val="left"/>
            </w:pPr>
            <w:r>
              <w:t xml:space="preserve">SA Warszawa II AKa 41/19 (10.07.2019)</w:t>
            </w:r>
            <w:fldSimple w:instr="NOTEREF _Ref_Footnote_11 \h \f">
              <w:r>
                <w:rPr>
                  <w:vertAlign w:val="superscript"/>
                </w:rPr>
                <w:t>11</w:t>
              </w:r>
            </w:fldSimple>
          </w:p>
        </w:tc>
        <w:tc>
          <w:tcPr/>
          <w:p>
            <w:pPr>
              <w:pStyle w:val="Compact"/>
              <w:jc w:val="left"/>
            </w:pPr>
            <w:r>
              <w:t xml:space="preserve">Wspólne działanie = odpowiedzialność za całość szkody</w:t>
            </w:r>
          </w:p>
        </w:tc>
      </w:tr>
      <w:tr>
        <w:tc>
          <w:tcPr/>
          <w:p>
            <w:pPr>
              <w:pStyle w:val="Compact"/>
              <w:jc w:val="left"/>
            </w:pPr>
            <w:r>
              <w:t xml:space="preserve">Egzekucja</w:t>
            </w:r>
          </w:p>
        </w:tc>
        <w:tc>
          <w:tcPr/>
          <w:p>
            <w:pPr>
              <w:pStyle w:val="Compact"/>
              <w:jc w:val="left"/>
            </w:pPr>
            <w:r>
              <w:t xml:space="preserve">Klauzula wykonalności + wniosek egzekucyjny do komornika</w:t>
            </w:r>
          </w:p>
        </w:tc>
        <w:tc>
          <w:tcPr/>
          <w:p>
            <w:pPr>
              <w:pStyle w:val="Compact"/>
              <w:jc w:val="left"/>
            </w:pPr>
            <w:r>
              <w:t xml:space="preserve">Tytuł: wyrok karny z klauzulą; egzekucja z majątku Waldki</w:t>
            </w:r>
          </w:p>
        </w:tc>
      </w:tr>
      <w:tr>
        <w:tc>
          <w:tcPr/>
          <w:p>
            <w:pPr>
              <w:pStyle w:val="Compact"/>
              <w:jc w:val="left"/>
            </w:pPr>
            <w:r>
              <w:t xml:space="preserve">Ograniczenie kumulacyjne</w:t>
            </w:r>
          </w:p>
        </w:tc>
        <w:tc>
          <w:tcPr/>
          <w:p>
            <w:pPr>
              <w:pStyle w:val="Compact"/>
              <w:jc w:val="left"/>
            </w:pPr>
            <w:r>
              <w:t xml:space="preserve">Art. 415 § 1 zd. 2 k.p.k.</w:t>
            </w:r>
            <w:fldSimple w:instr="NOTEREF _Ref_Footnote_59 \h \f">
              <w:r>
                <w:rPr>
                  <w:vertAlign w:val="superscript"/>
                </w:rPr>
                <w:t>59</w:t>
              </w:r>
            </w:fldSimple>
          </w:p>
        </w:tc>
        <w:tc>
          <w:tcPr/>
          <w:p>
            <w:pPr>
              <w:pStyle w:val="Compact"/>
              <w:jc w:val="left"/>
            </w:pPr>
            <w:r>
              <w:t xml:space="preserve">Nie orzeka się jeśli roszczenie jest w postępowaniu cywilnym</w:t>
            </w:r>
          </w:p>
        </w:tc>
      </w:tr>
      <w:tr>
        <w:tc>
          <w:tcPr/>
          <w:p>
            <w:pPr>
              <w:pStyle w:val="Compact"/>
              <w:jc w:val="left"/>
            </w:pPr>
            <w:r>
              <w:t xml:space="preserve">Zachowanie drogi cywilnej</w:t>
            </w:r>
          </w:p>
        </w:tc>
        <w:tc>
          <w:tcPr/>
          <w:p>
            <w:pPr>
              <w:pStyle w:val="Compact"/>
              <w:jc w:val="left"/>
            </w:pPr>
            <w:r>
              <w:t xml:space="preserve">Art. 46 § 3 k.k.</w:t>
            </w:r>
          </w:p>
        </w:tc>
        <w:tc>
          <w:tcPr/>
          <w:p>
            <w:pPr>
              <w:pStyle w:val="Compact"/>
              <w:jc w:val="left"/>
            </w:pPr>
            <w:r>
              <w:t xml:space="preserve">Możliwość dochodzenia niezaspokojonej części w procesie cywilnym</w:t>
            </w:r>
          </w:p>
        </w:tc>
      </w:tr>
    </w:tbl>
    <w:p>
      <w:pPr>
        <w:pStyle w:val="BodyText"/>
      </w:pPr>
      <w:r>
        <w:rPr>
          <w:iCs/>
          <w:i/>
        </w:rPr>
        <w:t xml:space="preserve">Analiza tabeli.</w:t>
      </w:r>
      <w:r>
        <w:t xml:space="preserve"> </w:t>
      </w:r>
      <w:r>
        <w:t xml:space="preserve">Mechanizm restytucji karnej na podstawie art. 46 k.k. tworzy bezpośrednią drogę do zasądzenia od Waldki całości kwoty 155 000 zł już w ramach postępowania karnego — pod warunkiem że zostanie on skazany jako współsprawca oszustwa. Kluczowe zalety tej ścieżki to: brak konieczności ponoszenia odrębnych kosztów procesu cywilnego (wpisu od pozwu, opłat sądowych), skrócenie czasu do uzyskania tytułu wykonawczego (wyrok karny zamiast odrębnego wyroku cywilnego), oraz zastosowanie solidarnej odpowiedzialności na gruncie art. 441 § 1 k.c., co oznacza, że Waldek może zostać obciążony pełną kwotą mimo że pieniądze trafiły na konto Mateusza. Jednakże skuteczność tego mechanizmu zależy od dwóch czynników: skazania Waldki jako współsprawcy (co wymaga udowodnienia przed sądem karnym) oraz wykonalności majątkowej Waldki (jeśli nie posiada majątku, tytuł wykonawczy pozostanie niespłacony). Z tego względu restytucja karna powinna być traktowana jako</w:t>
      </w:r>
      <w:r>
        <w:t xml:space="preserve"> </w:t>
      </w:r>
      <w:r>
        <w:rPr>
          <w:iCs/>
          <w:i/>
        </w:rPr>
        <w:t xml:space="preserve">pierwsza linia</w:t>
      </w:r>
      <w:r>
        <w:t xml:space="preserve"> </w:t>
      </w:r>
      <w:r>
        <w:t xml:space="preserve">ataku, ale nie jako jedyna strategia — nawet jeśli egzekucja z majątku Waldki zakończy się niepowodzeniem, wyrok karny otwiera drogę do postępowania cywilnego ze skutkiem wiążącym na podstawie art. 11 k.p.c.</w:t>
      </w:r>
    </w:p>
    <w:p>
      <w:r>
        <w:pict>
          <v:rect style="width:0;height:1.5pt" o:hralign="center" o:hrstd="t" o:hr="t"/>
        </w:pict>
      </w:r>
    </w:p>
    <w:bookmarkEnd w:id="61"/>
    <w:bookmarkEnd w:id="62"/>
    <w:bookmarkStart w:id="67" w:name="Xbfb243135580d4544ef749c79cbad36a44c24d6"/>
    <w:p>
      <w:pPr>
        <w:pStyle w:val="Heading3"/>
      </w:pPr>
      <w:r>
        <w:t xml:space="preserve">3.2 Art. 11 k.p.c. — Prejudykat: Wiążący Skutek Wyroku Karnego</w:t>
      </w:r>
    </w:p>
    <w:bookmarkStart w:id="63" w:name="X9c30f756bfcc1666682a7fb627a1b8f443a9a32"/>
    <w:p>
      <w:pPr>
        <w:pStyle w:val="Heading4"/>
      </w:pPr>
      <w:r>
        <w:t xml:space="preserve">3.2.1 Zakres wiązania: sąd cywilny MUSI przyjąć, że Waldek popełnił oszustwo</w:t>
      </w:r>
    </w:p>
    <w:p>
      <w:pPr>
        <w:pStyle w:val="FirstParagraph"/>
      </w:pPr>
      <w:r>
        <w:t xml:space="preserve">Art. 11 k.p.c. stanowi jeden z najpotężniejszych narzędzi w ręku pokrzywdzonego. Przepis ten reguluje, że</w:t>
      </w:r>
      <w:r>
        <w:t xml:space="preserve"> </w:t>
      </w:r>
      <w:r>
        <w:t xml:space="preserve">“</w:t>
      </w:r>
      <w:r>
        <w:t xml:space="preserve">ustalenia wydanego w postępowaniu karnym prawomocnego wyroku skazującego co do popełnienia przestępstwa wiążą sąd w postępowaniu cywilnym</w:t>
      </w:r>
      <w:r>
        <w:t xml:space="preserve">”</w:t>
      </w:r>
      <w:fldSimple w:instr="NOTEREF _Ref_Footnote_6 \h \f">
        <w:r>
          <w:rPr>
            <w:vertAlign w:val="superscript"/>
          </w:rPr>
          <w:t>6</w:t>
        </w:r>
      </w:fldSimple>
      <w:r>
        <w:t xml:space="preserve"> </w:t>
      </w:r>
      <w:fldSimple w:instr="NOTEREF _Ref_Footnote_10 \h \f">
        <w:r>
          <w:rPr>
            <w:vertAlign w:val="superscript"/>
          </w:rPr>
          <w:t>10</w:t>
        </w:r>
      </w:fldSimple>
      <w:r>
        <w:t xml:space="preserve">. Oznacza to, że jeśli Waldek zostanie prawomocnie skazany jako współsprawca oszustwa na podstawie art. 286 § 1 k.k., żaden sąd cywilny w Polsce nie może później kwestionować faktu, że Waldek uczestniczył w popełnieniu tego przestępstwa</w:t>
      </w:r>
      <w:fldSimple w:instr="NOTEREF _Ref_Footnote_13 \h \f">
        <w:r>
          <w:rPr>
            <w:vertAlign w:val="superscript"/>
          </w:rPr>
          <w:t>13</w:t>
        </w:r>
      </w:fldSimple>
      <w:r>
        <w:t xml:space="preserve">. Sąd cywilny jest związany co do osoby sprawcy, czasu i miejsca popełnienia czynu, istotnych elementów przestępstwa (sposobu, przedmiotu), winy sprawcy, a także związku przyczynowo-skutkowego</w:t>
      </w:r>
      <w:fldSimple w:instr="NOTEREF _Ref_Footnote_13 \h \f">
        <w:r>
          <w:rPr>
            <w:vertAlign w:val="superscript"/>
          </w:rPr>
          <w:t>13</w:t>
        </w:r>
      </w:fldSimple>
      <w:r>
        <w:t xml:space="preserve">.</w:t>
      </w:r>
    </w:p>
    <w:p>
      <w:pPr>
        <w:pStyle w:val="BodyText"/>
      </w:pPr>
      <w:r>
        <w:t xml:space="preserve">Wiązanie dotyczy wyłącznie sentencji (operatywy) wyroku karnego, a nie jego uzasadnienia</w:t>
      </w:r>
      <w:r>
        <w:rPr>
          <w:vertAlign w:val="superscript"/>
        </w:rPr>
        <w:footnoteReference w:id="61"/>
      </w:r>
      <w:r>
        <w:t xml:space="preserve">. Oznacza to, że sąd cywilny nie jest związany oceną dowodów czy motywacją prawną sądu karnego — jest związany jedynie ustaleniami faktycznymi zawartymi w samej sentencji. Co więcej, wyrok karny wiąże nawet wtedy, gdy uzasadnienia nie wydano</w:t>
      </w:r>
      <w:fldSimple w:instr="NOTEREF _Ref_Footnote_61 \h \f">
        <w:r>
          <w:rPr>
            <w:vertAlign w:val="superscript"/>
          </w:rPr>
          <w:t>61</w:t>
        </w:r>
      </w:fldSimple>
      <w:r>
        <w:t xml:space="preserve">.</w:t>
      </w:r>
    </w:p>
    <w:bookmarkEnd w:id="63"/>
    <w:bookmarkStart w:id="64" w:name="X8f4a1ae7f346d6b7578550d99320ebe20fea6cc"/>
    <w:p>
      <w:pPr>
        <w:pStyle w:val="Heading4"/>
      </w:pPr>
      <w:r>
        <w:t xml:space="preserve">3.2.2 Czego sąd cywilny NIE jest związany: wysokość szkody, uzasadnienie, okoliczności wymiaru kary</w:t>
      </w:r>
    </w:p>
    <w:p>
      <w:pPr>
        <w:pStyle w:val="FirstParagraph"/>
      </w:pPr>
      <w:r>
        <w:t xml:space="preserve">Zakres wiązania art. 11 k.p.c. ma charakter ścisły (wykładnia zawężająca) — jako wyjątek od fundamentalnych zasad postępowania cywilnego (bezpośredniości, swobodnej oceny dowodów, niezawisłości sędziowskiej) podlega interpretacji ograniczającej</w:t>
      </w:r>
      <w:fldSimple w:instr="NOTEREF _Ref_Footnote_61 \h \f">
        <w:r>
          <w:rPr>
            <w:vertAlign w:val="superscript"/>
          </w:rPr>
          <w:t>61</w:t>
        </w:r>
      </w:fldSimple>
      <w:r>
        <w:t xml:space="preserve">. Sąd cywilny</w:t>
      </w:r>
      <w:r>
        <w:t xml:space="preserve"> </w:t>
      </w:r>
      <w:r>
        <w:rPr>
          <w:iCs/>
          <w:i/>
        </w:rPr>
        <w:t xml:space="preserve">nie</w:t>
      </w:r>
      <w:r>
        <w:t xml:space="preserve"> </w:t>
      </w:r>
      <w:r>
        <w:t xml:space="preserve">jest związany ustaleniami sądu karnego co do wysokości szkody, chyba że kwota ta stanowi element znamienny przestępstwa (co w przypadku standardowego oszustwa z art. 286 § 1 k.k. nie ma zastosowania, gdyż próg</w:t>
      </w:r>
      <w:r>
        <w:t xml:space="preserve"> </w:t>
      </w:r>
      <w:r>
        <w:t xml:space="preserve">“</w:t>
      </w:r>
      <w:r>
        <w:t xml:space="preserve">znacznej wartości</w:t>
      </w:r>
      <w:r>
        <w:t xml:space="preserve">”</w:t>
      </w:r>
      <w:r>
        <w:t xml:space="preserve"> </w:t>
      </w:r>
      <w:r>
        <w:t xml:space="preserve">to 200 000 zł, a Pana szkoda wynosi 155 000 zł)</w:t>
      </w:r>
      <w:fldSimple w:instr="NOTEREF _Ref_Footnote_10 \h \f">
        <w:r>
          <w:rPr>
            <w:vertAlign w:val="superscript"/>
          </w:rPr>
          <w:t>10</w:t>
        </w:r>
      </w:fldSimple>
      <w:r>
        <w:t xml:space="preserve"> </w:t>
      </w:r>
      <w:fldSimple w:instr="NOTEREF _Ref_Footnote_13 \h \f">
        <w:r>
          <w:rPr>
            <w:vertAlign w:val="superscript"/>
          </w:rPr>
          <w:t>13</w:t>
        </w:r>
      </w:fldSimple>
      <w:r>
        <w:t xml:space="preserve">. Sąd cywilny zachowuje pełną swobodę w ustaleniu wysokości szkody — może uznać ją za wyższą lub niższą niż wskazał sąd karny.</w:t>
      </w:r>
    </w:p>
    <w:p>
      <w:pPr>
        <w:pStyle w:val="BodyText"/>
      </w:pPr>
      <w:r>
        <w:t xml:space="preserve">Ponadto sąd cywilny nie jest związany okolicznościami dotyczącymi wymiaru kary, ewentualnymi okolicznościami łagodzącymi czy obciążającymi sprawcę, które miały znaczenie wyłącznie w zakresie kształtowania odpowiedzialności karnej, a nie cywilnej</w:t>
      </w:r>
      <w:fldSimple w:instr="NOTEREF _Ref_Footnote_10 \h \f">
        <w:r>
          <w:rPr>
            <w:vertAlign w:val="superscript"/>
          </w:rPr>
          <w:t>10</w:t>
        </w:r>
      </w:fldSimple>
      <w:r>
        <w:t xml:space="preserve">.</w:t>
      </w:r>
    </w:p>
    <w:bookmarkEnd w:id="64"/>
    <w:bookmarkStart w:id="65" w:name="X0e781c074bc77c6382f7b32a236424f0e165e4b"/>
    <w:p>
      <w:pPr>
        <w:pStyle w:val="Heading4"/>
      </w:pPr>
      <w:r>
        <w:t xml:space="preserve">3.2.3 Wyjątek art. 11 zd. 2 k.p.c.: osoby nieoskarżone mogą powoływać się na</w:t>
      </w:r>
      <w:r>
        <w:t xml:space="preserve"> </w:t>
      </w:r>
      <w:r>
        <w:t xml:space="preserve">“</w:t>
      </w:r>
      <w:r>
        <w:t xml:space="preserve">wszystkie okoliczności wyłączające lub ograniczające odpowiedzialność cywilną</w:t>
      </w:r>
      <w:r>
        <w:t xml:space="preserve">”</w:t>
      </w:r>
      <w:r>
        <w:t xml:space="preserve"> </w:t>
      </w:r>
      <w:r>
        <w:t xml:space="preserve">— ale skazany współsprawca już nie</w:t>
      </w:r>
    </w:p>
    <w:p>
      <w:pPr>
        <w:pStyle w:val="FirstParagraph"/>
      </w:pPr>
      <w:r>
        <w:t xml:space="preserve">Drugi zdanie art. 11 k.p.c. stanowi istotny wyjątek od zasady wiązania:</w:t>
      </w:r>
      <w:r>
        <w:t xml:space="preserve"> </w:t>
      </w:r>
      <w:r>
        <w:t xml:space="preserve">“</w:t>
      </w:r>
      <w:r>
        <w:t xml:space="preserve">jednakże osoba, która nie była oskarżona, może powoływać się w postępowaniu cywilnym na wszelkie okoliczności wyłączające lub ograniczające jej odpowiedzialność cywilną</w:t>
      </w:r>
      <w:r>
        <w:t xml:space="preserve">”</w:t>
      </w:r>
      <w:fldSimple w:instr="NOTEREF _Ref_Footnote_2 \h \f">
        <w:r>
          <w:rPr>
            <w:vertAlign w:val="superscript"/>
          </w:rPr>
          <w:t>2</w:t>
        </w:r>
      </w:fldSimple>
      <w:r>
        <w:t xml:space="preserve"> </w:t>
      </w:r>
      <w:fldSimple w:instr="NOTEREF _Ref_Footnote_13 \h \f">
        <w:r>
          <w:rPr>
            <w:vertAlign w:val="superscript"/>
          </w:rPr>
          <w:t>13</w:t>
        </w:r>
      </w:fldSimple>
      <w:r>
        <w:t xml:space="preserve">. Przepis ten chroni osoby trzecie, które nie brały udziału w postępowaniu karnym — np. pracodawcę odpowiedzialnego na podstawie art. 430 k.c. za czyn pracownika — i daje im prawo do podnoszenia wszystkich zarzutów przewidzianych w prawie cywilnym, mimo że sąd cywilny jest związany co do faktu popełnienia przestępstwa.</w:t>
      </w:r>
    </w:p>
    <w:p>
      <w:pPr>
        <w:pStyle w:val="BodyText"/>
      </w:pPr>
      <w:r>
        <w:t xml:space="preserve">W Pana przypadku zdanie to ma ograniczone zastosowanie. Jeśli Waldek zostanie skazany jako współsprawca — a zatem</w:t>
      </w:r>
      <w:r>
        <w:t xml:space="preserve"> </w:t>
      </w:r>
      <w:r>
        <w:rPr>
          <w:iCs/>
          <w:i/>
        </w:rPr>
        <w:t xml:space="preserve">będzie</w:t>
      </w:r>
      <w:r>
        <w:t xml:space="preserve"> </w:t>
      </w:r>
      <w:r>
        <w:t xml:space="preserve">oskarżonym — nie może on skorzystać z tego wyjątku. Jego pole manewru w postępowaniu cywilnym ogranicza się do podnoszenia okoliczności wpływających na zakres odpowiedzialności cywilnej (np. przyczynienie się pokrzywdzonego do szkody, przedawnienie roszczenia, potrącenie czy spełnienie świadczenia)</w:t>
      </w:r>
      <w:r>
        <w:rPr>
          <w:vertAlign w:val="superscript"/>
        </w:rPr>
        <w:footnoteReference w:id="62"/>
      </w:r>
      <w:r>
        <w:t xml:space="preserve">, ale nie może on zaprzeczać, że brał udział w popełnieniu oszustwa. Trybunał Konstytucyjny w sprawie SK 5/13 uznał konstytucyjność tego rozwiązania, wskazując, że</w:t>
      </w:r>
      <w:r>
        <w:t xml:space="preserve"> </w:t>
      </w:r>
      <w:r>
        <w:t xml:space="preserve">“</w:t>
      </w:r>
      <w:r>
        <w:t xml:space="preserve">z konstytucyjnego prawa do sądu nie wynika możliwość kwestionowania — w dowolnej procedurze — prawomocnego rozstrzygnięcia sądowego</w:t>
      </w:r>
      <w:r>
        <w:t xml:space="preserve">”</w:t>
      </w:r>
      <w:fldSimple w:instr="NOTEREF _Ref_Footnote_61 \h \f">
        <w:r>
          <w:rPr>
            <w:vertAlign w:val="superscript"/>
          </w:rPr>
          <w:t>61</w:t>
        </w:r>
      </w:fldSimple>
      <w:r>
        <w:t xml:space="preserve"> </w:t>
      </w:r>
      <w:fldSimple w:instr="NOTEREF _Ref_Footnote_35 \h \f">
        <w:r>
          <w:rPr>
            <w:vertAlign w:val="superscript"/>
          </w:rPr>
          <w:t>35</w:t>
        </w:r>
      </w:fldSimple>
      <w:r>
        <w:t xml:space="preserve">.</w:t>
      </w:r>
    </w:p>
    <w:bookmarkEnd w:id="65"/>
    <w:bookmarkStart w:id="66" w:name="Xdfda6b9dd99b51237ddbf2abee35aa6d7cc4a62"/>
    <w:p>
      <w:pPr>
        <w:pStyle w:val="Heading4"/>
      </w:pPr>
      <w:r>
        <w:t xml:space="preserve">3.2.4 Sekwencja strategiczna: karny pierwszy, cywilny drugi — postępowanie karne jako dotowane zbieranie dowodów</w:t>
      </w:r>
    </w:p>
    <w:p>
      <w:pPr>
        <w:pStyle w:val="FirstParagraph"/>
      </w:pPr>
      <w:r>
        <w:t xml:space="preserve">Kombinacja art. 46 k.k. i art. 11 k.p.c. tworzy potężną sekwencję strategiczną. Postępowanie karne — prowadzone przez prokuraturę przy udziale państwowych organów ścigania — służy jako efektywny, z dotacją publiczną, mechanizm zbierania dowodów, które w innym przypadku byłyby dla Pana niedostępne lub nieosiągalnie kosztowne. Prokurator może: dokonywać przeszukań i zajęć, żądać danych z operatorów telekomunikacyjnych (retencja 12 miesięcy), pozyskiwać logi IP od dostawców poczty e-mail, zabezpieczać dokumentację bankową, przymuszać świadków do zeznań. Całość tego materiału dowodowego staje się dostępna dla celów cywilnych.</w:t>
      </w:r>
    </w:p>
    <w:p>
      <w:pPr>
        <w:pStyle w:val="BodyText"/>
      </w:pPr>
      <w:r>
        <w:t xml:space="preserve">Nawet jeśli sąd karny z jakiegoś powodu nie orzecze obowiązku naprawienia szkody na podstawie art. 46 k.k. (np. z powodu klauzuli kumulacyjnej z art. 415 § 1 k.p.k.), sam fakt prawomocnego skazania Waldki aktywuje art. 11 k.p.c. i wiąże sąd cywilny co do faktu popełnienia przestępstwa</w:t>
      </w:r>
      <w:fldSimple w:instr="NOTEREF _Ref_Footnote_1 \h \f">
        <w:r>
          <w:rPr>
            <w:vertAlign w:val="superscript"/>
          </w:rPr>
          <w:t>1</w:t>
        </w:r>
      </w:fldSimple>
      <w:r>
        <w:t xml:space="preserve">. Pan może wówczas wytoczyć powództwo cywilne przeciwko Waldkowi, w którym sąd będzie musiał przyjąć, że Waldek brał udział w oszustwie, a spór sprowadzi się jedynie do zakresu cywilnoprawnych konsekwencji tego udziału. Jak zauważa doktryna,</w:t>
      </w:r>
      <w:r>
        <w:t xml:space="preserve"> </w:t>
      </w:r>
      <w:r>
        <w:t xml:space="preserve">“</w:t>
      </w:r>
      <w:r>
        <w:t xml:space="preserve">namacalnym łącznikiem tych dwóch dziedzin prawa jest art. 11 k.p.c.</w:t>
      </w:r>
      <w:r>
        <w:t xml:space="preserve">”</w:t>
      </w:r>
      <w:fldSimple w:instr="NOTEREF _Ref_Footnote_1 \h \f">
        <w:r>
          <w:rPr>
            <w:vertAlign w:val="superscript"/>
          </w:rPr>
          <w:t>1</w:t>
        </w:r>
      </w:fldSimple>
      <w:r>
        <w:t xml:space="preserve">.</w:t>
      </w:r>
    </w:p>
    <w:p>
      <w:r>
        <w:pict>
          <v:rect style="width:0;height:1.5pt" o:hralign="center" o:hrstd="t" o:hr="t"/>
        </w:pict>
      </w:r>
    </w:p>
    <w:bookmarkEnd w:id="66"/>
    <w:bookmarkEnd w:id="67"/>
    <w:bookmarkStart w:id="73" w:name="Xf01f7725ddb0093eea13695ad537dc066127d24"/>
    <w:p>
      <w:pPr>
        <w:pStyle w:val="Heading3"/>
      </w:pPr>
      <w:r>
        <w:t xml:space="preserve">3.3 Art. 422 k.c. oraz Art. 441 § 1 k.c. — Solidarna Odpowiedzialność Deliktowa</w:t>
      </w:r>
    </w:p>
    <w:bookmarkStart w:id="68" w:name="Xfd9dec66455c880ff4b025122a22c107b699d8c"/>
    <w:p>
      <w:pPr>
        <w:pStyle w:val="Heading4"/>
      </w:pPr>
      <w:r>
        <w:t xml:space="preserve">3.3.1 Art. 422 k.c.: cztery kategorie osób odpowiedzialnych — sprawca bezpośredni, podżegacz, pomocnik oraz świadomie korzystający</w:t>
      </w:r>
    </w:p>
    <w:p>
      <w:pPr>
        <w:pStyle w:val="FirstParagraph"/>
      </w:pPr>
      <w:r>
        <w:t xml:space="preserve">Art. 422 k.c. rozszerza krąg osób odpowiedzialnych za szkodę wyrządzoną czynem niedozwolonym poza sprawcę bezpośredniego. Przepis ten enumeruje cztery kategorie osób: (1) sprawca bezpośredni (ten, kto</w:t>
      </w:r>
      <w:r>
        <w:t xml:space="preserve"> </w:t>
      </w:r>
      <w:r>
        <w:t xml:space="preserve">“</w:t>
      </w:r>
      <w:r>
        <w:t xml:space="preserve">bezpośrednio wyrządził</w:t>
      </w:r>
      <w:r>
        <w:t xml:space="preserve">”</w:t>
      </w:r>
      <w:r>
        <w:t xml:space="preserve"> </w:t>
      </w:r>
      <w:r>
        <w:t xml:space="preserve">szkodę), (2) podżegacz (ten, kto</w:t>
      </w:r>
      <w:r>
        <w:t xml:space="preserve"> </w:t>
      </w:r>
      <w:r>
        <w:t xml:space="preserve">“</w:t>
      </w:r>
      <w:r>
        <w:t xml:space="preserve">inną osobę do wyrządzenia szkody nakłonił</w:t>
      </w:r>
      <w:r>
        <w:t xml:space="preserve">”</w:t>
      </w:r>
      <w:r>
        <w:t xml:space="preserve">), (3) pomocnik (ten, kto był jej</w:t>
      </w:r>
      <w:r>
        <w:t xml:space="preserve"> </w:t>
      </w:r>
      <w:r>
        <w:t xml:space="preserve">“</w:t>
      </w:r>
      <w:r>
        <w:t xml:space="preserve">pomocny</w:t>
      </w:r>
      <w:r>
        <w:t xml:space="preserve">”</w:t>
      </w:r>
      <w:r>
        <w:t xml:space="preserve">), oraz (4) świadomie korzystający (ten, kto</w:t>
      </w:r>
      <w:r>
        <w:t xml:space="preserve"> </w:t>
      </w:r>
      <w:r>
        <w:t xml:space="preserve">“</w:t>
      </w:r>
      <w:r>
        <w:t xml:space="preserve">świadomie skorzystał z wyrządzonej drugiemu szkody</w:t>
      </w:r>
      <w:r>
        <w:t xml:space="preserve">”</w:t>
      </w:r>
      <w:r>
        <w:t xml:space="preserve">)</w:t>
      </w:r>
      <w:r>
        <w:rPr>
          <w:vertAlign w:val="superscript"/>
        </w:rPr>
        <w:footnoteReference w:id="63"/>
      </w:r>
      <w:r>
        <w:t xml:space="preserve"> </w:t>
      </w:r>
      <w:fldSimple w:instr="NOTEREF _Ref_Footnote_18 \h \f">
        <w:r>
          <w:rPr>
            <w:vertAlign w:val="superscript"/>
          </w:rPr>
          <w:t>18</w:t>
        </w:r>
      </w:fldSimple>
      <w:r>
        <w:t xml:space="preserve">. Każda z tych kategorii stanowi odrębną podstawę odpowiedzialności, a połączenie art. 422 k.c. z art. 441 § 1 k.c. pozwala pociągnąć do solidarnej odpowiedzialności poszerzony krąg osób</w:t>
      </w:r>
      <w:r>
        <w:rPr>
          <w:vertAlign w:val="superscript"/>
        </w:rPr>
        <w:footnoteReference w:id="64"/>
      </w:r>
      <w:r>
        <w:t xml:space="preserve">.</w:t>
      </w:r>
    </w:p>
    <w:p>
      <w:pPr>
        <w:pStyle w:val="BodyText"/>
      </w:pPr>
      <w:r>
        <w:t xml:space="preserve">W kontekście sprawy Waldecka najbardziej relewantne są dwie kategorie:</w:t>
      </w:r>
      <w:r>
        <w:t xml:space="preserve"> </w:t>
      </w:r>
      <w:r>
        <w:rPr>
          <w:iCs/>
          <w:i/>
        </w:rPr>
        <w:t xml:space="preserve">pomocnictwo</w:t>
      </w:r>
      <w:r>
        <w:t xml:space="preserve"> </w:t>
      </w:r>
      <w:r>
        <w:t xml:space="preserve">— jeśli Waldek świadomie ułatwiał popełnienie oszustwa poprzez udostępnienie infrastruktury, obsługę komunikacji, kontrolę nad skrzynką pocztową — oraz</w:t>
      </w:r>
      <w:r>
        <w:t xml:space="preserve"> </w:t>
      </w:r>
      <w:r>
        <w:rPr>
          <w:iCs/>
          <w:i/>
        </w:rPr>
        <w:t xml:space="preserve">świadome skorzystanie</w:t>
      </w:r>
      <w:r>
        <w:t xml:space="preserve"> </w:t>
      </w:r>
      <w:r>
        <w:t xml:space="preserve">— jeśli Waldek wiedział, że korzyści, które odnosi (np. prowizje, część wpłat), pochodzą z oszustwa</w:t>
      </w:r>
      <w:fldSimple w:instr="NOTEREF _Ref_Footnote_5 \h \f">
        <w:r>
          <w:rPr>
            <w:vertAlign w:val="superscript"/>
          </w:rPr>
          <w:t>5</w:t>
        </w:r>
      </w:fldSimple>
      <w:r>
        <w:t xml:space="preserve"> </w:t>
      </w:r>
      <w:r>
        <w:rPr>
          <w:vertAlign w:val="superscript"/>
        </w:rPr>
        <w:footnoteReference w:id="65"/>
      </w:r>
      <w:r>
        <w:t xml:space="preserve">.</w:t>
      </w:r>
    </w:p>
    <w:bookmarkEnd w:id="68"/>
    <w:bookmarkStart w:id="69" w:name="Xe57662b02eb73882fe7b9b78d830b9d98a8e177"/>
    <w:p>
      <w:pPr>
        <w:pStyle w:val="Heading4"/>
      </w:pPr>
      <w:r>
        <w:t xml:space="preserve">3.3.2 Prong</w:t>
      </w:r>
      <w:r>
        <w:t xml:space="preserve"> </w:t>
      </w:r>
      <w:r>
        <w:t xml:space="preserve">“</w:t>
      </w:r>
      <w:r>
        <w:t xml:space="preserve">pomocnictwa</w:t>
      </w:r>
      <w:r>
        <w:t xml:space="preserve">”</w:t>
      </w:r>
      <w:r>
        <w:t xml:space="preserve">: jeśli Waldek świadomie ułatwiał oszustwo poprzez komunikację/infrastrukturę → solidarna odpowiedzialność</w:t>
      </w:r>
    </w:p>
    <w:p>
      <w:pPr>
        <w:pStyle w:val="FirstParagraph"/>
      </w:pPr>
      <w:r>
        <w:t xml:space="preserve">Pomocnictwo na gruncie art. 422 k.c. polega na</w:t>
      </w:r>
      <w:r>
        <w:t xml:space="preserve"> </w:t>
      </w:r>
      <w:r>
        <w:t xml:space="preserve">“</w:t>
      </w:r>
      <w:r>
        <w:t xml:space="preserve">umożliwieniu lub ułatwieniu innej osobie popełnienia czynu zabronionego, z którego wynikła dla kogoś szkoda</w:t>
      </w:r>
      <w:r>
        <w:t xml:space="preserve">”</w:t>
      </w:r>
      <w:fldSimple w:instr="NOTEREF _Ref_Footnote_19 \h \f">
        <w:r>
          <w:rPr>
            <w:vertAlign w:val="superscript"/>
          </w:rPr>
          <w:t>19</w:t>
        </w:r>
      </w:fldSimple>
      <w:r>
        <w:t xml:space="preserve">. Do przypisania odpowiedzialności z tytułu pomocnictwa konieczne jest wykazanie, że dana osoba</w:t>
      </w:r>
      <w:r>
        <w:t xml:space="preserve"> </w:t>
      </w:r>
      <w:r>
        <w:t xml:space="preserve">“</w:t>
      </w:r>
      <w:r>
        <w:t xml:space="preserve">miała świadomość tego, że pomaga sprawcy w popełnieniu czynu wyrządzającego szkodę</w:t>
      </w:r>
      <w:r>
        <w:t xml:space="preserve">”</w:t>
      </w:r>
      <w:r>
        <w:t xml:space="preserve"> </w:t>
      </w:r>
      <w:r>
        <w:t xml:space="preserve">— wystarcza zamiar ewentualny (przewidywanie możliwości i zgoda na nią)</w:t>
      </w:r>
      <w:fldSimple w:instr="NOTEREF _Ref_Footnote_19 \h \f">
        <w:r>
          <w:rPr>
            <w:vertAlign w:val="superscript"/>
          </w:rPr>
          <w:t>19</w:t>
        </w:r>
      </w:fldSimple>
      <w:r>
        <w:t xml:space="preserve">.</w:t>
      </w:r>
    </w:p>
    <w:p>
      <w:pPr>
        <w:pStyle w:val="BodyText"/>
      </w:pPr>
      <w:r>
        <w:t xml:space="preserve">W Pana przypadku prong pomocnictwa nabiera znaczenia, jeśli zostanie wykazane, że Waldek — kontrolując główną skrzynkę pocztową gpucomputer@, osobiście odpisując z adresu waldek@, dając Panu sprzeczne wyjaśnienia dotyczące statusu przesyłki — świadomie ułatwiał Mateuszowi utrzymywanie Pana w błędzie. Jak wykazano w rozdziale 1, te same fakty, które uzasadniają współsprawstwo karne, mogą równocześnie spełniać przesłanki pomocnictwa cywilnego. Zbieg ten nie jest przypadkowy — polskie prawo cywilne rozpoznaje koncepcję</w:t>
      </w:r>
      <w:r>
        <w:t xml:space="preserve"> </w:t>
      </w:r>
      <w:r>
        <w:t xml:space="preserve">“</w:t>
      </w:r>
      <w:r>
        <w:t xml:space="preserve">współsprawstwa deliktowego</w:t>
      </w:r>
      <w:r>
        <w:t xml:space="preserve">”</w:t>
      </w:r>
      <w:r>
        <w:t xml:space="preserve"> </w:t>
      </w:r>
      <w:r>
        <w:t xml:space="preserve">(tortious co-perpetration), w ramach której osoby działające w porozumieniu w celu popełnienia czynu niedozwolonego odpowiadają solidarnie na podstawie art. 441 § 1 k.c.</w:t>
      </w:r>
      <w:r>
        <w:rPr>
          <w:vertAlign w:val="superscript"/>
        </w:rPr>
        <w:footnoteReference w:id="66"/>
      </w:r>
      <w:r>
        <w:t xml:space="preserve"> </w:t>
      </w:r>
      <w:r>
        <w:rPr>
          <w:vertAlign w:val="superscript"/>
        </w:rPr>
        <w:footnoteReference w:id="67"/>
      </w:r>
      <w:r>
        <w:t xml:space="preserve">.</w:t>
      </w:r>
    </w:p>
    <w:bookmarkEnd w:id="69"/>
    <w:bookmarkStart w:id="70" w:name="Xdc5c71c783bd0d1a46ed1bb76f3025640fc3e9b"/>
    <w:p>
      <w:pPr>
        <w:pStyle w:val="Heading4"/>
      </w:pPr>
      <w:r>
        <w:t xml:space="preserve">3.3.3 Art. 422</w:t>
      </w:r>
      <w:r>
        <w:t xml:space="preserve"> </w:t>
      </w:r>
      <w:r>
        <w:rPr>
          <w:iCs/>
          <w:i/>
        </w:rPr>
        <w:t xml:space="preserve">in fine</w:t>
      </w:r>
      <w:r>
        <w:t xml:space="preserve"> </w:t>
      </w:r>
      <w:r>
        <w:t xml:space="preserve">—</w:t>
      </w:r>
      <w:r>
        <w:t xml:space="preserve"> </w:t>
      </w:r>
      <w:r>
        <w:t xml:space="preserve">“</w:t>
      </w:r>
      <w:r>
        <w:t xml:space="preserve">świadome skorzystanie</w:t>
      </w:r>
      <w:r>
        <w:t xml:space="preserve">”</w:t>
      </w:r>
      <w:r>
        <w:t xml:space="preserve">: wymaga faktycznej wiedzy (wiedza pozytywna), nie niedbalstwa — wysoka poprzeczka dowodowa według SN III CZP 89/17</w:t>
      </w:r>
    </w:p>
    <w:p>
      <w:pPr>
        <w:pStyle w:val="FirstParagraph"/>
      </w:pPr>
      <w:r>
        <w:t xml:space="preserve">Najbardziej restrykcyjnym prongiem art. 422 k.c. jest odpowiedzialność za świadome skorzystanie ze szkody. Sąd Najwyższy w uchwale z 21 grudnia 2017 r. (III CZP 89/17) ustalił wyraźnie:</w:t>
      </w:r>
      <w:r>
        <w:t xml:space="preserve"> </w:t>
      </w:r>
      <w:r>
        <w:t xml:space="preserve">“</w:t>
      </w:r>
      <w:r>
        <w:t xml:space="preserve">świadomie korzysta z wyrządzonej drugiemu szkody (art. 422 k.c.) ten, kto</w:t>
      </w:r>
      <w:r>
        <w:t xml:space="preserve"> </w:t>
      </w:r>
      <w:r>
        <w:rPr>
          <w:iCs/>
          <w:i/>
        </w:rPr>
        <w:t xml:space="preserve">wie</w:t>
      </w:r>
      <w:r>
        <w:t xml:space="preserve">, że odnosi korzyść z cudzego czynu niedozwolonego</w:t>
      </w:r>
      <w:r>
        <w:t xml:space="preserve">”</w:t>
      </w:r>
      <w:fldSimple w:instr="NOTEREF _Ref_Footnote_35 \h \f">
        <w:r>
          <w:rPr>
            <w:vertAlign w:val="superscript"/>
          </w:rPr>
          <w:t>35</w:t>
        </w:r>
      </w:fldSimple>
      <w:r>
        <w:t xml:space="preserve"> </w:t>
      </w:r>
      <w:fldSimple w:instr="NOTEREF _Ref_Footnote_65 \h \f">
        <w:r>
          <w:rPr>
            <w:vertAlign w:val="superscript"/>
          </w:rPr>
          <w:t>65</w:t>
        </w:r>
      </w:fldSimple>
      <w:r>
        <w:t xml:space="preserve">. Przepis ten podlega ścisłej wykładni</w:t>
      </w:r>
      <w:fldSimple w:instr="NOTEREF _Ref_Footnote_5 \h \f">
        <w:r>
          <w:rPr>
            <w:vertAlign w:val="superscript"/>
          </w:rPr>
          <w:t>5</w:t>
        </w:r>
      </w:fldSimple>
      <w:r>
        <w:t xml:space="preserve">. Nie wystarczy wykazanie, że Waldek</w:t>
      </w:r>
      <w:r>
        <w:t xml:space="preserve"> </w:t>
      </w:r>
      <w:r>
        <w:t xml:space="preserve">“</w:t>
      </w:r>
      <w:r>
        <w:t xml:space="preserve">powinien był wiedzieć</w:t>
      </w:r>
      <w:r>
        <w:t xml:space="preserve">”</w:t>
      </w:r>
      <w:r>
        <w:t xml:space="preserve"> </w:t>
      </w:r>
      <w:r>
        <w:t xml:space="preserve">lub</w:t>
      </w:r>
      <w:r>
        <w:t xml:space="preserve"> </w:t>
      </w:r>
      <w:r>
        <w:t xml:space="preserve">“</w:t>
      </w:r>
      <w:r>
        <w:t xml:space="preserve">mógł mieć podejrzenia</w:t>
      </w:r>
      <w:r>
        <w:t xml:space="preserve">”</w:t>
      </w:r>
      <w:r>
        <w:t xml:space="preserve"> </w:t>
      </w:r>
      <w:r>
        <w:t xml:space="preserve">— konieczna jest pozytywna wiedza (wiedza pozytywna) o bezprawnym pochodzeniu korzyści</w:t>
      </w:r>
      <w:fldSimple w:instr="NOTEREF _Ref_Footnote_5 \h \f">
        <w:r>
          <w:rPr>
            <w:vertAlign w:val="superscript"/>
          </w:rPr>
          <w:t>5</w:t>
        </w:r>
      </w:fldSimple>
      <w:r>
        <w:t xml:space="preserve"> </w:t>
      </w:r>
      <w:fldSimple w:instr="NOTEREF _Ref_Footnote_35 \h \f">
        <w:r>
          <w:rPr>
            <w:vertAlign w:val="superscript"/>
          </w:rPr>
          <w:t>35</w:t>
        </w:r>
      </w:fldSimple>
      <w:r>
        <w:t xml:space="preserve">. Jak zauważa literatura,</w:t>
      </w:r>
      <w:r>
        <w:t xml:space="preserve"> </w:t>
      </w:r>
      <w:r>
        <w:t xml:space="preserve">“</w:t>
      </w:r>
      <w:r>
        <w:t xml:space="preserve">przy tym samym stanie faktycznym dany czyn może podpadać pod odpowiedzialność z art. 292 k.k. [paserstwo nieumyślne] a jednocześnie nie rodzić konsekwencji z art. 422</w:t>
      </w:r>
      <w:r>
        <w:t xml:space="preserve"> </w:t>
      </w:r>
      <w:r>
        <w:rPr>
          <w:iCs/>
          <w:i/>
        </w:rPr>
        <w:t xml:space="preserve">in fine</w:t>
      </w:r>
      <w:r>
        <w:t xml:space="preserve"> </w:t>
      </w:r>
      <w:r>
        <w:t xml:space="preserve">k.c.</w:t>
      </w:r>
      <w:r>
        <w:t xml:space="preserve">”</w:t>
      </w:r>
      <w:fldSimple w:instr="NOTEREF _Ref_Footnote_5 \h \f">
        <w:r>
          <w:rPr>
            <w:vertAlign w:val="superscript"/>
          </w:rPr>
          <w:t>5</w:t>
        </w:r>
      </w:fldSimple>
      <w:r>
        <w:t xml:space="preserve">.</w:t>
      </w:r>
    </w:p>
    <w:p>
      <w:pPr>
        <w:pStyle w:val="BodyText"/>
      </w:pPr>
      <w:r>
        <w:t xml:space="preserve">Dla Pana oznacza to, że prong</w:t>
      </w:r>
      <w:r>
        <w:t xml:space="preserve"> </w:t>
      </w:r>
      <w:r>
        <w:t xml:space="preserve">“</w:t>
      </w:r>
      <w:r>
        <w:t xml:space="preserve">świadome skorzystanie</w:t>
      </w:r>
      <w:r>
        <w:t xml:space="preserve">”</w:t>
      </w:r>
      <w:r>
        <w:t xml:space="preserve"> </w:t>
      </w:r>
      <w:r>
        <w:t xml:space="preserve">jest teorią rezerwową, którą warto podnieść, ale nie należy na niej opierać głównego roszczenia. Kluczowym dowodem byłyby zeznania Mateusza wskazujące, że dzielił się z Waldkiem wpłatami, lub bezpośrednie dowody przelewów z konta JDG na konto Waldki. Warto jednak podkreślić, że</w:t>
      </w:r>
      <w:r>
        <w:t xml:space="preserve"> </w:t>
      </w:r>
      <w:r>
        <w:t xml:space="preserve">“</w:t>
      </w:r>
      <w:r>
        <w:t xml:space="preserve">pociągnięcie takiej osoby do odpowiedzialności odszkodowawczej jest możliwe w procesie cywilnym nawet wtedy, gdy sąd karny prawomocnie uniewinnił tę osobę</w:t>
      </w:r>
      <w:r>
        <w:t xml:space="preserve">”</w:t>
      </w:r>
      <w:r>
        <w:rPr>
          <w:vertAlign w:val="superscript"/>
        </w:rPr>
        <w:footnoteReference w:id="68"/>
      </w:r>
      <w:r>
        <w:t xml:space="preserve">— standard dowodowy w procesie cywilnym (pewność, a nie wątpliwość rozumiana na korzyść oskarżonego) jest korzystniejszy dla pokrzywdzonego.</w:t>
      </w:r>
    </w:p>
    <w:bookmarkEnd w:id="70"/>
    <w:bookmarkStart w:id="71" w:name="Xe42147b5ddcfe6c79f2e5bba8c2fee5ee0dc532"/>
    <w:p>
      <w:pPr>
        <w:pStyle w:val="Heading4"/>
      </w:pPr>
      <w:r>
        <w:t xml:space="preserve">3.3.4 Art. 441 § 1 k.c.: obligatoryjna solidarna odpowiedzialność oznacza, że pokrzywdzony może żądać pełnych 155 000 zł od samego Waldki</w:t>
      </w:r>
    </w:p>
    <w:p>
      <w:pPr>
        <w:pStyle w:val="FirstParagraph"/>
      </w:pPr>
      <w:r>
        <w:t xml:space="preserve">Art. 441 § 1 k.c. stanowi regułę imperatywną:</w:t>
      </w:r>
      <w:r>
        <w:t xml:space="preserve"> </w:t>
      </w:r>
      <w:r>
        <w:t xml:space="preserve">“</w:t>
      </w:r>
      <w:r>
        <w:t xml:space="preserve">jeżeli kilka osób ponosi odpowiedzialność za szkodę wyrządzoną czynem niedozwolonym, ich odpowiedzialność jest solidarna</w:t>
      </w:r>
      <w:r>
        <w:t xml:space="preserve">”</w:t>
      </w:r>
      <w:fldSimple w:instr="NOTEREF _Ref_Footnote_64 \h \f">
        <w:r>
          <w:rPr>
            <w:vertAlign w:val="superscript"/>
          </w:rPr>
          <w:t>64</w:t>
        </w:r>
      </w:fldSimple>
      <w:r>
        <w:t xml:space="preserve"> </w:t>
      </w:r>
      <w:r>
        <w:rPr>
          <w:vertAlign w:val="superscript"/>
        </w:rPr>
        <w:footnoteReference w:id="69"/>
      </w:r>
      <w:r>
        <w:t xml:space="preserve">. Oznacza to, że jeśli sąd cywilny uzna, że Waldek odpowiada na podstawie art. 422 k.c. (jako pomocnik) lub bezpośrednio na podstawie art. 415 k.c. (jako współsprawca deliktowy), Pan może żądać od niego zapłaty całych 155 000 zł — niezależnie od tego, ile faktycznie Waldek otrzymał, i niezależnie od wypłacalności Mateusza. Sąd Najwyższy w uchwale III CZP 14/78 z 7 marca 1978 r. uzasadniał to następująco: osoby skazane za udział w pobicia, w wyniku którego doszło do uszkodzenia ciała,</w:t>
      </w:r>
      <w:r>
        <w:t xml:space="preserve"> </w:t>
      </w:r>
      <w:r>
        <w:t xml:space="preserve">“</w:t>
      </w:r>
      <w:r>
        <w:t xml:space="preserve">odpowiadają względem poszkodowanego solidarnie za doznaną przez niego szkodę (art. 441 k.c.) także wtedy, gdy sąd karny przypisał w prawomocnym wyroku skazującym spowodowanie tego uszkodzenia tylko jednemu z uczestników pobicia</w:t>
      </w:r>
      <w:r>
        <w:t xml:space="preserve">”</w:t>
      </w:r>
      <w:fldSimple w:instr="NOTEREF _Ref_Footnote_66 \h \f">
        <w:r>
          <w:rPr>
            <w:vertAlign w:val="superscript"/>
          </w:rPr>
          <w:t>66</w:t>
        </w:r>
      </w:fldSimple>
      <w:r>
        <w:t xml:space="preserve">.</w:t>
      </w:r>
    </w:p>
    <w:p>
      <w:pPr>
        <w:pStyle w:val="BodyText"/>
      </w:pPr>
      <w:r>
        <w:t xml:space="preserve">Zasada solidarności oznacza, że Pan jako wierzyciel może wybrać, którego ze współdłużników egzekwować. Jeśli Mateusz jest w Holandii, jego JDG jest puste, a majątek osobisty trudny do zlokalizowania — Pan może skierować egzekucję wyłącznie przeciwko Waldkowi. To jest fundamentalna zmiana perspektywy wobec stwierdzenia adwokata, że</w:t>
      </w:r>
      <w:r>
        <w:t xml:space="preserve"> </w:t>
      </w:r>
      <w:r>
        <w:t xml:space="preserve">“</w:t>
      </w:r>
      <w:r>
        <w:t xml:space="preserve">nie ma podstaw do dochodzenia od Waldka</w:t>
      </w:r>
      <w:r>
        <w:t xml:space="preserve">”</w:t>
      </w:r>
      <w:r>
        <w:t xml:space="preserve">. Podstawy istnieją i są solidne — ale są to podstawy</w:t>
      </w:r>
      <w:r>
        <w:t xml:space="preserve"> </w:t>
      </w:r>
      <w:r>
        <w:rPr>
          <w:iCs/>
          <w:i/>
        </w:rPr>
        <w:t xml:space="preserve">deliktowe</w:t>
      </w:r>
      <w:r>
        <w:t xml:space="preserve">, nie</w:t>
      </w:r>
      <w:r>
        <w:t xml:space="preserve"> </w:t>
      </w:r>
      <w:r>
        <w:rPr>
          <w:iCs/>
          <w:i/>
        </w:rPr>
        <w:t xml:space="preserve">kontraktowe</w:t>
      </w:r>
      <w:r>
        <w:t xml:space="preserve">.</w:t>
      </w:r>
    </w:p>
    <w:bookmarkEnd w:id="71"/>
    <w:bookmarkStart w:id="72" w:name="Xb75d964ab63eb941c447b51b4175dff743217bf"/>
    <w:p>
      <w:pPr>
        <w:pStyle w:val="Heading4"/>
      </w:pPr>
      <w:r>
        <w:t xml:space="preserve">3.3.5 Jak ustalenie współsprawstwa karnego umożliwia solidarną odpowiedzialność cywilną — fakty ustalone, sąd cywilny stosuje konsekwencje cywilnoprawne</w:t>
      </w:r>
    </w:p>
    <w:p>
      <w:pPr>
        <w:pStyle w:val="FirstParagraph"/>
      </w:pPr>
      <w:r>
        <w:t xml:space="preserve">Relacja między postępowaniem karnym a cywilnym w tym kontekście ma charakter sekwencyjny, lecz nie automatyczny. Ustalenie współsprawstwa karnego nie</w:t>
      </w:r>
      <w:r>
        <w:t xml:space="preserve"> </w:t>
      </w:r>
      <w:r>
        <w:rPr>
          <w:iCs/>
          <w:i/>
        </w:rPr>
        <w:t xml:space="preserve">automatycznie</w:t>
      </w:r>
      <w:r>
        <w:t xml:space="preserve"> </w:t>
      </w:r>
      <w:r>
        <w:t xml:space="preserve">tworzy odpowiedzialności cywilnej — sąd cywilny musi niezależnie ocenić, czy przesłanki odpowiedzialności cywilnej są spełnione</w:t>
      </w:r>
      <w:fldSimple w:instr="NOTEREF _Ref_Footnote_5 \h \f">
        <w:r>
          <w:rPr>
            <w:vertAlign w:val="superscript"/>
          </w:rPr>
          <w:t>5</w:t>
        </w:r>
      </w:fldSimple>
      <w:r>
        <w:t xml:space="preserve"> </w:t>
      </w:r>
      <w:fldSimple w:instr="NOTEREF _Ref_Footnote_1 \h \f">
        <w:r>
          <w:rPr>
            <w:vertAlign w:val="superscript"/>
          </w:rPr>
          <w:t>1</w:t>
        </w:r>
      </w:fldSimple>
      <w:r>
        <w:t xml:space="preserve">. Jednak w praktyce granica ta jest niewielka: jeśli sąd karny ustali, że Waldek działał w porozumieniu z Mateuszem w celu wprowadzenia Pana w błąd, sąd cywilny jest związany tymi faktami na mocy art. 11 k.p.c. i musi przyjąć, że miało miejsce zdarzenie o charakterze czynu niedozwolonego. Pozostaje mu jedynie zastosować konsekwencje cywilnoprawne — a art. 441 § 1 k.c. nakazuje, by konsekwencją była solidarna odpowiedzialność</w:t>
      </w:r>
      <w:fldSimple w:instr="NOTEREF _Ref_Footnote_69 \h \f">
        <w:r>
          <w:rPr>
            <w:vertAlign w:val="superscript"/>
          </w:rPr>
          <w:t>69</w:t>
        </w:r>
      </w:fldSimple>
      <w:r>
        <w:t xml:space="preserve">.</w:t>
      </w:r>
    </w:p>
    <w:p>
      <w:pPr>
        <w:pStyle w:val="BodyText"/>
      </w:pPr>
      <w:r>
        <w:t xml:space="preserve">Jak wskazuje judykatura,</w:t>
      </w:r>
      <w:r>
        <w:t xml:space="preserve"> </w:t>
      </w:r>
      <w:r>
        <w:t xml:space="preserve">“</w:t>
      </w:r>
      <w:r>
        <w:t xml:space="preserve">osoby skazane za udział w [przestępstwie] stanowili bowiem grono osób, które z zamiarem czynnego zaatakowania poszkodowanego wzięły udział w jego [pobiciu], z którego wynikała dla poszkodowanego szkoda. Za skutki tego działania muszą więc ponosić odpowiedzialność względem osoby poszkodowanej […] niezależnie od czyjego ciosu poszkodowany doznał uszkodzenia ciała. Odpowiedzialność ta jest solidarna</w:t>
      </w:r>
      <w:r>
        <w:t xml:space="preserve">”</w:t>
      </w:r>
      <w:fldSimple w:instr="NOTEREF _Ref_Footnote_66 \h \f">
        <w:r>
          <w:rPr>
            <w:vertAlign w:val="superscript"/>
          </w:rPr>
          <w:t>66</w:t>
        </w:r>
      </w:fldSimple>
      <w:r>
        <w:t xml:space="preserve">. Analogicznie, nie ma znaczenia, który z współsprawców oszustwa bezpośrednio przyjął Pana przelew — odpowiadają oni solidarnie za całość szkody.</w:t>
      </w:r>
    </w:p>
    <w:p>
      <w:r>
        <w:pict>
          <v:rect style="width:0;height:1.5pt" o:hralign="center" o:hrstd="t" o:hr="t"/>
        </w:pict>
      </w:r>
    </w:p>
    <w:bookmarkEnd w:id="72"/>
    <w:bookmarkEnd w:id="73"/>
    <w:bookmarkStart w:id="77" w:name="X7d78da6dde4e6835b0a122499806fa5e764a280"/>
    <w:p>
      <w:pPr>
        <w:pStyle w:val="Heading3"/>
      </w:pPr>
      <w:r>
        <w:t xml:space="preserve">3.4 Problem Braku Związku Umownego (Contract-Privity) i Jego Rozwiązanie</w:t>
      </w:r>
    </w:p>
    <w:bookmarkStart w:id="74" w:name="X9196e1c4b95fab6aa8cb46ce57ed6b69442e14f"/>
    <w:p>
      <w:pPr>
        <w:pStyle w:val="Heading4"/>
      </w:pPr>
      <w:r>
        <w:t xml:space="preserve">3.4.1 Dlaczego zastrzeżenie adwokata jest słuszne co do roszczeń umownych, ale nieistotne co do roszczeń deliktowych</w:t>
      </w:r>
    </w:p>
    <w:p>
      <w:pPr>
        <w:pStyle w:val="FirstParagraph"/>
      </w:pPr>
      <w:r>
        <w:t xml:space="preserve">Stwierdzenie Pana adwokata, że</w:t>
      </w:r>
      <w:r>
        <w:t xml:space="preserve"> </w:t>
      </w:r>
      <w:r>
        <w:t xml:space="preserve">“</w:t>
      </w:r>
      <w:r>
        <w:t xml:space="preserve">na tym etapie nie ma podstaw do dochodzenia od Waldka, bo miałem umowę i zapłaciłem firmie Mateusza</w:t>
      </w:r>
      <w:r>
        <w:t xml:space="preserve">”</w:t>
      </w:r>
      <w:r>
        <w:t xml:space="preserve">, jest prawnie poprawne — ale tylko w części. Zasada relatywności umowy (</w:t>
      </w:r>
      <w:r>
        <w:rPr>
          <w:iCs/>
          <w:i/>
        </w:rPr>
        <w:t xml:space="preserve">relatywność umowy</w:t>
      </w:r>
      <w:r>
        <w:t xml:space="preserve">) oznacza, że zobowiązania umowne wiążą wyłącznie strony umowy</w:t>
      </w:r>
      <w:fldSimple w:instr="NOTEREF _Ref_Footnote_14 \h \f">
        <w:r>
          <w:rPr>
            <w:vertAlign w:val="superscript"/>
          </w:rPr>
          <w:t>14</w:t>
        </w:r>
      </w:fldSimple>
      <w:r>
        <w:t xml:space="preserve">. Pan zawarł umowę z podmiotem Mateusza (jego jednoosobową działalnością gospodarczą), a nie z Waldkiem. Zatem roszczenie kontraktowe z tytułu niewykonania zobowiązania (np. art. 471 k.c. w zw. z art. 361 k.c.) może być skierowane wyłącznie przeciwko Mateuszowi i jego JDG.</w:t>
      </w:r>
    </w:p>
    <w:p>
      <w:pPr>
        <w:pStyle w:val="BodyText"/>
      </w:pPr>
      <w:r>
        <w:t xml:space="preserve">Problem polega na tym, że zastrzeżenie to pomija odrębną, równorzędną kategorię odpowiedzialności: odpowiedzialność deliktową (</w:t>
      </w:r>
      <w:r>
        <w:rPr>
          <w:iCs/>
          <w:i/>
        </w:rPr>
        <w:t xml:space="preserve">odpowiedzialność deliktowa</w:t>
      </w:r>
      <w:r>
        <w:t xml:space="preserve">) na podstawie art. 415 k.c. i pokrewnych przepisów. Odpowiedzialność ta powstaje niezależnie od jakiegokolwiek wcześniejszego stosunku między stronami —</w:t>
      </w:r>
      <w:r>
        <w:t xml:space="preserve"> </w:t>
      </w:r>
      <w:r>
        <w:t xml:space="preserve">“</w:t>
      </w:r>
      <w:r>
        <w:t xml:space="preserve">sprawca i poszkodowany mogą być dla siebie zupełnie obcymi osobami, niepowiązanymi ze sobą żadną umową</w:t>
      </w:r>
      <w:r>
        <w:t xml:space="preserve">”</w:t>
      </w:r>
      <w:r>
        <w:rPr>
          <w:vertAlign w:val="superscript"/>
        </w:rPr>
        <w:footnoteReference w:id="70"/>
      </w:r>
      <w:r>
        <w:t xml:space="preserve">. Jeśli Waldek uczestniczył w popełnieniu oszustwa, które wyrządziło Panu szkodę w kwocie 155 000 zł, odpowiada na zasadach deliktowych niezależnie od braku związku umownego</w:t>
      </w:r>
      <w:r>
        <w:rPr>
          <w:vertAlign w:val="superscript"/>
        </w:rPr>
        <w:footnoteReference w:id="71"/>
      </w:r>
      <w:r>
        <w:t xml:space="preserve">.</w:t>
      </w:r>
    </w:p>
    <w:bookmarkEnd w:id="74"/>
    <w:bookmarkStart w:id="75" w:name="Xcace8512fd756f7a42368c4228377003f00daa2"/>
    <w:p>
      <w:pPr>
        <w:pStyle w:val="Heading4"/>
      </w:pPr>
      <w:r>
        <w:t xml:space="preserve">3.4.2 Art. 443 k.c.: swobodna koegzystencja roszczeń deliktowych i kontraktowych — pokrzywdzony może pozwać Mateusza na podstawie umowy ORAZ Waldki na podstawie czynu niedozwolnego jednocześnie</w:t>
      </w:r>
    </w:p>
    <w:p>
      <w:pPr>
        <w:pStyle w:val="FirstParagraph"/>
      </w:pPr>
      <w:r>
        <w:t xml:space="preserve">Art. 443 k.c. stanowi wyraźnie:</w:t>
      </w:r>
      <w:r>
        <w:t xml:space="preserve"> </w:t>
      </w:r>
      <w:r>
        <w:t xml:space="preserve">“</w:t>
      </w:r>
      <w:r>
        <w:t xml:space="preserve">okoliczność, że działanie lub zaniechanie, z którego szkoda wynikła, stanowiło niewykonanie lub nienależyte wykonanie istniejącego uprzednio zobowiązania, nie wyłącza roszczenia o naprawienie szkody z tytułu czynu niedozwolonego, chyba że z treści istniejącego uprzednio zobowiązania wynika co innego</w:t>
      </w:r>
      <w:r>
        <w:t xml:space="preserve">”</w:t>
      </w:r>
      <w:fldSimple w:instr="NOTEREF _Ref_Footnote_14 \h \f">
        <w:r>
          <w:rPr>
            <w:vertAlign w:val="superscript"/>
          </w:rPr>
          <w:t>14</w:t>
        </w:r>
      </w:fldSimple>
      <w:r>
        <w:t xml:space="preserve">. Przepis ten przyjmuje</w:t>
      </w:r>
      <w:r>
        <w:t xml:space="preserve"> </w:t>
      </w:r>
      <w:r>
        <w:t xml:space="preserve">“</w:t>
      </w:r>
      <w:r>
        <w:t xml:space="preserve">swobodną konkurencję</w:t>
      </w:r>
      <w:r>
        <w:t xml:space="preserve">”</w:t>
      </w:r>
      <w:r>
        <w:t xml:space="preserve"> </w:t>
      </w:r>
      <w:r>
        <w:t xml:space="preserve">między roszczeniami kontraktowymi i deliktowymi</w:t>
      </w:r>
      <w:fldSimple w:instr="NOTEREF _Ref_Footnote_15 \h \f">
        <w:r>
          <w:rPr>
            <w:vertAlign w:val="superscript"/>
          </w:rPr>
          <w:t>15</w:t>
        </w:r>
      </w:fldSimple>
      <w:r>
        <w:t xml:space="preserve"> </w:t>
      </w:r>
      <w:r>
        <w:rPr>
          <w:vertAlign w:val="superscript"/>
        </w:rPr>
        <w:footnoteReference w:id="72"/>
      </w:r>
      <w:r>
        <w:t xml:space="preserve">. Wybór podstawy roszczeniowej pozostawiono podmiotowi uprawnionemu</w:t>
      </w:r>
      <w:fldSimple w:instr="NOTEREF _Ref_Footnote_15 \h \f">
        <w:r>
          <w:rPr>
            <w:vertAlign w:val="superscript"/>
          </w:rPr>
          <w:t>15</w:t>
        </w:r>
      </w:fldSimple>
      <w:r>
        <w:t xml:space="preserve">.</w:t>
      </w:r>
    </w:p>
    <w:p>
      <w:pPr>
        <w:pStyle w:val="BodyText"/>
      </w:pPr>
      <w:r>
        <w:t xml:space="preserve">Oznacza to, że Pan może jednocześnie:</w:t>
      </w:r>
      <w:r>
        <w:t xml:space="preserve"> </w:t>
      </w:r>
      <w:r>
        <w:t xml:space="preserve">1. Dochodzić od Mateusza (i jego JDG) roszczenia kontraktowego z tytułu niewykonania umowy sprzedaży;</w:t>
      </w:r>
      <w:r>
        <w:t xml:space="preserve"> </w:t>
      </w:r>
      <w:r>
        <w:t xml:space="preserve">2. Dochodzić od Waldki roszczenia deliktowego z tytułu współsprawstwa w oszustwie (art. 415 k.c. w zw. z art. 441 § 1 k.c. lub art. 422 k.c.).</w:t>
      </w:r>
    </w:p>
    <w:p>
      <w:pPr>
        <w:pStyle w:val="BodyText"/>
      </w:pPr>
      <w:r>
        <w:t xml:space="preserve">Roszczenia te nie wykluczają się wzajemnie. Nie jest dopuszczalne tzw.</w:t>
      </w:r>
      <w:r>
        <w:t xml:space="preserve"> </w:t>
      </w:r>
      <w:r>
        <w:t xml:space="preserve">“</w:t>
      </w:r>
      <w:r>
        <w:t xml:space="preserve">mieszanie reżimów prawnych</w:t>
      </w:r>
      <w:r>
        <w:t xml:space="preserve">”</w:t>
      </w:r>
      <w:r>
        <w:t xml:space="preserve"> </w:t>
      </w:r>
      <w:r>
        <w:t xml:space="preserve">wobec tego samego pozwanego (tzn. nie można dochodzić od Mateusza jednocześnie na podstawie umowy i deliktu), ale wobec odrębnych pozwanych każdy reżim ma zastosowanie niezależnie</w:t>
      </w:r>
      <w:fldSimple w:instr="NOTEREF _Ref_Footnote_15 \h \f">
        <w:r>
          <w:rPr>
            <w:vertAlign w:val="superscript"/>
          </w:rPr>
          <w:t>15</w:t>
        </w:r>
      </w:fldSimple>
      <w:r>
        <w:t xml:space="preserve">.</w:t>
      </w:r>
    </w:p>
    <w:bookmarkEnd w:id="75"/>
    <w:bookmarkStart w:id="76" w:name="Xd6ce6e2d214e6f8fbd60811d57d02a7aaab48ba"/>
    <w:p>
      <w:pPr>
        <w:pStyle w:val="Heading4"/>
      </w:pPr>
      <w:r>
        <w:t xml:space="preserve">3.4.3 Precedens SO Warszawa X GC 639/11: organizator pociągnięty do odpowiedzialności deliktowej mimo niebycia stroną umowy</w:t>
      </w:r>
    </w:p>
    <w:p>
      <w:pPr>
        <w:pStyle w:val="FirstParagraph"/>
      </w:pPr>
      <w:r>
        <w:t xml:space="preserve">Precedens bezpośrednio ilustrujący tę zasadę stanowi wyrok Sądu Okręgowego w Warszawie z 21 lutego 2013 r. (X GC 639/11)</w:t>
      </w:r>
      <w:fldSimple w:instr="NOTEREF _Ref_Footnote_16 \h \f">
        <w:r>
          <w:rPr>
            <w:vertAlign w:val="superscript"/>
          </w:rPr>
          <w:t>16</w:t>
        </w:r>
      </w:fldSimple>
      <w:r>
        <w:t xml:space="preserve">. W tej sprawie powód przekazał 700 000 zł na podstawie umowy, z którą związany był wyłącznie jeden podmiot. Jednak sąd uznał, że pozwany M.H.(2) — który nie był stroną tej umowy, ale</w:t>
      </w:r>
      <w:r>
        <w:t xml:space="preserve"> </w:t>
      </w:r>
      <w:r>
        <w:rPr>
          <w:iCs/>
          <w:i/>
        </w:rPr>
        <w:t xml:space="preserve">zorganizował</w:t>
      </w:r>
      <w:r>
        <w:t xml:space="preserve"> </w:t>
      </w:r>
      <w:r>
        <w:t xml:space="preserve">całą transakcję, działając z pełną świadomością — odpowiada na podstawie art. 415 k.c. Sąd stwierdził:</w:t>
      </w:r>
      <w:r>
        <w:t xml:space="preserve"> </w:t>
      </w:r>
      <w:r>
        <w:t xml:space="preserve">“</w:t>
      </w:r>
      <w:r>
        <w:t xml:space="preserve">to pozwany był w istocie osobą, która zorganizowała działanie skutkujące wyjściem z majątku powoda sumy w kwocie 700 000 zł. Działając z pełną świadomością doprowadził do przywłaszczenia środków przelanych przez powoda</w:t>
      </w:r>
      <w:r>
        <w:t xml:space="preserve">”</w:t>
      </w:r>
      <w:fldSimple w:instr="NOTEREF _Ref_Footnote_16 \h \f">
        <w:r>
          <w:rPr>
            <w:vertAlign w:val="superscript"/>
          </w:rPr>
          <w:t>16</w:t>
        </w:r>
      </w:fldSimple>
      <w:r>
        <w:t xml:space="preserve">. Co istotne, sąd rozważał również odpowiedzialność M.H.(1) — osoby, która udostępniła konto firmowe — na podstawie art. 422 k.c. (pomocnictwo), stwierdzając, że</w:t>
      </w:r>
      <w:r>
        <w:t xml:space="preserve"> </w:t>
      </w:r>
      <w:r>
        <w:t xml:space="preserve">“</w:t>
      </w:r>
      <w:r>
        <w:t xml:space="preserve">umożliwienie M.H.(2) działania jako pełnomocnik przedsiębiorcy było w jakimś zakresie pomocne, bowiem skłoniło strony umowy do dokonania przelewu na konto przedsiębiorcy</w:t>
      </w:r>
      <w:r>
        <w:t xml:space="preserve">”</w:t>
      </w:r>
      <w:fldSimple w:instr="NOTEREF _Ref_Footnote_16 \h \f">
        <w:r>
          <w:rPr>
            <w:vertAlign w:val="superscript"/>
          </w:rPr>
          <w:t>16</w:t>
        </w:r>
      </w:fldSimple>
      <w:r>
        <w:t xml:space="preserve">.</w:t>
      </w:r>
    </w:p>
    <w:p>
      <w:pPr>
        <w:pStyle w:val="BodyText"/>
      </w:pPr>
      <w:r>
        <w:t xml:space="preserve">Poniższa tabela kontrastuje problem braku związku umownego z dostępnymi rozwiązaniami:</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Aspekt</w:t>
            </w:r>
          </w:p>
        </w:tc>
        <w:tc>
          <w:tcPr/>
          <w:p>
            <w:pPr>
              <w:pStyle w:val="Compact"/>
              <w:jc w:val="left"/>
            </w:pPr>
            <w:r>
              <w:t xml:space="preserve">Bariera kontraktowa (problem)</w:t>
            </w:r>
          </w:p>
        </w:tc>
        <w:tc>
          <w:tcPr/>
          <w:p>
            <w:pPr>
              <w:pStyle w:val="Compact"/>
              <w:jc w:val="left"/>
            </w:pPr>
            <w:r>
              <w:t xml:space="preserve">Rozwiązanie deliktowe (odpowiedź)</w:t>
            </w:r>
          </w:p>
        </w:tc>
      </w:tr>
      <w:tr>
        <w:tc>
          <w:tcPr/>
          <w:p>
            <w:pPr>
              <w:pStyle w:val="Compact"/>
              <w:jc w:val="left"/>
            </w:pPr>
            <w:r>
              <w:t xml:space="preserve">Podstawa prawna</w:t>
            </w:r>
          </w:p>
        </w:tc>
        <w:tc>
          <w:tcPr/>
          <w:p>
            <w:pPr>
              <w:pStyle w:val="Compact"/>
              <w:jc w:val="left"/>
            </w:pPr>
            <w:r>
              <w:t xml:space="preserve">Art. 354 k.c. (kontrakt) + zasada relatywności umowy</w:t>
            </w:r>
          </w:p>
        </w:tc>
        <w:tc>
          <w:tcPr/>
          <w:p>
            <w:pPr>
              <w:pStyle w:val="Compact"/>
              <w:jc w:val="left"/>
            </w:pPr>
            <w:r>
              <w:t xml:space="preserve">Art. 415 k.c. (czyn niedozwolony) + art. 422 k.c. (pomoc/skorzystanie)</w:t>
            </w:r>
            <w:fldSimple w:instr="NOTEREF _Ref_Footnote_14 \h \f">
              <w:r>
                <w:rPr>
                  <w:vertAlign w:val="superscript"/>
                </w:rPr>
                <w:t>14</w:t>
              </w:r>
            </w:fldSimple>
            <w:r>
              <w:t xml:space="preserve"> </w:t>
            </w:r>
            <w:fldSimple w:instr="NOTEREF _Ref_Footnote_18 \h \f">
              <w:r>
                <w:rPr>
                  <w:vertAlign w:val="superscript"/>
                </w:rPr>
                <w:t>18</w:t>
              </w:r>
            </w:fldSimple>
          </w:p>
        </w:tc>
      </w:tr>
      <w:tr>
        <w:tc>
          <w:tcPr/>
          <w:p>
            <w:pPr>
              <w:pStyle w:val="Compact"/>
              <w:jc w:val="left"/>
            </w:pPr>
            <w:r>
              <w:t xml:space="preserve">Wymóg związku umownego</w:t>
            </w:r>
          </w:p>
        </w:tc>
        <w:tc>
          <w:tcPr/>
          <w:p>
            <w:pPr>
              <w:pStyle w:val="Compact"/>
              <w:jc w:val="left"/>
            </w:pPr>
            <w:r>
              <w:t xml:space="preserve">TAK — umowa związuje tylko strony</w:t>
            </w:r>
          </w:p>
        </w:tc>
        <w:tc>
          <w:tcPr/>
          <w:p>
            <w:pPr>
              <w:pStyle w:val="Compact"/>
              <w:jc w:val="left"/>
            </w:pPr>
            <w:r>
              <w:t xml:space="preserve">NIE — odpowiedzialność deliktowa nie wymaga żadnego wcześniejszego stosunku</w:t>
            </w:r>
            <w:fldSimple w:instr="NOTEREF _Ref_Footnote_70 \h \f">
              <w:r>
                <w:rPr>
                  <w:vertAlign w:val="superscript"/>
                </w:rPr>
                <w:t>70</w:t>
              </w:r>
            </w:fldSimple>
          </w:p>
        </w:tc>
      </w:tr>
      <w:tr>
        <w:tc>
          <w:tcPr/>
          <w:p>
            <w:pPr>
              <w:pStyle w:val="Compact"/>
              <w:jc w:val="left"/>
            </w:pPr>
            <w:r>
              <w:t xml:space="preserve">Pozwanie Waldki bez umowy z nim</w:t>
            </w:r>
          </w:p>
        </w:tc>
        <w:tc>
          <w:tcPr/>
          <w:p>
            <w:pPr>
              <w:pStyle w:val="Compact"/>
              <w:jc w:val="left"/>
            </w:pPr>
            <w:r>
              <w:t xml:space="preserve">Niemożliwe (brak</w:t>
            </w:r>
            <w:r>
              <w:t xml:space="preserve"> </w:t>
            </w:r>
            <w:r>
              <w:rPr>
                <w:iCs/>
                <w:i/>
              </w:rPr>
              <w:t xml:space="preserve">privity of contract</w:t>
            </w:r>
            <w:r>
              <w:t xml:space="preserve">)</w:t>
            </w:r>
          </w:p>
        </w:tc>
        <w:tc>
          <w:tcPr/>
          <w:p>
            <w:pPr>
              <w:pStyle w:val="Compact"/>
              <w:jc w:val="left"/>
            </w:pPr>
            <w:r>
              <w:t xml:space="preserve">Możliwe — jeśli uczestniczył w oszustwie (art. 415 k.c.) lub ułatwiał je (art. 422 k.c.)</w:t>
            </w:r>
            <w:fldSimple w:instr="NOTEREF _Ref_Footnote_71 \h \f">
              <w:r>
                <w:rPr>
                  <w:vertAlign w:val="superscript"/>
                </w:rPr>
                <w:t>71</w:t>
              </w:r>
            </w:fldSimple>
          </w:p>
        </w:tc>
      </w:tr>
      <w:tr>
        <w:tc>
          <w:tcPr/>
          <w:p>
            <w:pPr>
              <w:pStyle w:val="Compact"/>
              <w:jc w:val="left"/>
            </w:pPr>
            <w:r>
              <w:t xml:space="preserve">Koegzystencja roszczeń</w:t>
            </w:r>
          </w:p>
        </w:tc>
        <w:tc>
          <w:tcPr/>
          <w:p>
            <w:pPr>
              <w:pStyle w:val="Compact"/>
              <w:jc w:val="left"/>
            </w:pPr>
            <w:r>
              <w:t xml:space="preserve">Nie dotyczy — jedna podstawa wobec jednego pozwanego</w:t>
            </w:r>
          </w:p>
        </w:tc>
        <w:tc>
          <w:tcPr/>
          <w:p>
            <w:pPr>
              <w:pStyle w:val="Compact"/>
              <w:jc w:val="left"/>
            </w:pPr>
            <w:r>
              <w:t xml:space="preserve">Art. 443 k.c. — swobodna konkurencja: Mateusz na umowie, Waldek na delikcie</w:t>
            </w:r>
            <w:fldSimple w:instr="NOTEREF _Ref_Footnote_15 \h \f">
              <w:r>
                <w:rPr>
                  <w:vertAlign w:val="superscript"/>
                </w:rPr>
                <w:t>15</w:t>
              </w:r>
            </w:fldSimple>
            <w:r>
              <w:t xml:space="preserve"> </w:t>
            </w:r>
            <w:fldSimple w:instr="NOTEREF _Ref_Footnote_72 \h \f">
              <w:r>
                <w:rPr>
                  <w:vertAlign w:val="superscript"/>
                </w:rPr>
                <w:t>72</w:t>
              </w:r>
            </w:fldSimple>
          </w:p>
        </w:tc>
      </w:tr>
      <w:tr>
        <w:tc>
          <w:tcPr/>
          <w:p>
            <w:pPr>
              <w:pStyle w:val="Compact"/>
              <w:jc w:val="left"/>
            </w:pPr>
            <w:r>
              <w:t xml:space="preserve">Precedens</w:t>
            </w:r>
          </w:p>
        </w:tc>
        <w:tc>
          <w:tcPr/>
          <w:p>
            <w:pPr>
              <w:pStyle w:val="Compact"/>
              <w:jc w:val="left"/>
            </w:pPr>
            <w:r>
              <w:t xml:space="preserve">—</w:t>
            </w:r>
          </w:p>
        </w:tc>
        <w:tc>
          <w:tcPr/>
          <w:p>
            <w:pPr>
              <w:pStyle w:val="Compact"/>
              <w:jc w:val="left"/>
            </w:pPr>
            <w:r>
              <w:t xml:space="preserve">SO Warszawa X GC 639/11: organizator niebędący stroną umowy odpowiedzialny z art. 415 k.c.</w:t>
            </w:r>
            <w:fldSimple w:instr="NOTEREF _Ref_Footnote_16 \h \f">
              <w:r>
                <w:rPr>
                  <w:vertAlign w:val="superscript"/>
                </w:rPr>
                <w:t>16</w:t>
              </w:r>
            </w:fldSimple>
          </w:p>
        </w:tc>
      </w:tr>
      <w:tr>
        <w:tc>
          <w:tcPr/>
          <w:p>
            <w:pPr>
              <w:pStyle w:val="Compact"/>
              <w:jc w:val="left"/>
            </w:pPr>
            <w:r>
              <w:t xml:space="preserve">Solidarna odpowiedzialność</w:t>
            </w:r>
          </w:p>
        </w:tc>
        <w:tc>
          <w:tcPr/>
          <w:p>
            <w:pPr>
              <w:pStyle w:val="Compact"/>
              <w:jc w:val="left"/>
            </w:pPr>
            <w:r>
              <w:t xml:space="preserve">Brak — roszczenie kontraktowe tylko wobec strony umowy</w:t>
            </w:r>
          </w:p>
        </w:tc>
        <w:tc>
          <w:tcPr/>
          <w:p>
            <w:pPr>
              <w:pStyle w:val="Compact"/>
              <w:jc w:val="left"/>
            </w:pPr>
            <w:r>
              <w:t xml:space="preserve">Art. 441 § 1 k.c. — solidarna odpowiedzialność wszystkich współsprawców deliktowych</w:t>
            </w:r>
            <w:fldSimple w:instr="NOTEREF _Ref_Footnote_64 \h \f">
              <w:r>
                <w:rPr>
                  <w:vertAlign w:val="superscript"/>
                </w:rPr>
                <w:t>64</w:t>
              </w:r>
            </w:fldSimple>
          </w:p>
        </w:tc>
      </w:tr>
      <w:tr>
        <w:tc>
          <w:tcPr/>
          <w:p>
            <w:pPr>
              <w:pStyle w:val="Compact"/>
              <w:jc w:val="left"/>
            </w:pPr>
            <w:r>
              <w:t xml:space="preserve">Skutek prejudykatu karnego</w:t>
            </w:r>
          </w:p>
        </w:tc>
        <w:tc>
          <w:tcPr/>
          <w:p>
            <w:pPr>
              <w:pStyle w:val="Compact"/>
              <w:jc w:val="left"/>
            </w:pPr>
            <w:r>
              <w:t xml:space="preserve">Niekorzystny — brak związku umownego z Waldkiem</w:t>
            </w:r>
          </w:p>
        </w:tc>
        <w:tc>
          <w:tcPr/>
          <w:p>
            <w:pPr>
              <w:pStyle w:val="Compact"/>
              <w:jc w:val="left"/>
            </w:pPr>
            <w:r>
              <w:t xml:space="preserve">Korzystny — art. 11 k.p.c. wiąże sąd cywilny co do faktu oszustwa</w:t>
            </w:r>
            <w:fldSimple w:instr="NOTEREF _Ref_Footnote_6 \h \f">
              <w:r>
                <w:rPr>
                  <w:vertAlign w:val="superscript"/>
                </w:rPr>
                <w:t>6</w:t>
              </w:r>
            </w:fldSimple>
          </w:p>
        </w:tc>
      </w:tr>
      <w:tr>
        <w:tc>
          <w:tcPr/>
          <w:p>
            <w:pPr>
              <w:pStyle w:val="Compact"/>
              <w:jc w:val="left"/>
            </w:pPr>
            <w:r>
              <w:t xml:space="preserve">Praktyczna konsekwencja</w:t>
            </w:r>
          </w:p>
        </w:tc>
        <w:tc>
          <w:tcPr/>
          <w:p>
            <w:pPr>
              <w:pStyle w:val="Compact"/>
              <w:jc w:val="left"/>
            </w:pPr>
            <w:r>
              <w:t xml:space="preserve">Ograniczenie do Mateusza/JDG</w:t>
            </w:r>
          </w:p>
        </w:tc>
        <w:tc>
          <w:tcPr/>
          <w:p>
            <w:pPr>
              <w:pStyle w:val="Compact"/>
              <w:jc w:val="left"/>
            </w:pPr>
            <w:r>
              <w:t xml:space="preserve">Podwojenie targetów egzekucyjnych: Mateusz + Waldek</w:t>
            </w:r>
          </w:p>
        </w:tc>
      </w:tr>
      <w:tr>
        <w:tc>
          <w:tcPr/>
          <w:p>
            <w:pPr>
              <w:pStyle w:val="Compact"/>
              <w:jc w:val="left"/>
            </w:pPr>
            <w:r>
              <w:t xml:space="preserve">Taryfa egzekucyjna</w:t>
            </w:r>
          </w:p>
        </w:tc>
        <w:tc>
          <w:tcPr/>
          <w:p>
            <w:pPr>
              <w:pStyle w:val="Compact"/>
              <w:jc w:val="left"/>
            </w:pPr>
            <w:r>
              <w:t xml:space="preserve">Jedna egzekucja wobec Mateusza</w:t>
            </w:r>
          </w:p>
        </w:tc>
        <w:tc>
          <w:tcPr/>
          <w:p>
            <w:pPr>
              <w:pStyle w:val="Compact"/>
              <w:jc w:val="left"/>
            </w:pPr>
            <w:r>
              <w:t xml:space="preserve">Dwie egzekucje (lub jedna solidarna wobec obu) = wyższe prawdopodobieństwo odzyskania środków</w:t>
            </w:r>
          </w:p>
        </w:tc>
      </w:tr>
    </w:tbl>
    <w:p>
      <w:pPr>
        <w:pStyle w:val="BodyText"/>
      </w:pPr>
      <w:r>
        <w:rPr>
          <w:iCs/>
          <w:i/>
        </w:rPr>
        <w:t xml:space="preserve">Analiza tabeli.</w:t>
      </w:r>
      <w:r>
        <w:t xml:space="preserve"> </w:t>
      </w:r>
      <w:r>
        <w:t xml:space="preserve">Tabela ujawnia, że zastrzeżenie adwokata ograniczało się do jednego z trzech dostępnych reżimów odpowiedzialności — kontraktowego — i pomijało dwa pozostałe: deliktowy (art. 415 k.c. + art. 441 § 1 k.c.) oraz poszerzony deliktowy (art. 422 k.c. + art. 441 § 1 k.c.). Rozwiązanie opiera się na fundamentalnej cesze polskiego prawa cywilnego: roszczenia umowne i deliktowe koegzystują swobodnie (art. 443 k.c.), a pokrzywdzony ma prawo wyboru podstawy roszczeniowej — w tym do wytoczenia odrębnych powództw wobec różnych pozwanych na odrębnych podstawach. Precedens SO Warszawa X GC 639/11 stanowi bezpośrednią analogię: sąd uznał organizatora transakcji fraudowej odpowiedzialnym na podstawie art. 415 k.c. mimo że nie był on stroną umowy, z której powstała szkoda. Dla Pana oznacza to, że przeszkoda</w:t>
      </w:r>
      <w:r>
        <w:t xml:space="preserve"> </w:t>
      </w:r>
      <w:r>
        <w:t xml:space="preserve">“</w:t>
      </w:r>
      <w:r>
        <w:t xml:space="preserve">brak związku umownego z Waldkiem</w:t>
      </w:r>
      <w:r>
        <w:t xml:space="preserve">”</w:t>
      </w:r>
      <w:r>
        <w:t xml:space="preserve"> </w:t>
      </w:r>
      <w:r>
        <w:t xml:space="preserve">jest iluzoryczna — nie blokuje roszczeń deliktowych, które stanowią odrębną, w pełni autonomiczną ścieżkę dochodzenia. Wręcz przeciwnie: w sytuacji, gdy Mateusz przebywa w Holandii, a jego JDG może mieć pusty rachunek bankowy, możliwość skierowania egzekucji również przeciwko Waldkowi (np. z jego konta osobistego, wynagrodzenia, majątku) podwaja prawdopodobieństwo faktycznego odzyskania środków. Strategia optymalna nie polega zatem na zastąpieniu roszczenia kontraktowego wobec Mateusza roszczeniem deliktowym wobec Waldki — lecz na</w:t>
      </w:r>
      <w:r>
        <w:t xml:space="preserve"> </w:t>
      </w:r>
      <w:r>
        <w:rPr>
          <w:iCs/>
          <w:i/>
        </w:rPr>
        <w:t xml:space="preserve">równoległym</w:t>
      </w:r>
      <w:r>
        <w:t xml:space="preserve"> </w:t>
      </w:r>
      <w:r>
        <w:t xml:space="preserve">dochodzeniu od obu, z wykorzystaniem art. 441 § 1 k.c. do solidarnego obciążenia każdego z nich pełną kwotą 155 000 zł.</w:t>
      </w:r>
      <w:r>
        <w:t xml:space="preserve"> </w:t>
      </w:r>
      <w:r>
        <w:t xml:space="preserve">## 4. Teorie cywilnoprawne alternatywne — roszczenia bez uprzedniego wyroku karnego</w:t>
      </w:r>
    </w:p>
    <w:p>
      <w:pPr>
        <w:pStyle w:val="BodyText"/>
      </w:pPr>
      <w:r>
        <w:t xml:space="preserve">Powyższe rozważania koncentrowały się na mechanizmie, w którym prawomocne skazanie Waldeka (współsprawcy) tworzy podstawę do dochodzenia od niego odszkodowania cywilnego. Należy jednak odpowiedzieć na pytanie, które Państwa mecenas sformułował wstępnie: czy istnieje jakakolwiek teoria cywilnoprawna pozwalająca dochodzić roszczeń od Waldeka</w:t>
      </w:r>
      <w:r>
        <w:t xml:space="preserve"> </w:t>
      </w:r>
      <w:r>
        <w:rPr>
          <w:iCs/>
          <w:i/>
        </w:rPr>
        <w:t xml:space="preserve">bez</w:t>
      </w:r>
      <w:r>
        <w:t xml:space="preserve"> </w:t>
      </w:r>
      <w:r>
        <w:t xml:space="preserve">konieczności uprzedniego skazania go w postępowaniu karnym? Analiza wykazuje, że takie teorie istnieją, lecz ich siła waha się od umiarkowanej po bardzo słabą — i we wszystkich przypadkach barierą jest nie konstrukcja prawna, lecz stan dowodowy.</w:t>
      </w:r>
    </w:p>
    <w:bookmarkEnd w:id="76"/>
    <w:bookmarkEnd w:id="77"/>
    <w:bookmarkStart w:id="81" w:name="Xdea810ce2699cc468d007d5a28bdb90166c746e"/>
    <w:p>
      <w:pPr>
        <w:pStyle w:val="Heading3"/>
      </w:pPr>
      <w:r>
        <w:t xml:space="preserve">4.1. Bezpośrednie roszczenie deliktowe (art. 415 k.c.) — siła: UMIARKOWANA</w:t>
      </w:r>
    </w:p>
    <w:p>
      <w:pPr>
        <w:pStyle w:val="FirstParagraph"/>
      </w:pPr>
      <w:r>
        <w:t xml:space="preserve">Podstawowym źródłem roszczenia deliktowego w polskim prawie cywilnym jest art. 415 k.c.:</w:t>
      </w:r>
      <w:r>
        <w:t xml:space="preserve"> </w:t>
      </w:r>
      <w:r>
        <w:t xml:space="preserve">“</w:t>
      </w:r>
      <w:r>
        <w:t xml:space="preserve">Kto z winy swojej wyrządził drugiemu szkodę, obowiązany jest do jej naprawienia.</w:t>
      </w:r>
      <w:r>
        <w:t xml:space="preserve">”</w:t>
      </w:r>
      <w:r>
        <w:t xml:space="preserve"> </w:t>
      </w:r>
      <w:fldSimple w:instr="NOTEREF _Ref_Footnote_17 \h \f">
        <w:r>
          <w:rPr>
            <w:vertAlign w:val="superscript"/>
          </w:rPr>
          <w:t>17</w:t>
        </w:r>
      </w:fldSimple>
      <w:r>
        <w:t xml:space="preserve">Przesłanki odpowiedzialności obejmują trzy kumulatywne elementy: szkodę, czyn bezprawny i zawiniony oraz związek przyczynowy między czynem a szkodą</w:t>
      </w:r>
      <w:r>
        <w:t xml:space="preserve"> </w:t>
      </w:r>
      <w:fldSimple w:instr="NOTEREF _Ref_Footnote_71 \h \f">
        <w:r>
          <w:rPr>
            <w:vertAlign w:val="superscript"/>
          </w:rPr>
          <w:t>71</w:t>
        </w:r>
      </w:fldSimple>
      <w:r>
        <w:t xml:space="preserve">. W przypadku oszustwa za</w:t>
      </w:r>
      <w:r>
        <w:t xml:space="preserve"> </w:t>
      </w:r>
      <w:r>
        <w:t xml:space="preserve">“</w:t>
      </w:r>
      <w:r>
        <w:t xml:space="preserve">czyn bezprawny</w:t>
      </w:r>
      <w:r>
        <w:t xml:space="preserve">”</w:t>
      </w:r>
      <w:r>
        <w:t xml:space="preserve"> </w:t>
      </w:r>
      <w:r>
        <w:t xml:space="preserve">uznaje się</w:t>
      </w:r>
      <w:r>
        <w:t xml:space="preserve"> </w:t>
      </w:r>
      <w:r>
        <w:t xml:space="preserve">“</w:t>
      </w:r>
      <w:r>
        <w:t xml:space="preserve">wprowadzenie w błąd</w:t>
      </w:r>
      <w:r>
        <w:t xml:space="preserve">”</w:t>
      </w:r>
      <w:r>
        <w:t xml:space="preserve"> </w:t>
      </w:r>
      <w:r>
        <w:t xml:space="preserve">(misleading) pokrzywdzonego, a skazanie za oszustwo stanowi bezpośrednią przesłankę do dochodzenia odszkodowania na podstawie art. 415 k.c.</w:t>
      </w:r>
      <w:r>
        <w:t xml:space="preserve"> </w:t>
      </w:r>
      <w:r>
        <w:rPr>
          <w:vertAlign w:val="superscript"/>
        </w:rPr>
        <w:footnoteReference w:id="73"/>
      </w:r>
      <w:r>
        <w:t xml:space="preserve">.</w:t>
      </w:r>
    </w:p>
    <w:p>
      <w:pPr>
        <w:pStyle w:val="BodyText"/>
      </w:pPr>
      <w:r>
        <w:t xml:space="preserve">Kluczowe dla Państwa sprawy jest jednak pytanie, czy Waldek — niebędący stroną umowy zawartej między Państwem a Mateuszem (właścicielem JDG) — może ponosić odpowiedzialność deliktową</w:t>
      </w:r>
      <w:r>
        <w:t xml:space="preserve"> </w:t>
      </w:r>
      <w:r>
        <w:rPr>
          <w:iCs/>
          <w:i/>
        </w:rPr>
        <w:t xml:space="preserve">samodzielnie</w:t>
      </w:r>
      <w:r>
        <w:t xml:space="preserve">, niezależnie od postępowania karnego. Odpowiedź zależy od tego, jaką rolę faktycznie odegrał w całym zdarzeniu.</w:t>
      </w:r>
    </w:p>
    <w:bookmarkStart w:id="78" w:name="X3b49c7d8a5c269af4c18c1e5597cbdd9908509c"/>
    <w:p>
      <w:pPr>
        <w:pStyle w:val="Heading4"/>
      </w:pPr>
      <w:r>
        <w:t xml:space="preserve">4.1.1. Wariant A: Samodzielne wprowadzenie w błąd przez Waldeka — siła: SILNA</w:t>
      </w:r>
    </w:p>
    <w:p>
      <w:pPr>
        <w:pStyle w:val="FirstParagraph"/>
      </w:pPr>
      <w:r>
        <w:t xml:space="preserve">Jeśli Waldek osobiście — w bezpośredniej komunikacji z Państwem (e-mail z adresu waldek@gpucomputer.pl, rozmowy telefoniczne, wiadomości) — przedstawił Państwu nieprawdziwe zapewnienia dotyczące inwestycji, poręczył za Mateusza, zagwarantował zwrot środków lub w inny sposób wprowadził Państwa w błąd co do warunków transakcji, wówczas powstaje samodzielne roszczenie deliktowe przeciwko niemu. Teoria ta jest szczególnie silna, ponieważ:</w:t>
      </w:r>
    </w:p>
    <w:p>
      <w:pPr>
        <w:numPr>
          <w:ilvl w:val="0"/>
          <w:numId w:val="1001"/>
        </w:numPr>
        <w:pStyle w:val="Compact"/>
      </w:pPr>
      <w:r>
        <w:t xml:space="preserve">Roszczenie deliktowe (art. 415 k.c.) istnieje niezależnie od jakiegokolwiek stosunku umownego między stronami — sprawca i poszkodowany mogą być dla siebie zupełnie obcymi osobami</w:t>
      </w:r>
      <w:r>
        <w:t xml:space="preserve"> </w:t>
      </w:r>
      <w:fldSimple w:instr="NOTEREF _Ref_Footnote_71 \h \f">
        <w:r>
          <w:rPr>
            <w:vertAlign w:val="superscript"/>
          </w:rPr>
          <w:t>71</w:t>
        </w:r>
      </w:fldSimple>
      <w:r>
        <w:t xml:space="preserve">.</w:t>
      </w:r>
    </w:p>
    <w:p>
      <w:pPr>
        <w:numPr>
          <w:ilvl w:val="0"/>
          <w:numId w:val="1001"/>
        </w:numPr>
        <w:pStyle w:val="Compact"/>
      </w:pPr>
      <w:r>
        <w:t xml:space="preserve">Swobodną konkurencję między roszczeniem kontraktowym (przeciwko Mateuszowi) a roszczeniem deliktowym (przeciwko Waldkowi) przyjmuje art. 443 k.c.</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w:t>
      </w:r>
    </w:p>
    <w:p>
      <w:pPr>
        <w:numPr>
          <w:ilvl w:val="0"/>
          <w:numId w:val="1001"/>
        </w:numPr>
        <w:pStyle w:val="Compact"/>
      </w:pPr>
      <w:r>
        <w:t xml:space="preserve">Zbieg roszczeń nie stanowi przeszkody —</w:t>
      </w:r>
      <w:r>
        <w:t xml:space="preserve"> </w:t>
      </w:r>
      <w:r>
        <w:t xml:space="preserve">“</w:t>
      </w:r>
      <w:r>
        <w:t xml:space="preserve">wybór roszczenia odszkodowawczego pozostawiono podmiotowi uprawnionemu</w:t>
      </w:r>
      <w:r>
        <w:t xml:space="preserve">”</w:t>
      </w:r>
      <w:r>
        <w:t xml:space="preserve"> </w:t>
      </w:r>
      <w:fldSimple w:instr="NOTEREF _Ref_Footnote_15 \h \f">
        <w:r>
          <w:rPr>
            <w:vertAlign w:val="superscript"/>
          </w:rPr>
          <w:t>15</w:t>
        </w:r>
      </w:fldSimple>
      <w:r>
        <w:t xml:space="preserve">.</w:t>
      </w:r>
    </w:p>
    <w:p>
      <w:pPr>
        <w:pStyle w:val="FirstParagraph"/>
      </w:pPr>
      <w:r>
        <w:t xml:space="preserve">W sprawie SO Warszawa X GC 639/11 sąd uznał M.H.(2) odpowiedzialnym na podstawie art. 415 k.c. za zorganizowanie transakcji, która doprowadziła do wyjścia z majątku powoda 700 000 zł — mimo że pozwany nie był stroną umowy</w:t>
      </w:r>
      <w:r>
        <w:t xml:space="preserve"> </w:t>
      </w:r>
      <w:fldSimple w:instr="NOTEREF _Ref_Footnote_16 \h \f">
        <w:r>
          <w:rPr>
            <w:vertAlign w:val="superscript"/>
          </w:rPr>
          <w:t>16</w:t>
        </w:r>
      </w:fldSimple>
      <w:r>
        <w:t xml:space="preserve">. Osoba, która faktycznie zorganizowała oszukańcze działanie i przywłaszczyła środki, odpowiada deliktowo bez względu na to, kto był formalną stroną kontraktu.</w:t>
      </w:r>
    </w:p>
    <w:p>
      <w:pPr>
        <w:pStyle w:val="BodyText"/>
      </w:pPr>
      <w:r>
        <w:rPr>
          <w:bCs/>
          <w:b/>
        </w:rPr>
        <w:t xml:space="preserve">Dla Państwa sprawy:</w:t>
      </w:r>
      <w:r>
        <w:t xml:space="preserve"> </w:t>
      </w:r>
      <w:r>
        <w:t xml:space="preserve">jeśli posiadają Państwo komunikację od Waldeka zawierającą nieprawdziwe zapewnienia — w szczególności sprzeczne wyjaśnienia (</w:t>
      </w:r>
      <w:r>
        <w:t xml:space="preserve">“</w:t>
      </w:r>
      <w:r>
        <w:t xml:space="preserve">customs odprawił</w:t>
      </w:r>
      <w:r>
        <w:t xml:space="preserve">”</w:t>
      </w:r>
      <w:r>
        <w:t xml:space="preserve"> </w:t>
      </w:r>
      <w:r>
        <w:t xml:space="preserve">vs. </w:t>
      </w:r>
      <w:r>
        <w:t xml:space="preserve">“</w:t>
      </w:r>
      <w:r>
        <w:t xml:space="preserve">dostawca z Hongkongu zbankrutował</w:t>
      </w:r>
      <w:r>
        <w:t xml:space="preserve">”</w:t>
      </w:r>
      <w:r>
        <w:t xml:space="preserve">) oraz obietnicę zwrotu środków z 10 marca 2026 r. — stanowi to bezpośrednią podstawę roszczenia deliktowego. Wprowadzenie w błąd przez Waldeka jest czynem bezprawnym niezależnym od zobowiązania Mateusza.</w:t>
      </w:r>
    </w:p>
    <w:bookmarkEnd w:id="78"/>
    <w:bookmarkStart w:id="79" w:name="Xdf60b1a9b4c53d4320b8d7e9110324d188fe910"/>
    <w:p>
      <w:pPr>
        <w:pStyle w:val="Heading4"/>
      </w:pPr>
      <w:r>
        <w:t xml:space="preserve">4.1.2. Wariant B: Wyłączne udostępnienie infrastruktury biznesowej — siła: SŁABA</w:t>
      </w:r>
    </w:p>
    <w:p>
      <w:pPr>
        <w:pStyle w:val="FirstParagraph"/>
      </w:pPr>
      <w:r>
        <w:t xml:space="preserve">Jeśli Waldek jedynie udostępnił Mateuszowi swoją infrastrukturę biznesową (konto bankowe, tożsamość firmy, adres e-mail)</w:t>
      </w:r>
      <w:r>
        <w:t xml:space="preserve"> </w:t>
      </w:r>
      <w:r>
        <w:rPr>
          <w:iCs/>
          <w:i/>
        </w:rPr>
        <w:t xml:space="preserve">bez</w:t>
      </w:r>
      <w:r>
        <w:t xml:space="preserve"> </w:t>
      </w:r>
      <w:r>
        <w:t xml:space="preserve">samodzielnego kontaktu z Państwem i bez wprowadzania w błąd — roszczenie na podstawie art. 415 k.c. jest znacznie słabsze. Samo udostępnienie JDG innej osobie nie stanowi czynu bezprawnego względem wierzyciela tej osoby. Brak tu bezpośredniego związku przyczynowego między działaniem Waldeka a szkodą — to Mateusz zawarł umowę, przyjął środki i nie wywiązał się z niej.</w:t>
      </w:r>
    </w:p>
    <w:bookmarkEnd w:id="79"/>
    <w:bookmarkStart w:id="80" w:name="Xf4cb184dc35d267d8dab5ae7e84361d1ca6d448"/>
    <w:p>
      <w:pPr>
        <w:pStyle w:val="Heading4"/>
      </w:pPr>
      <w:r>
        <w:t xml:space="preserve">4.1.3. Bariera dowodowa: czy Waldek osobiście wprowadzał Państwa w błąd</w:t>
      </w:r>
    </w:p>
    <w:p>
      <w:pPr>
        <w:pStyle w:val="FirstParagraph"/>
      </w:pPr>
      <w:r>
        <w:t xml:space="preserve">Rozstrzygającym czynnikiem dla teorii art. 415 k.c. jest zatem dowodowa kwestia: czy Waldek prowadził z Państwem bezpośrednią komunikację, w której przedstawiał nieprawdziwe informacje. Jeśli tak — roszczenie jest silne. Jeśli nie — ta teoria upada.</w:t>
      </w:r>
    </w:p>
    <w:p>
      <w:pPr>
        <w:pStyle w:val="BodyText"/>
      </w:pPr>
      <w:r>
        <w:t xml:space="preserve">Warto zwrócić uwagę na jeden istotny aspekt proceduralny: w postępowaniu cywilnym obowiązek wykazania przesłanek odpowiedzialności spoczywa na powodzie (Państwu). Oznacza to, że to Państwo muszą udowodnić — w stopniu przekraczającym prawdopodobieństwo — że Waldek faktycznie wysłał komunikaty zawierające nieprawdziwe zapewnienia, że zrobił to z winy, i że istnieje związek przyczynowy między jego działaniem a szkodą. Bez zabezpieczenia dowodów (np. wydruki e-maili, zrzuty ekranu, zeznania świadków) w okresie przedawnienia roszczeń, teoria ta pozostaje jedynie hipotetyczną możliwością.</w:t>
      </w:r>
    </w:p>
    <w:bookmarkEnd w:id="80"/>
    <w:bookmarkEnd w:id="81"/>
    <w:bookmarkStart w:id="84" w:name="X60ab6c847cd12869ba55cd9bacaeb19c4c8064a"/>
    <w:p>
      <w:pPr>
        <w:pStyle w:val="Heading3"/>
      </w:pPr>
      <w:r>
        <w:t xml:space="preserve">4.2. Art. 422 k.c. —</w:t>
      </w:r>
      <w:r>
        <w:t xml:space="preserve"> </w:t>
      </w:r>
      <w:r>
        <w:t xml:space="preserve">“</w:t>
      </w:r>
      <w:r>
        <w:t xml:space="preserve">pomocnictwo</w:t>
      </w:r>
      <w:r>
        <w:t xml:space="preserve">”</w:t>
      </w:r>
      <w:r>
        <w:t xml:space="preserve"> </w:t>
      </w:r>
      <w:r>
        <w:t xml:space="preserve">i</w:t>
      </w:r>
      <w:r>
        <w:t xml:space="preserve"> </w:t>
      </w:r>
      <w:r>
        <w:t xml:space="preserve">“</w:t>
      </w:r>
      <w:r>
        <w:t xml:space="preserve">świadome skorzystanie</w:t>
      </w:r>
      <w:r>
        <w:t xml:space="preserve">”</w:t>
      </w:r>
      <w:r>
        <w:t xml:space="preserve"> </w:t>
      </w:r>
      <w:r>
        <w:t xml:space="preserve">— siła: UMIARKOWANA</w:t>
      </w:r>
    </w:p>
    <w:p>
      <w:pPr>
        <w:pStyle w:val="FirstParagraph"/>
      </w:pPr>
      <w:r>
        <w:t xml:space="preserve">Art. 422 k.c. przewiduje rozszerzenie kręgu osób odpowiedzialnych za szkodę wyrządzoną czynem niedozwolonym:</w:t>
      </w:r>
      <w:r>
        <w:t xml:space="preserve"> </w:t>
      </w:r>
      <w:r>
        <w:t xml:space="preserve">“</w:t>
      </w:r>
      <w:r>
        <w:t xml:space="preserve">Za szkodę odpowiedzialny jest nie tylko ten, kto ją bezpośrednio wyrządził, lecz także ten, kto inną osobę do wyrządzenia szkody nakłonił albo był jej pomocny, jak również ten, kto świadomie skorzystał z wyrządzonej drugiemu szkody.</w:t>
      </w:r>
      <w:r>
        <w:t xml:space="preserve">”</w:t>
      </w:r>
      <w:r>
        <w:t xml:space="preserve"> </w:t>
      </w:r>
      <w:fldSimple w:instr="NOTEREF _Ref_Footnote_18 \h \f">
        <w:r>
          <w:rPr>
            <w:vertAlign w:val="superscript"/>
          </w:rPr>
          <w:t>18</w:t>
        </w:r>
      </w:fldSimple>
      <w:r>
        <w:t xml:space="preserve">Przepis ten — w związku z art. 441 § 1 k.c. — tworzy solidarną odpowiedzialność odszkodowawczą poszerzonego grona podmiotów</w:t>
      </w:r>
      <w:r>
        <w:t xml:space="preserve"> </w:t>
      </w:r>
      <w:fldSimple w:instr="NOTEREF _Ref_Footnote_64 \h \f">
        <w:r>
          <w:rPr>
            <w:vertAlign w:val="superscript"/>
          </w:rPr>
          <w:t>64</w:t>
        </w:r>
      </w:fldSimple>
      <w:r>
        <w:t xml:space="preserve">.</w:t>
      </w:r>
    </w:p>
    <w:bookmarkStart w:id="82" w:name="X9c1b7d742b4e71fd633d60501fd95ce4c05be35"/>
    <w:p>
      <w:pPr>
        <w:pStyle w:val="Heading4"/>
      </w:pPr>
      <w:r>
        <w:t xml:space="preserve">4.2.1. Pomocnictwo (art. 422 k.c. w zw. z art. 441 § 1 k.c.)</w:t>
      </w:r>
    </w:p>
    <w:p>
      <w:pPr>
        <w:pStyle w:val="FirstParagraph"/>
      </w:pPr>
      <w:r>
        <w:t xml:space="preserve">“</w:t>
      </w:r>
      <w:r>
        <w:t xml:space="preserve">Pomocnictwo polega na umożliwieniu lub ułatwieniu innej osobie popełnienia czynu zabronionego, z którego wynikła dla kogoś szkoda</w:t>
      </w:r>
      <w:r>
        <w:t xml:space="preserve">”</w:t>
      </w:r>
      <w:r>
        <w:t xml:space="preserve"> </w:t>
      </w:r>
      <w:fldSimple w:instr="NOTEREF _Ref_Footnote_19 \h \f">
        <w:r>
          <w:rPr>
            <w:vertAlign w:val="superscript"/>
          </w:rPr>
          <w:t>19</w:t>
        </w:r>
      </w:fldSimple>
      <w:r>
        <w:t xml:space="preserve">. Przypisanie odpowiedzialności z tytułu pomocnictwa wymaga wykazania, że pomocnik miał świadomość, iż pomaga sprawcy w popełnieniu czynu wyrządzającego szkodę — wystarcza zamiar ewentualny (przewidzenie możliwości i zgoda na nią)</w:t>
      </w:r>
      <w:r>
        <w:t xml:space="preserve"> </w:t>
      </w:r>
      <w:fldSimple w:instr="NOTEREF _Ref_Footnote_19 \h \f">
        <w:r>
          <w:rPr>
            <w:vertAlign w:val="superscript"/>
          </w:rPr>
          <w:t>19</w:t>
        </w:r>
      </w:fldSimple>
      <w:r>
        <w:t xml:space="preserve">.</w:t>
      </w:r>
    </w:p>
    <w:p>
      <w:pPr>
        <w:pStyle w:val="BodyText"/>
      </w:pPr>
      <w:r>
        <w:t xml:space="preserve">W sprawie SO Warszawa X GC 639/11 sąd uznał, że</w:t>
      </w:r>
      <w:r>
        <w:t xml:space="preserve"> </w:t>
      </w:r>
      <w:r>
        <w:t xml:space="preserve">“</w:t>
      </w:r>
      <w:r>
        <w:t xml:space="preserve">umożliwienie M.H.(2) działania jako pełnomocnik przedsiębiorcy było w jakimś zakresie pomocne, bowiem skłoniło strony umowy do dokonania przelewu na konto przedsiębiorcy</w:t>
      </w:r>
      <w:r>
        <w:t xml:space="preserve">”</w:t>
      </w:r>
      <w:r>
        <w:t xml:space="preserve"> </w:t>
      </w:r>
      <w:fldSimple w:instr="NOTEREF _Ref_Footnote_16 \h \f">
        <w:r>
          <w:rPr>
            <w:vertAlign w:val="superscript"/>
          </w:rPr>
          <w:t>16</w:t>
        </w:r>
      </w:fldSimple>
      <w:r>
        <w:t xml:space="preserve">. Odmówiono jednak zasądzenia względem M.H.(1), która udostępniła konto, z powodu braku wymaganej świadomości (</w:t>
      </w:r>
      <w:r>
        <w:t xml:space="preserve">“</w:t>
      </w:r>
      <w:r>
        <w:t xml:space="preserve">nie ma podstaw do przyjęcia, że pozwana miała świadomość warunków transakcji</w:t>
      </w:r>
      <w:r>
        <w:t xml:space="preserve">”</w:t>
      </w:r>
      <w:r>
        <w:t xml:space="preserve">)</w:t>
      </w:r>
      <w:r>
        <w:t xml:space="preserve"> </w:t>
      </w:r>
      <w:fldSimple w:instr="NOTEREF _Ref_Footnote_16 \h \f">
        <w:r>
          <w:rPr>
            <w:vertAlign w:val="superscript"/>
          </w:rPr>
          <w:t>16</w:t>
        </w:r>
      </w:fldSimple>
      <w:r>
        <w:t xml:space="preserve">.</w:t>
      </w:r>
    </w:p>
    <w:p>
      <w:pPr>
        <w:pStyle w:val="BodyText"/>
      </w:pPr>
      <w:r>
        <w:rPr>
          <w:bCs/>
          <w:b/>
        </w:rPr>
        <w:t xml:space="preserve">Zastosowanie do Waldeka:</w:t>
      </w:r>
      <w:r>
        <w:t xml:space="preserve"> </w:t>
      </w:r>
      <w:r>
        <w:t xml:space="preserve">jeśli Waldek</w:t>
      </w:r>
      <w:r>
        <w:t xml:space="preserve"> </w:t>
      </w:r>
      <w:r>
        <w:rPr>
          <w:iCs/>
          <w:i/>
        </w:rPr>
        <w:t xml:space="preserve">wiedząc</w:t>
      </w:r>
      <w:r>
        <w:t xml:space="preserve">, że JDG Mateusza służy oszukańczym schematom inwestycyjnym, udostępnił mu swoją infrastrukturę (adresy e-mail, stronę internetową, markę), wówczas powstaje argument za pomocnictwem. Świadome udostępnienie struktury JDG, która stanowiła warunek konieczny do przyjęcia Państwa środków, spełnia przesłanki art. 422 k.c. Kluczowe jest jednak wykazanie</w:t>
      </w:r>
      <w:r>
        <w:t xml:space="preserve"> </w:t>
      </w:r>
      <w:r>
        <w:rPr>
          <w:iCs/>
          <w:i/>
        </w:rPr>
        <w:t xml:space="preserve">wiedzy</w:t>
      </w:r>
      <w:r>
        <w:t xml:space="preserve"> </w:t>
      </w:r>
      <w:r>
        <w:t xml:space="preserve">— bez niej teoria upada.</w:t>
      </w:r>
    </w:p>
    <w:p>
      <w:pPr>
        <w:pStyle w:val="BodyText"/>
      </w:pPr>
      <w:r>
        <w:t xml:space="preserve">Teoria pomocnictwa ma jednak przewagę nad teorią</w:t>
      </w:r>
      <w:r>
        <w:t xml:space="preserve"> </w:t>
      </w:r>
      <w:r>
        <w:t xml:space="preserve">“</w:t>
      </w:r>
      <w:r>
        <w:t xml:space="preserve">świadomego skorzystania</w:t>
      </w:r>
      <w:r>
        <w:t xml:space="preserve">”</w:t>
      </w:r>
      <w:r>
        <w:t xml:space="preserve"> </w:t>
      </w:r>
      <w:r>
        <w:t xml:space="preserve">z perspektywy dowodowej: wystarcza wykazanie zamiaru ewentualnego (dolus eventualis), a nie pozytywnej wiedzy. Jeśli zatem istnieją dowody, że Waldek przewidywał możliwość wykorzystania JDG do celów oszukańczych i zaakceptował to ryzyko — nawet bez pewności, że do oszustwa faktycznie dojdzie — przesłanka subiektywna zostaje spełniona. Praktycznie oznacza to, że długotrwałe udostępnianie infrastruktury firmowej w kontekście, w którym pojawiały się wcześniej skargi czy nieprawidłowości, może stanowić podstawę do przypisania zamiaru ewentualnego.</w:t>
      </w:r>
    </w:p>
    <w:bookmarkEnd w:id="82"/>
    <w:bookmarkStart w:id="83" w:name="X0deaaff2247407320aac548a7105511451c062a"/>
    <w:p>
      <w:pPr>
        <w:pStyle w:val="Heading4"/>
      </w:pPr>
      <w:r>
        <w:t xml:space="preserve">4.2.2. Świadome skorzystanie (art. 422 k.c. in fine) — siła: UMIARKOWANA do SŁABEJ</w:t>
      </w:r>
    </w:p>
    <w:p>
      <w:pPr>
        <w:pStyle w:val="FirstParagraph"/>
      </w:pPr>
      <w:r>
        <w:t xml:space="preserve">Trzeci wariant art. 422 k.c. wymaga wykazania, że Waldek</w:t>
      </w:r>
      <w:r>
        <w:t xml:space="preserve"> </w:t>
      </w:r>
      <w:r>
        <w:t xml:space="preserve">“</w:t>
      </w:r>
      <w:r>
        <w:t xml:space="preserve">świadomie skorzystał</w:t>
      </w:r>
      <w:r>
        <w:t xml:space="preserve">”</w:t>
      </w:r>
      <w:r>
        <w:t xml:space="preserve"> </w:t>
      </w:r>
      <w:r>
        <w:t xml:space="preserve">ze szkody. Sąd Najwyższy w uchwale III CZP 89/17 (21 grudnia 2017 r.) postawił bardzo wysoką poprzeczkę:</w:t>
      </w:r>
      <w:r>
        <w:t xml:space="preserve"> </w:t>
      </w:r>
      <w:r>
        <w:t xml:space="preserve">“</w:t>
      </w:r>
      <w:r>
        <w:t xml:space="preserve">Świadomie korzysta z wyrządzonej drugiemu szkody (art. 422 k.c.) ten, kto wie, że odnosi korzyść z cudzego czynu niedozwolonego</w:t>
      </w:r>
      <w:r>
        <w:t xml:space="preserve">”</w:t>
      </w:r>
      <w:r>
        <w:t xml:space="preserve"> </w:t>
      </w:r>
      <w:fldSimple w:instr="NOTEREF _Ref_Footnote_65 \h \f">
        <w:r>
          <w:rPr>
            <w:vertAlign w:val="superscript"/>
          </w:rPr>
          <w:t>65</w:t>
        </w:r>
      </w:fldSimple>
      <w:r>
        <w:t xml:space="preserve">. SN orzekł, że:</w:t>
      </w:r>
    </w:p>
    <w:p>
      <w:pPr>
        <w:numPr>
          <w:ilvl w:val="0"/>
          <w:numId w:val="1002"/>
        </w:numPr>
        <w:pStyle w:val="Compact"/>
      </w:pPr>
      <w:r>
        <w:t xml:space="preserve">Wymagana jest</w:t>
      </w:r>
      <w:r>
        <w:t xml:space="preserve"> </w:t>
      </w:r>
      <w:r>
        <w:rPr>
          <w:bCs/>
          <w:b/>
        </w:rPr>
        <w:t xml:space="preserve">pozytywna wiedza</w:t>
      </w:r>
      <w:r>
        <w:t xml:space="preserve"> </w:t>
      </w:r>
      <w:r>
        <w:t xml:space="preserve">(wiedza rzeczywista), a nie jedynie zaniedbanie czy możliwość podejrzeń</w:t>
      </w:r>
      <w:r>
        <w:t xml:space="preserve"> </w:t>
      </w:r>
      <w:fldSimple w:instr="NOTEREF _Ref_Footnote_5 \h \f">
        <w:r>
          <w:rPr>
            <w:vertAlign w:val="superscript"/>
          </w:rPr>
          <w:t>5</w:t>
        </w:r>
      </w:fldSimple>
      <w:r>
        <w:t xml:space="preserve">.</w:t>
      </w:r>
    </w:p>
    <w:p>
      <w:pPr>
        <w:numPr>
          <w:ilvl w:val="0"/>
          <w:numId w:val="1002"/>
        </w:numPr>
        <w:pStyle w:val="Compact"/>
      </w:pPr>
      <w:r>
        <w:t xml:space="preserve">“</w:t>
      </w:r>
      <w:r>
        <w:t xml:space="preserve">By pociągnąć korzystającego do odpowiedzialności nie wystarczy udowodnienie, że jedynie mógł on mieć podejrzenie dotyczące źródła wzbogacenia (nie wystarczy jego niedbalstwo – wina nieumyślna)</w:t>
      </w:r>
      <w:r>
        <w:t xml:space="preserve">”</w:t>
      </w:r>
      <w:r>
        <w:t xml:space="preserve"> </w:t>
      </w:r>
      <w:fldSimple w:instr="NOTEREF _Ref_Footnote_5 \h \f">
        <w:r>
          <w:rPr>
            <w:vertAlign w:val="superscript"/>
          </w:rPr>
          <w:t>5</w:t>
        </w:r>
      </w:fldSimple>
      <w:r>
        <w:t xml:space="preserve">.</w:t>
      </w:r>
    </w:p>
    <w:p>
      <w:pPr>
        <w:numPr>
          <w:ilvl w:val="0"/>
          <w:numId w:val="1002"/>
        </w:numPr>
        <w:pStyle w:val="Compact"/>
      </w:pPr>
      <w:r>
        <w:t xml:space="preserve">Przepis podlega ścisłej wykładni</w:t>
      </w:r>
      <w:r>
        <w:t xml:space="preserve"> </w:t>
      </w:r>
      <w:fldSimple w:instr="NOTEREF _Ref_Footnote_5 \h \f">
        <w:r>
          <w:rPr>
            <w:vertAlign w:val="superscript"/>
          </w:rPr>
          <w:t>5</w:t>
        </w:r>
      </w:fldSimple>
      <w:r>
        <w:t xml:space="preserve">.</w:t>
      </w:r>
    </w:p>
    <w:p>
      <w:pPr>
        <w:numPr>
          <w:ilvl w:val="0"/>
          <w:numId w:val="1002"/>
        </w:numPr>
        <w:pStyle w:val="Compact"/>
      </w:pPr>
      <w:r>
        <w:t xml:space="preserve">“</w:t>
      </w:r>
      <w:r>
        <w:t xml:space="preserve">Przy tym samym stanie faktycznym dany czyn może podpadać pod odpowiedzialność z art. 292 k.k. [paserstwo nieumyślne] a jednocześnie nie rodzić konsekwencji z art. 422 in fine k.c.</w:t>
      </w:r>
      <w:r>
        <w:t xml:space="preserve">”</w:t>
      </w:r>
      <w:r>
        <w:t xml:space="preserve"> </w:t>
      </w:r>
      <w:fldSimple w:instr="NOTEREF _Ref_Footnote_5 \h \f">
        <w:r>
          <w:rPr>
            <w:vertAlign w:val="superscript"/>
          </w:rPr>
          <w:t>5</w:t>
        </w:r>
      </w:fldSimple>
      <w:r>
        <w:t xml:space="preserve">.</w:t>
      </w:r>
    </w:p>
    <w:p>
      <w:pPr>
        <w:pStyle w:val="FirstParagraph"/>
      </w:pPr>
      <w:r>
        <w:rPr>
          <w:bCs/>
          <w:b/>
        </w:rPr>
        <w:t xml:space="preserve">Zastosowanie do Waldeka:</w:t>
      </w:r>
      <w:r>
        <w:t xml:space="preserve"> </w:t>
      </w:r>
      <w:r>
        <w:t xml:space="preserve">jeśli Waldek faktycznie otrzymał część środków od Mateusza i</w:t>
      </w:r>
      <w:r>
        <w:t xml:space="preserve"> </w:t>
      </w:r>
      <w:r>
        <w:rPr>
          <w:iCs/>
          <w:i/>
        </w:rPr>
        <w:t xml:space="preserve">wiedział</w:t>
      </w:r>
      <w:r>
        <w:t xml:space="preserve">, że pochodzą one z oszustwa — teoria ta znajduje zastosowanie. Jednak bez dowodu rzeczywistej wiedzy sąd odmówi zasądzenia. Obowiązkiem dowodowym jest wykazanie, że Waldek</w:t>
      </w:r>
      <w:r>
        <w:t xml:space="preserve"> </w:t>
      </w:r>
      <w:r>
        <w:t xml:space="preserve">“</w:t>
      </w:r>
      <w:r>
        <w:t xml:space="preserve">wiedział</w:t>
      </w:r>
      <w:r>
        <w:t xml:space="preserve">”</w:t>
      </w:r>
      <w:r>
        <w:t xml:space="preserve"> </w:t>
      </w:r>
      <w:r>
        <w:t xml:space="preserve">— a nie że</w:t>
      </w:r>
      <w:r>
        <w:t xml:space="preserve"> </w:t>
      </w:r>
      <w:r>
        <w:t xml:space="preserve">“</w:t>
      </w:r>
      <w:r>
        <w:t xml:space="preserve">powinien był wiedzieć</w:t>
      </w:r>
      <w:r>
        <w:t xml:space="preserve">”</w:t>
      </w:r>
      <w:r>
        <w:t xml:space="preserve">.</w:t>
      </w:r>
    </w:p>
    <w:p>
      <w:pPr>
        <w:pStyle w:val="BodyText"/>
      </w:pPr>
      <w:r>
        <w:t xml:space="preserve">Należy podkreślić istotną zaletę art. 422 k.c.: pociągnięcie takiej osoby do odpowiedzialności odszkodowawczej jest możliwe w procesie cywilnym</w:t>
      </w:r>
      <w:r>
        <w:t xml:space="preserve"> </w:t>
      </w:r>
      <w:r>
        <w:rPr>
          <w:iCs/>
          <w:i/>
        </w:rPr>
        <w:t xml:space="preserve">nawet wtedy, gdy sąd karny prawomocnie uniewinnił tę osobę</w:t>
      </w:r>
      <w:r>
        <w:t xml:space="preserve"> </w:t>
      </w:r>
      <w:fldSimple w:instr="NOTEREF _Ref_Footnote_68 \h \f">
        <w:r>
          <w:rPr>
            <w:vertAlign w:val="superscript"/>
          </w:rPr>
          <w:t>68</w:t>
        </w:r>
      </w:fldSimple>
      <w:r>
        <w:t xml:space="preserve">. Skazanie karne wiąże sąd cywilny co do faktu popełnienia przestępstwa (art. 11 k.p.c.), jednak osoba, która nie była oskarżona, może powoływać się na wszelkie okoliczności wyłączające lub ograniczające jej odpowiedzialność cywilną</w:t>
      </w:r>
      <w:r>
        <w:t xml:space="preserve"> </w:t>
      </w:r>
      <w:fldSimple w:instr="NOTEREF _Ref_Footnote_62 \h \f">
        <w:r>
          <w:rPr>
            <w:vertAlign w:val="superscript"/>
          </w:rPr>
          <w:t>62</w:t>
        </w:r>
      </w:fldSimple>
      <w:r>
        <w:t xml:space="preserve">.</w:t>
      </w:r>
    </w:p>
    <w:bookmarkEnd w:id="83"/>
    <w:bookmarkEnd w:id="84"/>
    <w:bookmarkStart w:id="87" w:name="X6cda196e40cffedb25c7505ac65f7fb5d09e432"/>
    <w:p>
      <w:pPr>
        <w:pStyle w:val="Heading3"/>
      </w:pPr>
      <w:r>
        <w:t xml:space="preserve">4.3. Bezpodstawne wzbogacenie (art. 405 k.c.) — siła: SŁABA</w:t>
      </w:r>
    </w:p>
    <w:p>
      <w:pPr>
        <w:pStyle w:val="FirstParagraph"/>
      </w:pPr>
      <w:r>
        <w:t xml:space="preserve">Art. 405 k.c. stanowi:</w:t>
      </w:r>
      <w:r>
        <w:t xml:space="preserve"> </w:t>
      </w:r>
      <w:r>
        <w:t xml:space="preserve">“</w:t>
      </w:r>
      <w:r>
        <w:t xml:space="preserve">Kto bez podstawy prawnej uzyskał korzyść majątkową kosztem innej osoby, obowiązany jest do wydania korzyści w naturze, a gdyby to nie było możliwe, do zwrotu jej wartości.</w:t>
      </w:r>
      <w:r>
        <w:t xml:space="preserve">”</w:t>
      </w:r>
      <w:r>
        <w:t xml:space="preserve"> </w:t>
      </w:r>
      <w:fldSimple w:instr="NOTEREF _Ref_Footnote_20 \h \f">
        <w:r>
          <w:rPr>
            <w:vertAlign w:val="superscript"/>
          </w:rPr>
          <w:t>20</w:t>
        </w:r>
      </w:fldSimple>
      <w:r>
        <w:t xml:space="preserve">Przesłanki obejmują: (1) wzbogacenie, (2) zubożenie, (3) związek między wzbogaceniem a zubożeniem, (4) brak podstawy prawnej</w:t>
      </w:r>
      <w:r>
        <w:t xml:space="preserve"> </w:t>
      </w:r>
      <w:r>
        <w:rPr>
          <w:vertAlign w:val="superscript"/>
        </w:rPr>
        <w:footnoteReference w:id="74"/>
      </w:r>
      <w:r>
        <w:t xml:space="preserve">.</w:t>
      </w:r>
    </w:p>
    <w:bookmarkStart w:id="85" w:name="bariera-kosztem-innej-osoby"/>
    <w:p>
      <w:pPr>
        <w:pStyle w:val="Heading4"/>
      </w:pPr>
      <w:r>
        <w:t xml:space="preserve">4.3.1. Bariera</w:t>
      </w:r>
      <w:r>
        <w:t xml:space="preserve"> </w:t>
      </w:r>
      <w:r>
        <w:t xml:space="preserve">“</w:t>
      </w:r>
      <w:r>
        <w:t xml:space="preserve">kosztem innej osoby</w:t>
      </w:r>
      <w:r>
        <w:t xml:space="preserve">”</w:t>
      </w:r>
    </w:p>
    <w:p>
      <w:pPr>
        <w:pStyle w:val="FirstParagraph"/>
      </w:pPr>
      <w:r>
        <w:t xml:space="preserve">Główną przeszkodą w zastosowaniu art. 405 k.c. w Państwa sprawie jest wymóg, by wzbogacenie nastąpiło</w:t>
      </w:r>
      <w:r>
        <w:t xml:space="preserve"> </w:t>
      </w:r>
      <w:r>
        <w:t xml:space="preserve">“</w:t>
      </w:r>
      <w:r>
        <w:t xml:space="preserve">kosztem innej osoby</w:t>
      </w:r>
      <w:r>
        <w:t xml:space="preserve">”</w:t>
      </w:r>
      <w:r>
        <w:t xml:space="preserve">. Państwo uiścili środki na konto JDG Mateusza — nie bezpośrednio na konto Waldeka. Sąd Najwyższy w wyroku III CSKP 59/21 (24 lutego 2021 r.) przyjął restrykcyjne stanowisko:</w:t>
      </w:r>
      <w:r>
        <w:t xml:space="preserve"> </w:t>
      </w:r>
      <w:r>
        <w:t xml:space="preserve">“</w:t>
      </w:r>
      <w:r>
        <w:t xml:space="preserve">do bezpodstawnego wzbogacenia nie może dojść wskutek czynności prawnych dokonywanych przez osoby trzecie</w:t>
      </w:r>
      <w:r>
        <w:t xml:space="preserve">”</w:t>
      </w:r>
      <w:r>
        <w:t xml:space="preserve"> </w:t>
      </w:r>
      <w:fldSimple w:instr="NOTEREF _Ref_Footnote_21 \h \f">
        <w:r>
          <w:rPr>
            <w:vertAlign w:val="superscript"/>
          </w:rPr>
          <w:t>21</w:t>
        </w:r>
      </w:fldSimple>
      <w:r>
        <w:t xml:space="preserve">. Gdy środki przepływają przez pośrednika (konto Mateusza), łańcuch przyczynowy</w:t>
      </w:r>
      <w:r>
        <w:t xml:space="preserve"> </w:t>
      </w:r>
      <w:r>
        <w:t xml:space="preserve">“</w:t>
      </w:r>
      <w:r>
        <w:t xml:space="preserve">kosztem</w:t>
      </w:r>
      <w:r>
        <w:t xml:space="preserve">”</w:t>
      </w:r>
      <w:r>
        <w:t xml:space="preserve"> </w:t>
      </w:r>
      <w:r>
        <w:t xml:space="preserve">zostaje przerwany.</w:t>
      </w:r>
    </w:p>
    <w:p>
      <w:pPr>
        <w:pStyle w:val="BodyText"/>
      </w:pPr>
      <w:r>
        <w:t xml:space="preserve">SA Białystok w wyroku I ACa 765/13 przyjął nieco elastyczniejsze podejście, dopuszczając bezpodstawne wzbogacenie pośrednie, jednak sprawa dotyczyła bezpośredniego błędnego przelewu, a nie wieloetapowego oszustwa</w:t>
      </w:r>
      <w:r>
        <w:t xml:space="preserve"> </w:t>
      </w:r>
      <w:r>
        <w:rPr>
          <w:vertAlign w:val="superscript"/>
        </w:rPr>
        <w:footnoteReference w:id="75"/>
      </w:r>
      <w:r>
        <w:t xml:space="preserve">.</w:t>
      </w:r>
    </w:p>
    <w:bookmarkEnd w:id="85"/>
    <w:bookmarkStart w:id="86" w:name="art.-407-k.c.-jako-ścieżka-pośrednia"/>
    <w:p>
      <w:pPr>
        <w:pStyle w:val="Heading4"/>
      </w:pPr>
      <w:r>
        <w:t xml:space="preserve">4.3.2. Art. 407 k.c. jako ścieżka pośrednia</w:t>
      </w:r>
    </w:p>
    <w:p>
      <w:pPr>
        <w:pStyle w:val="FirstParagraph"/>
      </w:pPr>
      <w:r>
        <w:t xml:space="preserve">Art. 407 k.c. przewiduje, że jeśli wzbogacony</w:t>
      </w:r>
      <w:r>
        <w:t xml:space="preserve"> </w:t>
      </w:r>
      <w:r>
        <w:t xml:space="preserve">“</w:t>
      </w:r>
      <w:r>
        <w:t xml:space="preserve">rozporządził na rzecz osoby trzeciej bezpłatnie, obowiązek wydania korzyści przechodzi na tę osobę trzecią</w:t>
      </w:r>
      <w:r>
        <w:t xml:space="preserve">”</w:t>
      </w:r>
      <w:r>
        <w:t xml:space="preserve"> </w:t>
      </w:r>
      <w:fldSimple w:instr="NOTEREF _Ref_Footnote_48 \h \f">
        <w:r>
          <w:rPr>
            <w:vertAlign w:val="superscript"/>
          </w:rPr>
          <w:t>48</w:t>
        </w:r>
      </w:fldSimple>
      <w:r>
        <w:t xml:space="preserve">. Teoria ta zadziałałaby, gdyby: (1) Mateusz został uznany za bezpodstawnie wzbogaconego, i (2) Mateusz</w:t>
      </w:r>
      <w:r>
        <w:t xml:space="preserve"> </w:t>
      </w:r>
      <w:r>
        <w:rPr>
          <w:iCs/>
          <w:i/>
        </w:rPr>
        <w:t xml:space="preserve">bezpłatnie</w:t>
      </w:r>
      <w:r>
        <w:t xml:space="preserve"> </w:t>
      </w:r>
      <w:r>
        <w:t xml:space="preserve">przekazał środki Waldkowi. Jeśli Waldek świadczył jakąkolwiek usługę w zamian (np. obsługę techniczną), przesłanka</w:t>
      </w:r>
      <w:r>
        <w:t xml:space="preserve"> </w:t>
      </w:r>
      <w:r>
        <w:t xml:space="preserve">“</w:t>
      </w:r>
      <w:r>
        <w:t xml:space="preserve">bezpłatnie</w:t>
      </w:r>
      <w:r>
        <w:t xml:space="preserve">”</w:t>
      </w:r>
      <w:r>
        <w:t xml:space="preserve"> </w:t>
      </w:r>
      <w:r>
        <w:t xml:space="preserve">nie będzie spełniona.</w:t>
      </w:r>
    </w:p>
    <w:p>
      <w:pPr>
        <w:pStyle w:val="BodyText"/>
      </w:pPr>
      <w:r>
        <w:rPr>
          <w:bCs/>
          <w:b/>
        </w:rPr>
        <w:t xml:space="preserve">Ocena ogólna:</w:t>
      </w:r>
      <w:r>
        <w:t xml:space="preserve"> </w:t>
      </w:r>
      <w:r>
        <w:t xml:space="preserve">bezpodstawne wzbogacenie jest słabą teorią w Państwa sprawie ze względu na przełamanie łańcucha</w:t>
      </w:r>
      <w:r>
        <w:t xml:space="preserve"> </w:t>
      </w:r>
      <w:r>
        <w:t xml:space="preserve">“</w:t>
      </w:r>
      <w:r>
        <w:t xml:space="preserve">kosztem innej osoby</w:t>
      </w:r>
      <w:r>
        <w:t xml:space="preserve">”</w:t>
      </w:r>
      <w:r>
        <w:t xml:space="preserve"> </w:t>
      </w:r>
      <w:r>
        <w:t xml:space="preserve">przez płatność na konto Mateusza. Nawet przy dowodzie przepływu środków od Mateusza do Waldeka, restrykcyjne stanowisko SN znacząco utrudnia skuteczne powołanie się na ten przepis.</w:t>
      </w:r>
    </w:p>
    <w:bookmarkEnd w:id="86"/>
    <w:bookmarkEnd w:id="87"/>
    <w:bookmarkStart w:id="88" w:name="X61ef3820361ce8aaf1b10960c07b015691e3c6f"/>
    <w:p>
      <w:pPr>
        <w:pStyle w:val="Heading3"/>
      </w:pPr>
      <w:r>
        <w:t xml:space="preserve">4.4. Firmanctwo (art. 43 k.c. w zw. z art. 113 Ordynacji Podatkowej) — siła: BARDZO SŁABA</w:t>
      </w:r>
    </w:p>
    <w:p>
      <w:pPr>
        <w:pStyle w:val="FirstParagraph"/>
      </w:pPr>
      <w:r>
        <w:t xml:space="preserve">Firmanctwo (prowadzenie działalności gospodarczej pod cudzą firmą) jest w polskim porządku prawnym instytucją głównie podatkową i karnoskarbową, a nie cywilną.</w:t>
      </w:r>
    </w:p>
    <w:p>
      <w:pPr>
        <w:pStyle w:val="BodyText"/>
      </w:pPr>
      <w:r>
        <w:t xml:space="preserve">Art. 43 § 1 k.c. stanowi jedynie, że</w:t>
      </w:r>
      <w:r>
        <w:t xml:space="preserve"> </w:t>
      </w:r>
      <w:r>
        <w:t xml:space="preserve">“</w:t>
      </w:r>
      <w:r>
        <w:t xml:space="preserve">firma nie może być zbyta</w:t>
      </w:r>
      <w:r>
        <w:t xml:space="preserve">”</w:t>
      </w:r>
      <w:r>
        <w:t xml:space="preserve"> </w:t>
      </w:r>
      <w:fldSimple w:instr="NOTEREF _Ref_Footnote_50 \h \f">
        <w:r>
          <w:rPr>
            <w:vertAlign w:val="superscript"/>
          </w:rPr>
          <w:t>50</w:t>
        </w:r>
      </w:fldSimple>
      <w:r>
        <w:t xml:space="preserve">, a § 2 dodaje, że przedsiębiorca może upoważnić innego do korzystania ze swej firmy,</w:t>
      </w:r>
      <w:r>
        <w:t xml:space="preserve"> </w:t>
      </w:r>
      <w:r>
        <w:t xml:space="preserve">“</w:t>
      </w:r>
      <w:r>
        <w:t xml:space="preserve">jeżeli nie wprowadza to w błąd</w:t>
      </w:r>
      <w:r>
        <w:t xml:space="preserve">”</w:t>
      </w:r>
      <w:r>
        <w:t xml:space="preserve"> </w:t>
      </w:r>
      <w:fldSimple w:instr="NOTEREF _Ref_Footnote_50 \h \f">
        <w:r>
          <w:rPr>
            <w:vertAlign w:val="superscript"/>
          </w:rPr>
          <w:t>50</w:t>
        </w:r>
      </w:fldSimple>
      <w:r>
        <w:t xml:space="preserve">. Przepis ten reguluje wyłącznie samą firmę (nazwę) jako dobro osobiste — nie tworzy odpowiedzialności cywilnej wobec osób trzecich za szkody wynikłe z działalności prowadzonej pod tą firmą.</w:t>
      </w:r>
    </w:p>
    <w:p>
      <w:pPr>
        <w:pStyle w:val="BodyText"/>
      </w:pPr>
      <w:r>
        <w:t xml:space="preserve">Art. 113 Ordynacji Podatkowej tworzy solidarną odpowiedzialność — ale wyłącznie za zaległości podatkowe:</w:t>
      </w:r>
      <w:r>
        <w:t xml:space="preserve"> </w:t>
      </w:r>
      <w:r>
        <w:t xml:space="preserve">“</w:t>
      </w:r>
      <w:r>
        <w:t xml:space="preserve">osoba ta ponosi solidarną odpowiedzialność z podatnikiem całym swoim majątkiem za zaległości podatkowe powstałe podczas prowadzenia tej działalności</w:t>
      </w:r>
      <w:r>
        <w:t xml:space="preserve">”</w:t>
      </w:r>
      <w:r>
        <w:t xml:space="preserve"> </w:t>
      </w:r>
      <w:r>
        <w:rPr>
          <w:vertAlign w:val="superscript"/>
        </w:rPr>
        <w:footnoteReference w:id="76"/>
      </w:r>
      <w:r>
        <w:t xml:space="preserve">. Nie przewiduje natomiast odpowiedzialności za szkody cywilnoprawne wynikłe z oszustwa. Doktryna jest tu jednoznaczna:</w:t>
      </w:r>
      <w:r>
        <w:t xml:space="preserve"> </w:t>
      </w:r>
      <w:r>
        <w:t xml:space="preserve">“</w:t>
      </w:r>
      <w:r>
        <w:t xml:space="preserve">Regulacje prawne dotyczące firmanctwa i jego konsekwencji dla obu podmiotów są w polskim porządku prawnym niezwykle skromne. Tak naprawdę sprowadzają się wyłącznie do dwóch przepisów – jednego wprowadzonego do Ordynacji podatkowej oraz drugiego – określającego odpowiedzialność karną za posłużenie się cudzym nazwiskiem w prowadzeniu działalności – do Kodeksu karnego skarbowego</w:t>
      </w:r>
      <w:r>
        <w:t xml:space="preserve">”</w:t>
      </w:r>
      <w:r>
        <w:t xml:space="preserve"> </w:t>
      </w:r>
      <w:fldSimple w:instr="NOTEREF _Ref_Footnote_22 \h \f">
        <w:r>
          <w:rPr>
            <w:vertAlign w:val="superscript"/>
          </w:rPr>
          <w:t>22</w:t>
        </w:r>
      </w:fldSimple>
      <w:r>
        <w:t xml:space="preserve">.</w:t>
      </w:r>
    </w:p>
    <w:p>
      <w:pPr>
        <w:pStyle w:val="BodyText"/>
      </w:pPr>
      <w:r>
        <w:t xml:space="preserve">Teoria oparta na firmanctwie jest zatem bardzo słaba jako samodzielna podstawa roszczenia cywilnego od oszustwa. Firmanctwo może co najwyżej stanowić</w:t>
      </w:r>
      <w:r>
        <w:t xml:space="preserve"> </w:t>
      </w:r>
      <w:r>
        <w:rPr>
          <w:iCs/>
          <w:i/>
        </w:rPr>
        <w:t xml:space="preserve">czynnik wspomagający</w:t>
      </w:r>
      <w:r>
        <w:t xml:space="preserve"> </w:t>
      </w:r>
      <w:r>
        <w:t xml:space="preserve">inne teorie (np. jako dowód świadomego udziału w strukturze dezyderowanej), ale samo w sobie nie tworzy cywilnej odpowiedzialności odszkodowawczej.</w:t>
      </w:r>
    </w:p>
    <w:bookmarkEnd w:id="88"/>
    <w:bookmarkStart w:id="89" w:name="Xfe9d264cd69f2deae06fdccf4c73ba4a207b637"/>
    <w:p>
      <w:pPr>
        <w:pStyle w:val="Heading3"/>
      </w:pPr>
      <w:r>
        <w:t xml:space="preserve">4.5. Działanie faktyczne (de facto operation) — siła: SŁABA</w:t>
      </w:r>
    </w:p>
    <w:p>
      <w:pPr>
        <w:pStyle w:val="FirstParagraph"/>
      </w:pPr>
      <w:r>
        <w:t xml:space="preserve">Koncepcja</w:t>
      </w:r>
      <w:r>
        <w:t xml:space="preserve"> </w:t>
      </w:r>
      <w:r>
        <w:t xml:space="preserve">“</w:t>
      </w:r>
      <w:r>
        <w:t xml:space="preserve">działania faktycznego</w:t>
      </w:r>
      <w:r>
        <w:t xml:space="preserve">”</w:t>
      </w:r>
      <w:r>
        <w:t xml:space="preserve"> </w:t>
      </w:r>
      <w:r>
        <w:t xml:space="preserve">(de facto operation of another’s business) oznacza sytuację, w której jedna osoba faktycznie prowadzi działalność gospodarczą zarejestrowaną na inną osobę. W polskim prawie koncepcja ta jest rozwinięta w kontekście podatkowym (firmanctwo: firmant jako faktyczny operator, firmujący jako właściciel rejestrowy)</w:t>
      </w:r>
      <w:r>
        <w:t xml:space="preserve"> </w:t>
      </w:r>
      <w:fldSimple w:instr="NOTEREF _Ref_Footnote_22 \h \f">
        <w:r>
          <w:rPr>
            <w:vertAlign w:val="superscript"/>
          </w:rPr>
          <w:t>22</w:t>
        </w:r>
      </w:fldSimple>
      <w:r>
        <w:t xml:space="preserve">oraz karnoskarbowym (art. 55 k.k.s.: penalizacja firmanta za posłużenie się cudzą tożsamością)</w:t>
      </w:r>
      <w:r>
        <w:t xml:space="preserve"> </w:t>
      </w:r>
      <w:r>
        <w:rPr>
          <w:vertAlign w:val="superscript"/>
        </w:rPr>
        <w:footnoteReference w:id="77"/>
      </w:r>
      <w:r>
        <w:t xml:space="preserve">.</w:t>
      </w:r>
    </w:p>
    <w:p>
      <w:pPr>
        <w:pStyle w:val="BodyText"/>
      </w:pPr>
      <w:r>
        <w:t xml:space="preserve">Nie istnieje jednak ugruntowana doktryna ogólnego prawa cywilnego, zgodnie z którą osoba faktycznie prowadząca cudzą jednoosobową działalność gospodarczą ponosiłaby</w:t>
      </w:r>
      <w:r>
        <w:t xml:space="preserve"> </w:t>
      </w:r>
      <w:r>
        <w:rPr>
          <w:iCs/>
          <w:i/>
        </w:rPr>
        <w:t xml:space="preserve">bezpośrednią</w:t>
      </w:r>
      <w:r>
        <w:t xml:space="preserve"> </w:t>
      </w:r>
      <w:r>
        <w:t xml:space="preserve">odpowiedzialność cywilną wobec kontrahentów tej działalności. Prowadzenie działalności gospodarczej wymaga działania</w:t>
      </w:r>
      <w:r>
        <w:t xml:space="preserve"> </w:t>
      </w:r>
      <w:r>
        <w:t xml:space="preserve">“</w:t>
      </w:r>
      <w:r>
        <w:t xml:space="preserve">we własnym imieniu i na własny rachunek</w:t>
      </w:r>
      <w:r>
        <w:t xml:space="preserve">”</w:t>
      </w:r>
      <w:r>
        <w:t xml:space="preserve"> </w:t>
      </w:r>
      <w:r>
        <w:rPr>
          <w:vertAlign w:val="superscript"/>
        </w:rPr>
        <w:footnoteReference w:id="78"/>
      </w:r>
      <w:r>
        <w:t xml:space="preserve">— Waldek, jeśli faktycznie operował JDG Mateusza, nie działał we własnym imieniu w rozumieniu przepisów o prowadzeniu działalności.</w:t>
      </w:r>
    </w:p>
    <w:p>
      <w:pPr>
        <w:pStyle w:val="BodyText"/>
      </w:pPr>
      <w:r>
        <w:t xml:space="preserve">Choć istnieją odwołania do</w:t>
      </w:r>
      <w:r>
        <w:t xml:space="preserve"> </w:t>
      </w:r>
      <w:r>
        <w:t xml:space="preserve">“</w:t>
      </w:r>
      <w:r>
        <w:t xml:space="preserve">osoby wykonującej czynności faktycznie przynależne prezesowi</w:t>
      </w:r>
      <w:r>
        <w:t xml:space="preserve">”</w:t>
      </w:r>
      <w:r>
        <w:t xml:space="preserve"> </w:t>
      </w:r>
      <w:r>
        <w:t xml:space="preserve">jako odpowiedzialnej na podstawie art. 415 k.c.</w:t>
      </w:r>
      <w:r>
        <w:t xml:space="preserve"> </w:t>
      </w:r>
      <w:fldSimple w:instr="NOTEREF _Ref_Footnote_73 \h \f">
        <w:r>
          <w:rPr>
            <w:vertAlign w:val="superscript"/>
          </w:rPr>
          <w:t>73</w:t>
        </w:r>
      </w:fldSimple>
      <w:r>
        <w:t xml:space="preserve">, dotyczą one ładu korporacyjnego (spółek akcyjnych), a nie struktur JDG. Działanie faktyczne, jako samodzielna teoria odpowiedzialności cywilnej wobec osób trzecich, nie ma wystarczającego oparcia w orzecznictwie i doktrynie.</w:t>
      </w:r>
    </w:p>
    <w:p>
      <w:pPr>
        <w:pStyle w:val="BodyText"/>
      </w:pPr>
      <w:r>
        <w:t xml:space="preserve">Nie oznacza to jednak, że dowody działania faktycznego Waldeka są bezwartościowe. Wręcz przeciwnie — mogą one stanowić cenny element budujący przesłankę świadomości w ramach pomocnictwa (art. 422 k.c.). Jeśli Waldek faktycznie odbierał korespondencję, zarządzał kontem e-mail, aktualizował ofertę na stronie internetowej i podejmował decyzje biznesowe w imieniu JDG Mateusza, trudno będzie Waldkowi utrzymywać, że nie miał żadnej wiedzy o charakterze prowadzonej działalności. W ten sposób dowody działania faktycznego przenoszą się z teorii słabej (samodzielna odpowiedzialność) do teorii umiarkowanej (pomocnictwo oparte na świadomości).</w:t>
      </w:r>
    </w:p>
    <w:bookmarkEnd w:id="89"/>
    <w:bookmarkStart w:id="90" w:name="tabela-podsumowująca-ranking-siły-teorii"/>
    <w:p>
      <w:pPr>
        <w:pStyle w:val="Heading3"/>
      </w:pPr>
      <w:r>
        <w:t xml:space="preserve">4.6. Tabela podsumowująca: ranking siły teorii</w:t>
      </w:r>
    </w:p>
    <w:tbl>
      <w:tblPr>
        <w:tblStyle w:val="Table"/>
        <w:tblW w:type="pct" w:w="5000"/>
        <w:tblLook w:firstRow="1" w:lastRow="0" w:firstColumn="0" w:lastColumn="0" w:noHBand="0" w:noVBand="0" w:val="0020"/>
      </w:tblPr>
      <w:tblGrid>
        <w:gridCol w:w="2084"/>
        <w:gridCol w:w="1250"/>
        <w:gridCol w:w="2084"/>
        <w:gridCol w:w="1250"/>
        <w:gridCol w:w="1250"/>
      </w:tblGrid>
      <w:tr>
        <w:trPr>
          <w:tblHeader w:val="true"/>
        </w:trPr>
        <w:tc>
          <w:tcPr/>
          <w:p>
            <w:pPr>
              <w:pStyle w:val="Compact"/>
              <w:jc w:val="center"/>
            </w:pPr>
            <w:r>
              <w:t xml:space="preserve">Poz.</w:t>
            </w:r>
          </w:p>
        </w:tc>
        <w:tc>
          <w:tcPr/>
          <w:p>
            <w:pPr>
              <w:pStyle w:val="Compact"/>
              <w:jc w:val="left"/>
            </w:pPr>
            <w:r>
              <w:t xml:space="preserve">Teoria</w:t>
            </w:r>
          </w:p>
        </w:tc>
        <w:tc>
          <w:tcPr/>
          <w:p>
            <w:pPr>
              <w:pStyle w:val="Compact"/>
              <w:jc w:val="center"/>
            </w:pPr>
            <w:r>
              <w:t xml:space="preserve">Siła</w:t>
            </w:r>
          </w:p>
        </w:tc>
        <w:tc>
          <w:tcPr/>
          <w:p>
            <w:pPr>
              <w:pStyle w:val="Compact"/>
              <w:jc w:val="left"/>
            </w:pPr>
            <w:r>
              <w:t xml:space="preserve">Kluczowa przesłanka</w:t>
            </w:r>
          </w:p>
        </w:tc>
        <w:tc>
          <w:tcPr/>
          <w:p>
            <w:pPr>
              <w:pStyle w:val="Compact"/>
              <w:jc w:val="left"/>
            </w:pPr>
            <w:r>
              <w:t xml:space="preserve">Kluczowa bariera dowodowa</w:t>
            </w:r>
          </w:p>
        </w:tc>
      </w:tr>
      <w:tr>
        <w:tc>
          <w:tcPr/>
          <w:p>
            <w:pPr>
              <w:pStyle w:val="Compact"/>
              <w:jc w:val="center"/>
            </w:pPr>
            <w:r>
              <w:t xml:space="preserve">1</w:t>
            </w:r>
          </w:p>
        </w:tc>
        <w:tc>
          <w:tcPr/>
          <w:p>
            <w:pPr>
              <w:pStyle w:val="Compact"/>
              <w:jc w:val="left"/>
            </w:pPr>
            <w:r>
              <w:rPr>
                <w:bCs/>
                <w:b/>
              </w:rPr>
              <w:t xml:space="preserve">Art. 422 k.c. — pomocnictwo</w:t>
            </w:r>
          </w:p>
        </w:tc>
        <w:tc>
          <w:tcPr/>
          <w:p>
            <w:pPr>
              <w:pStyle w:val="Compact"/>
              <w:jc w:val="center"/>
            </w:pPr>
            <w:r>
              <w:t xml:space="preserve">UMIARKOWANA</w:t>
            </w:r>
          </w:p>
        </w:tc>
        <w:tc>
          <w:tcPr/>
          <w:p>
            <w:pPr>
              <w:pStyle w:val="Compact"/>
              <w:jc w:val="left"/>
            </w:pPr>
            <w:r>
              <w:t xml:space="preserve">Waldek świadomie ułatwił Mateuszowi popełnienie czynu zabronionego</w:t>
            </w:r>
            <w:r>
              <w:t xml:space="preserve"> </w:t>
            </w:r>
            <w:fldSimple w:instr="NOTEREF _Ref_Footnote_18 \h \f">
              <w:r>
                <w:rPr>
                  <w:vertAlign w:val="superscript"/>
                </w:rPr>
                <w:t>18</w:t>
              </w:r>
            </w:fldSimple>
            <w:r>
              <w:t xml:space="preserve"> </w:t>
            </w:r>
            <w:fldSimple w:instr="NOTEREF _Ref_Footnote_19 \h \f">
              <w:r>
                <w:rPr>
                  <w:vertAlign w:val="superscript"/>
                </w:rPr>
                <w:t>19</w:t>
              </w:r>
            </w:fldSimple>
          </w:p>
        </w:tc>
        <w:tc>
          <w:tcPr/>
          <w:p>
            <w:pPr>
              <w:pStyle w:val="Compact"/>
              <w:jc w:val="left"/>
            </w:pPr>
            <w:r>
              <w:t xml:space="preserve">Wykazanie, że Waldek wiedział, iż JDG służy oszustwu</w:t>
            </w:r>
          </w:p>
        </w:tc>
      </w:tr>
      <w:tr>
        <w:tc>
          <w:tcPr/>
          <w:p>
            <w:pPr>
              <w:pStyle w:val="Compact"/>
              <w:jc w:val="center"/>
            </w:pPr>
            <w:r>
              <w:t xml:space="preserve">2</w:t>
            </w:r>
          </w:p>
        </w:tc>
        <w:tc>
          <w:tcPr/>
          <w:p>
            <w:pPr>
              <w:pStyle w:val="Compact"/>
              <w:jc w:val="left"/>
            </w:pPr>
            <w:r>
              <w:rPr>
                <w:bCs/>
                <w:b/>
              </w:rPr>
              <w:t xml:space="preserve">Art. 415 k.c. — czyn niedozwolony (samodzielne wprowadzenie w błąd)</w:t>
            </w:r>
          </w:p>
        </w:tc>
        <w:tc>
          <w:tcPr/>
          <w:p>
            <w:pPr>
              <w:pStyle w:val="Compact"/>
              <w:jc w:val="center"/>
            </w:pPr>
            <w:r>
              <w:t xml:space="preserve">UMIARKOWANA</w:t>
            </w:r>
          </w:p>
        </w:tc>
        <w:tc>
          <w:tcPr/>
          <w:p>
            <w:pPr>
              <w:pStyle w:val="Compact"/>
              <w:jc w:val="left"/>
            </w:pPr>
            <w:r>
              <w:t xml:space="preserve">Waldek osobiście wprowadził Państwa w błąd</w:t>
            </w:r>
            <w:r>
              <w:t xml:space="preserve"> </w:t>
            </w:r>
            <w:fldSimple w:instr="NOTEREF _Ref_Footnote_73 \h \f">
              <w:r>
                <w:rPr>
                  <w:vertAlign w:val="superscript"/>
                </w:rPr>
                <w:t>73</w:t>
              </w:r>
            </w:fldSimple>
            <w:r>
              <w:t xml:space="preserve"> </w:t>
            </w:r>
            <w:fldSimple w:instr="NOTEREF _Ref_Footnote_17 \h \f">
              <w:r>
                <w:rPr>
                  <w:vertAlign w:val="superscript"/>
                </w:rPr>
                <w:t>17</w:t>
              </w:r>
            </w:fldSimple>
          </w:p>
        </w:tc>
        <w:tc>
          <w:tcPr/>
          <w:p>
            <w:pPr>
              <w:pStyle w:val="Compact"/>
              <w:jc w:val="left"/>
            </w:pPr>
            <w:r>
              <w:t xml:space="preserve">Dowód bezpośredniej komunikacji z nieprawdziwymi zapewnieniami</w:t>
            </w:r>
          </w:p>
        </w:tc>
      </w:tr>
      <w:tr>
        <w:tc>
          <w:tcPr/>
          <w:p>
            <w:pPr>
              <w:pStyle w:val="Compact"/>
              <w:jc w:val="center"/>
            </w:pPr>
            <w:r>
              <w:t xml:space="preserve">3</w:t>
            </w:r>
          </w:p>
        </w:tc>
        <w:tc>
          <w:tcPr/>
          <w:p>
            <w:pPr>
              <w:pStyle w:val="Compact"/>
              <w:jc w:val="left"/>
            </w:pPr>
            <w:r>
              <w:rPr>
                <w:bCs/>
                <w:b/>
              </w:rPr>
              <w:t xml:space="preserve">Art. 422 k.c. in fine — świadome skorzystanie</w:t>
            </w:r>
          </w:p>
        </w:tc>
        <w:tc>
          <w:tcPr/>
          <w:p>
            <w:pPr>
              <w:pStyle w:val="Compact"/>
              <w:jc w:val="center"/>
            </w:pPr>
            <w:r>
              <w:t xml:space="preserve">UMIARKOWANA–SŁABA</w:t>
            </w:r>
          </w:p>
        </w:tc>
        <w:tc>
          <w:tcPr/>
          <w:p>
            <w:pPr>
              <w:pStyle w:val="Compact"/>
              <w:jc w:val="left"/>
            </w:pPr>
            <w:r>
              <w:t xml:space="preserve">Waldek wiedział, że odnosi korzyść z cudzego czynu niedozwolonego</w:t>
            </w:r>
            <w:r>
              <w:t xml:space="preserve"> </w:t>
            </w:r>
            <w:fldSimple w:instr="NOTEREF _Ref_Footnote_65 \h \f">
              <w:r>
                <w:rPr>
                  <w:vertAlign w:val="superscript"/>
                </w:rPr>
                <w:t>65</w:t>
              </w:r>
            </w:fldSimple>
            <w:r>
              <w:t xml:space="preserve"> </w:t>
            </w:r>
            <w:fldSimple w:instr="NOTEREF _Ref_Footnote_5 \h \f">
              <w:r>
                <w:rPr>
                  <w:vertAlign w:val="superscript"/>
                </w:rPr>
                <w:t>5</w:t>
              </w:r>
            </w:fldSimple>
          </w:p>
        </w:tc>
        <w:tc>
          <w:tcPr/>
          <w:p>
            <w:pPr>
              <w:pStyle w:val="Compact"/>
              <w:jc w:val="left"/>
            </w:pPr>
            <w:r>
              <w:t xml:space="preserve">Pozytywna wiedza (nie niedbalstwo) — bardzo wysoki standard dowodowy</w:t>
            </w:r>
          </w:p>
        </w:tc>
      </w:tr>
      <w:tr>
        <w:tc>
          <w:tcPr/>
          <w:p>
            <w:pPr>
              <w:pStyle w:val="Compact"/>
              <w:jc w:val="center"/>
            </w:pPr>
            <w:r>
              <w:t xml:space="preserve">4</w:t>
            </w:r>
          </w:p>
        </w:tc>
        <w:tc>
          <w:tcPr/>
          <w:p>
            <w:pPr>
              <w:pStyle w:val="Compact"/>
              <w:jc w:val="left"/>
            </w:pPr>
            <w:r>
              <w:rPr>
                <w:bCs/>
                <w:b/>
              </w:rPr>
              <w:t xml:space="preserve">Art. 405 k.c. — bezpodstawne wzbogacenie</w:t>
            </w:r>
          </w:p>
        </w:tc>
        <w:tc>
          <w:tcPr/>
          <w:p>
            <w:pPr>
              <w:pStyle w:val="Compact"/>
              <w:jc w:val="center"/>
            </w:pPr>
            <w:r>
              <w:t xml:space="preserve">SŁABA</w:t>
            </w:r>
          </w:p>
        </w:tc>
        <w:tc>
          <w:tcPr/>
          <w:p>
            <w:pPr>
              <w:pStyle w:val="Compact"/>
              <w:jc w:val="left"/>
            </w:pPr>
            <w:r>
              <w:t xml:space="preserve">Wzbogacenie Waldeka nastąpiło kosztem Państwa zubożenia</w:t>
            </w:r>
            <w:r>
              <w:t xml:space="preserve"> </w:t>
            </w:r>
            <w:fldSimple w:instr="NOTEREF _Ref_Footnote_20 \h \f">
              <w:r>
                <w:rPr>
                  <w:vertAlign w:val="superscript"/>
                </w:rPr>
                <w:t>20</w:t>
              </w:r>
            </w:fldSimple>
          </w:p>
        </w:tc>
        <w:tc>
          <w:tcPr/>
          <w:p>
            <w:pPr>
              <w:pStyle w:val="Compact"/>
              <w:jc w:val="left"/>
            </w:pPr>
            <w:r>
              <w:t xml:space="preserve">“</w:t>
            </w:r>
            <w:r>
              <w:t xml:space="preserve">Kosztem innej osoby</w:t>
            </w:r>
            <w:r>
              <w:t xml:space="preserve">”</w:t>
            </w:r>
            <w:r>
              <w:t xml:space="preserve"> </w:t>
            </w:r>
            <w:r>
              <w:t xml:space="preserve">— łańcuch przyczynowy przerwany przez płatność na konto Mateusza</w:t>
            </w:r>
            <w:r>
              <w:t xml:space="preserve"> </w:t>
            </w:r>
            <w:fldSimple w:instr="NOTEREF _Ref_Footnote_21 \h \f">
              <w:r>
                <w:rPr>
                  <w:vertAlign w:val="superscript"/>
                </w:rPr>
                <w:t>21</w:t>
              </w:r>
            </w:fldSimple>
          </w:p>
        </w:tc>
      </w:tr>
      <w:tr>
        <w:tc>
          <w:tcPr/>
          <w:p>
            <w:pPr>
              <w:pStyle w:val="Compact"/>
              <w:jc w:val="center"/>
            </w:pPr>
            <w:r>
              <w:t xml:space="preserve">5</w:t>
            </w:r>
          </w:p>
        </w:tc>
        <w:tc>
          <w:tcPr/>
          <w:p>
            <w:pPr>
              <w:pStyle w:val="Compact"/>
              <w:jc w:val="left"/>
            </w:pPr>
            <w:r>
              <w:rPr>
                <w:bCs/>
                <w:b/>
              </w:rPr>
              <w:t xml:space="preserve">Działanie faktyczne</w:t>
            </w:r>
          </w:p>
        </w:tc>
        <w:tc>
          <w:tcPr/>
          <w:p>
            <w:pPr>
              <w:pStyle w:val="Compact"/>
              <w:jc w:val="center"/>
            </w:pPr>
            <w:r>
              <w:t xml:space="preserve">SŁABA</w:t>
            </w:r>
          </w:p>
        </w:tc>
        <w:tc>
          <w:tcPr/>
          <w:p>
            <w:pPr>
              <w:pStyle w:val="Compact"/>
              <w:jc w:val="left"/>
            </w:pPr>
            <w:r>
              <w:t xml:space="preserve">Waldek faktycznie prowadził JDG Mateusza</w:t>
            </w:r>
            <w:r>
              <w:t xml:space="preserve"> </w:t>
            </w:r>
            <w:fldSimple w:instr="NOTEREF _Ref_Footnote_22 \h \f">
              <w:r>
                <w:rPr>
                  <w:vertAlign w:val="superscript"/>
                </w:rPr>
                <w:t>22</w:t>
              </w:r>
            </w:fldSimple>
          </w:p>
        </w:tc>
        <w:tc>
          <w:tcPr/>
          <w:p>
            <w:pPr>
              <w:pStyle w:val="Compact"/>
              <w:jc w:val="left"/>
            </w:pPr>
            <w:r>
              <w:t xml:space="preserve">Brak ugruntowanej doktryny cywilnoprawnej o bezpośredniej odpowiedzialności wobec osób trzecich</w:t>
            </w:r>
          </w:p>
        </w:tc>
      </w:tr>
      <w:tr>
        <w:tc>
          <w:tcPr/>
          <w:p>
            <w:pPr>
              <w:pStyle w:val="Compact"/>
              <w:jc w:val="center"/>
            </w:pPr>
            <w:r>
              <w:t xml:space="preserve">6</w:t>
            </w:r>
          </w:p>
        </w:tc>
        <w:tc>
          <w:tcPr/>
          <w:p>
            <w:pPr>
              <w:pStyle w:val="Compact"/>
              <w:jc w:val="left"/>
            </w:pPr>
            <w:r>
              <w:rPr>
                <w:bCs/>
                <w:b/>
              </w:rPr>
              <w:t xml:space="preserve">Firmanctwo (art. 43 k.c. / art. 113 Ordynacji Podatkowej)</w:t>
            </w:r>
          </w:p>
        </w:tc>
        <w:tc>
          <w:tcPr/>
          <w:p>
            <w:pPr>
              <w:pStyle w:val="Compact"/>
              <w:jc w:val="center"/>
            </w:pPr>
            <w:r>
              <w:t xml:space="preserve">BARDZO SŁABA</w:t>
            </w:r>
          </w:p>
        </w:tc>
        <w:tc>
          <w:tcPr/>
          <w:p>
            <w:pPr>
              <w:pStyle w:val="Compact"/>
              <w:jc w:val="left"/>
            </w:pPr>
            <w:r>
              <w:t xml:space="preserve">Udostępnienie firmy/firmowanie działalności</w:t>
            </w:r>
            <w:r>
              <w:t xml:space="preserve"> </w:t>
            </w:r>
            <w:fldSimple w:instr="NOTEREF _Ref_Footnote_50 \h \f">
              <w:r>
                <w:rPr>
                  <w:vertAlign w:val="superscript"/>
                </w:rPr>
                <w:t>50</w:t>
              </w:r>
            </w:fldSimple>
          </w:p>
        </w:tc>
        <w:tc>
          <w:tcPr/>
          <w:p>
            <w:pPr>
              <w:pStyle w:val="Compact"/>
              <w:jc w:val="left"/>
            </w:pPr>
            <w:r>
              <w:t xml:space="preserve">Reguluje wyłącznie nazwę/podatek; nie tworzy odpowiedzialności cywilnej za szkody z oszustwa</w:t>
            </w:r>
            <w:r>
              <w:t xml:space="preserve"> </w:t>
            </w:r>
            <w:fldSimple w:instr="NOTEREF _Ref_Footnote_22 \h \f">
              <w:r>
                <w:rPr>
                  <w:vertAlign w:val="superscript"/>
                </w:rPr>
                <w:t>22</w:t>
              </w:r>
            </w:fldSimple>
          </w:p>
        </w:tc>
      </w:tr>
    </w:tbl>
    <w:p>
      <w:pPr>
        <w:pStyle w:val="BodyText"/>
      </w:pPr>
      <w:r>
        <w:t xml:space="preserve">Tabela powyższa przedstawia hierarchię teorii od najsilniejszej do najsłabszej. Analiza ta prowadzi do kilku praktycznych wniosków. Po pierwsze, najsilniejszą alternatywną teorią bez uprzedniego wyroku karnego jest art. 422 k.c. w zakresie pomocnictwa — pod warunkiem wykazania, że Waldek świadomie udostępnił Mateuszowi infrastrukturę służącą popełnieniu czynu zabronionego. Przesłanka świadomości jest tu łagodniejsza niż w przypadku</w:t>
      </w:r>
      <w:r>
        <w:t xml:space="preserve"> </w:t>
      </w:r>
      <w:r>
        <w:t xml:space="preserve">“</w:t>
      </w:r>
      <w:r>
        <w:t xml:space="preserve">świadomego skorzystania</w:t>
      </w:r>
      <w:r>
        <w:t xml:space="preserve">”</w:t>
      </w:r>
      <w:r>
        <w:t xml:space="preserve"> </w:t>
      </w:r>
      <w:r>
        <w:t xml:space="preserve">— wystarcza zamiar ewentualny, a nie pozytywna wiedza. Po drugie, art. 415 k.c. staje się równie silną — lub silniejszą — teorią, jeśli posiadają Państwo dowody bezpośredniej komunikacji z Waldkiem zawierającej nieprawdziwe zapewnienia. Kluczowym czynnikiem rozstrzygającym nie jest tu konstrukcja prawna (która jest solidna), lecz stan dowodowy. Po trzecie, teorie bezpodstawnego wzbogacenia, działania faktycznego i firmanctwa mają na tyle istotne deficyty prawne, że nie powinny stanowić samodzielnej podstawy roszczenia — mogą jedynie pełnić funkcję uzupełniającą wobec teorii głównych.</w:t>
      </w:r>
    </w:p>
    <w:p>
      <w:pPr>
        <w:pStyle w:val="BodyText"/>
      </w:pPr>
      <w:r>
        <w:t xml:space="preserve">Warto zaznaczyć, że wszystkie omówione teorie operują poza ramami stosunku umownego między Państwem a Mateuszem. Art. 443 k.c. zapewnia swobodę dochodzenia roszczeń deliktowych równolegle z roszczeniami kontraktowymi</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Oznacza to, że Państwo mogą kontynuować roszczenie odszkodowawcze względem Mateusza na podstawie umowy, jednocześnie dochodząc roszczeń od Waldeka na podstawie czynu niedozwolonego — pod warunkiem, że roszczenie przeciwko Waldkowi ma niezależną podstawę faktyczną.</w:t>
      </w:r>
    </w:p>
    <w:p>
      <w:pPr>
        <w:pStyle w:val="BodyText"/>
      </w:pPr>
      <w:r>
        <w:t xml:space="preserve">Stanowisko mecenasa, że</w:t>
      </w:r>
      <w:r>
        <w:t xml:space="preserve"> </w:t>
      </w:r>
      <w:r>
        <w:t xml:space="preserve">“</w:t>
      </w:r>
      <w:r>
        <w:t xml:space="preserve">nie ma obecnie podstaw do dochodzenia od Waldeka</w:t>
      </w:r>
      <w:r>
        <w:t xml:space="preserve">”</w:t>
      </w:r>
      <w:r>
        <w:t xml:space="preserve">, należy zatem rozumieć nie jako definitywną ocenę prawną, lecz jako konstatację dotyczącą</w:t>
      </w:r>
      <w:r>
        <w:t xml:space="preserve"> </w:t>
      </w:r>
      <w:r>
        <w:rPr>
          <w:iCs/>
          <w:i/>
        </w:rPr>
        <w:t xml:space="preserve">stanu dowodowego</w:t>
      </w:r>
      <w:r>
        <w:t xml:space="preserve"> </w:t>
      </w:r>
      <w:r>
        <w:t xml:space="preserve">— braku wystarczających dowodów, by wybrać i uzasadnić którąkolwiek z powyższych teorii. Gromadzenie dowodów (korespondencja, rekonstrukcja przepływów finansowych, zeznania świadków) jest kluczowym krokiem, który może przekształcić teoretycznie słabe roszczenie w praktycznie silne. Jednocześnie należy mieć na uwadze, że nawet najsilniejsza z alternatywnych teorii — pomocnictwo na podstawie art. 422 k.c. — pozostaje obarczona znaczną niepewnością procesową, dopóki nie zostaną zgromadzone dowody świadomego udziału Waldeka w oszukańczym schemacie.</w:t>
      </w:r>
      <w:r>
        <w:t xml:space="preserve"> </w:t>
      </w:r>
      <w:r>
        <w:t xml:space="preserve">## 5. Strategia zawiadomienia: wskazać Waldemara Łopotę od pierwszego dnia, czy pozostawić do ustalenia śledztwa?</w:t>
      </w:r>
    </w:p>
    <w:p>
      <w:pPr>
        <w:pStyle w:val="BodyText"/>
      </w:pPr>
      <w:r>
        <w:t xml:space="preserve">Zawiadomienie o popełnieniu przestępstwa jest pierwszym momentem, w którym pokrzywdzony kształtuje percepcję organu ścigania. Choć zgodnie z art. 304 § 1 k.p.k. zawiadomienie jest jedynie impulsem informacyjnym, a prokurator obowiązany jest do prowadzenia postępowania z urzędu i z zachowaniem zasady obiektywizmu (art. 4 k.p.k., art. 10 § 1 k.p.k.)</w:t>
      </w:r>
      <w:fldSimple w:instr="NOTEREF _Ref_Footnote_18 \h \f">
        <w:r>
          <w:rPr>
            <w:vertAlign w:val="superscript"/>
          </w:rPr>
          <w:t>18</w:t>
        </w:r>
      </w:fldSimple>
      <w:r>
        <w:t xml:space="preserve"> </w:t>
      </w:r>
      <w:r>
        <w:rPr>
          <w:vertAlign w:val="superscript"/>
        </w:rPr>
        <w:footnoteReference w:id="79"/>
      </w:r>
      <w:r>
        <w:t xml:space="preserve">, praktyka wykazuje, że kierunek wstępnych czynności sprawdzających (art. 307 k.p.k.) silnie zależy od narracji faktycznej zawartej w zawiadomieniu. Niniejszy rozdział analizuje kluczową decyzję strategiczną: czy w zawiadomieniu wskazać Waldemara Łopotę jako domniemanego współsprawcę od początku, czy też wskazać jedynie Mateusza Szklarskiego i pozostawić prokuratorowi dojście do Waldemara w toku śledztwa.</w:t>
      </w:r>
    </w:p>
    <w:p>
      <w:r>
        <w:pict>
          <v:rect style="width:0;height:1.5pt" o:hralign="center" o:hrstd="t" o:hr="t"/>
        </w:pict>
      </w:r>
    </w:p>
    <w:bookmarkEnd w:id="90"/>
    <w:bookmarkStart w:id="95" w:name="X20d5826f20da6d28f3f44b6d669f52e6fe39b6a"/>
    <w:p>
      <w:pPr>
        <w:pStyle w:val="Heading3"/>
      </w:pPr>
      <w:r>
        <w:t xml:space="preserve">5.1 Wskazanie Waldemara w zawiadomieniu: argumenty przemawiające za</w:t>
      </w:r>
    </w:p>
    <w:bookmarkStart w:id="91" w:name="X59c2dc29a2fb6162f9be9b77bbbf89a00ca0a04"/>
    <w:p>
      <w:pPr>
        <w:pStyle w:val="Heading4"/>
      </w:pPr>
      <w:r>
        <w:t xml:space="preserve">5.1.1 Gwarancja pełnego zakresu śledztwa — Waldek nie może umknąć uwadze prokuratora</w:t>
      </w:r>
    </w:p>
    <w:p>
      <w:pPr>
        <w:pStyle w:val="FirstParagraph"/>
      </w:pPr>
      <w:r>
        <w:t xml:space="preserve">Prokurator jest niezależny od treści zawiadomienia i obowiązany do ujawnienia wszystkich współsprawców (art. 297 k.p.k., art. 4 k.p.k.)</w:t>
      </w:r>
      <w:r>
        <w:rPr>
          <w:vertAlign w:val="superscript"/>
        </w:rPr>
        <w:footnoteReference w:id="80"/>
      </w:r>
      <w:r>
        <w:t xml:space="preserve"> </w:t>
      </w:r>
      <w:r>
        <w:rPr>
          <w:vertAlign w:val="superscript"/>
        </w:rPr>
        <w:footnoteReference w:id="81"/>
      </w:r>
      <w:r>
        <w:t xml:space="preserve">, lecz w praktyce skupia się w pierwszej fazie na osobach wyraźnie zidentyfikowanych jako uczestnicy przestępstwa. Wskazanie Waldemara z konkretnym opisem jego roli operacyjnej — kontrola nad korespondencją e-mail, składanie obietnic zwrotu, udzielanie sprzecznych wyjaśnień — sprawia, że jego udział staje się przedmiotem zainteresowania śledczych od dnia wszczęcia czynności sprawdzających, a nie ewentualnym odkryciem w późniejszym etapie.</w:t>
      </w:r>
    </w:p>
    <w:p>
      <w:pPr>
        <w:pStyle w:val="BodyText"/>
      </w:pPr>
      <w:r>
        <w:t xml:space="preserve">Kontekst transgraniczny potęguje to znaczenie: Mateusz Szklarski przebywa w Holandii, co utrudnia bezpośrednie czynności procesowe. Jeśli prokurator skupi się wyłącznie na Mateuszu, może stracić miesiące na próbach dotarcia do osoby za granicą, podczas gdy kluczowe dowody dotyczące Waldemara — logi IP, dane telekomunikacyjne, rejestry bankowe — przepadną z upływem okresów retencji. Wskazanie obu osób od początku pozwala prowadzić równoległe linie śledcze.</w:t>
      </w:r>
    </w:p>
    <w:bookmarkEnd w:id="91"/>
    <w:bookmarkStart w:id="92" w:name="Xab6c7ffbd981b1b3e1c6d53d2940939e8d65ff5"/>
    <w:p>
      <w:pPr>
        <w:pStyle w:val="Heading4"/>
      </w:pPr>
      <w:r>
        <w:t xml:space="preserve">5.1.2 Zerowy koszt proceduralny: wskazanie w zawiadomieniu NIE tworzy statusu podejrzanego</w:t>
      </w:r>
    </w:p>
    <w:p>
      <w:pPr>
        <w:pStyle w:val="FirstParagraph"/>
      </w:pPr>
      <w:r>
        <w:t xml:space="preserve">To najważniejsze ustalenie oparte na oficjalnym stanowisku Ministerstwa Sprawiedliwości. Zgodnie z odpowiedzią resortu na interpelację poselską, osoba wskazana w zawiadomieniu jako sprawca nie uzyskuje żadnego statusu procesowego: „Na tym etapie działania organu postępowania przygotowawczego nie następuje żadna ingerencja w prawa i wolności osoby, nawet wówczas, gdy w zawiadomieniu wskazano konkretną osobę jako sprawcę czynu”</w:t>
      </w:r>
      <w:fldSimple w:instr="NOTEREF _Ref_Footnote_23 \h \f">
        <w:r>
          <w:rPr>
            <w:vertAlign w:val="superscript"/>
          </w:rPr>
          <w:t>23</w:t>
        </w:r>
      </w:fldSimple>
      <w:r>
        <w:t xml:space="preserve">. Status podejrzanego powstaje wyłącznie z chwilą wydania postanowienia o przedstawieniu zarzutów na podstawie art. 71 § 1 k.p.k.</w:t>
      </w:r>
      <w:fldSimple w:instr="NOTEREF _Ref_Footnote_24 \h \f">
        <w:r>
          <w:rPr>
            <w:vertAlign w:val="superscript"/>
          </w:rPr>
          <w:t>24</w:t>
        </w:r>
      </w:fldSimple>
      <w:r>
        <w:t xml:space="preserve"> </w:t>
      </w:r>
      <w:r>
        <w:rPr>
          <w:vertAlign w:val="superscript"/>
        </w:rPr>
        <w:footnoteReference w:id="82"/>
      </w:r>
      <w:r>
        <w:t xml:space="preserve">. Wskazanie Waldemara nie uruchamia zatem żadnych praw proceduralnych — ani do obrońcy, ani do dostępu do akt, ani do zawiadomienia o toku postępowania. Osoba wskazana pozostaje „osobą podejrzaną” w sensie faktycznym, nie zaś „podejrzanym” w sensie prawnym</w:t>
      </w:r>
      <w:fldSimple w:instr="NOTEREF _Ref_Footnote_45 \h \f">
        <w:r>
          <w:rPr>
            <w:vertAlign w:val="superscript"/>
          </w:rPr>
          <w:t>45</w:t>
        </w:r>
      </w:fldSimple>
      <w:r>
        <w:t xml:space="preserve">.</w:t>
      </w:r>
    </w:p>
    <w:bookmarkEnd w:id="92"/>
    <w:bookmarkStart w:id="93" w:name="Xc5bbb8d1beb99728b9bdf3bb8431c5c546013b0"/>
    <w:p>
      <w:pPr>
        <w:pStyle w:val="Heading4"/>
      </w:pPr>
      <w:r>
        <w:t xml:space="preserve">5.1.3 Kompletny obraz faktyczny: prokurator widzi rzeczywistość operacyjną, nie tylko formalną fakturę</w:t>
      </w:r>
    </w:p>
    <w:p>
      <w:pPr>
        <w:pStyle w:val="FirstParagraph"/>
      </w:pPr>
      <w:r>
        <w:t xml:space="preserve">Zawiadomienie wskazujące jedynie Mateusza jako właściciela JDG i odbiorcę przelewu 155 000 zł przedstawia obraz formalny — zgodny z dokumentami, lecz nieodzwierciedlający rzeczywistości operacyjnej, w której Mateusz przebywa w Holandii, a Waldemar prowadzi całą korespondencję z klientami, kontroluje skrzynki e-mailowe i podejmuje decyzje w sprawie zwrotów. Jeśli zawiadomienie pominię tę warstwę, prokurator może przez długi czas traktować sprawę jako klasyczne oszustwo JDG bez dostrzegenia, że za komunikacją stoi inna osoba osobiście wprowadzająca pokrzywdzonego w błąd. Wskazanie obu uczestników z opisem ich faktycznych ról pozwala prokuratorowi od pierwszego dnia postrzegać sprawę jako potencjalne współsprawstwo (art. 18 § 2 KK).</w:t>
      </w:r>
    </w:p>
    <w:bookmarkEnd w:id="93"/>
    <w:bookmarkStart w:id="94" w:name="X16949912209f6789347fafeb50c9e7a7e9f1595"/>
    <w:p>
      <w:pPr>
        <w:pStyle w:val="Heading4"/>
      </w:pPr>
      <w:r>
        <w:t xml:space="preserve">5.1.4 Możliwość natychmiastowego zabezpieczenia dowodów specyficznych dla Waldemara</w:t>
      </w:r>
    </w:p>
    <w:p>
      <w:pPr>
        <w:pStyle w:val="FirstParagraph"/>
      </w:pPr>
      <w:r>
        <w:t xml:space="preserve">Wskazanie Waldemara z opisem jego roli daje prokuratorowi podstawę do wystąpienia o zabezpieczenie dowodów, które inaczej mogłyby zostać przeoczone. W szczególności: logi IP — wystąpienie o zabezpieczenie danych informatycznych do operatora e-mail (art. 218a k.p.k.)</w:t>
      </w:r>
      <w:fldSimple w:instr="NOTEREF _Ref_Footnote_9 \h \f">
        <w:r>
          <w:rPr>
            <w:vertAlign w:val="superscript"/>
          </w:rPr>
          <w:t>9</w:t>
        </w:r>
      </w:fldSimple>
      <w:r>
        <w:t xml:space="preserve">, uzyskanie adresów IP logowań na skrzynki gpucomputer@ i waldek@; dane telekomunikacyjne — 12-miesięczny okres retencji (art. 180a Prawa telekomunikacyjnego)</w:t>
      </w:r>
      <w:fldSimple w:instr="NOTEREF _Ref_Footnote_55 \h \f">
        <w:r>
          <w:rPr>
            <w:vertAlign w:val="superscript"/>
          </w:rPr>
          <w:t>55</w:t>
        </w:r>
      </w:fldSimple>
      <w:r>
        <w:t xml:space="preserve">wymaga szybkiego działania; rejestry bankowe — jednoczesne żądanie historii operacji na koncie JDG oraz ewentualnych przelewów na rzecz Waldemara. Bez wskazania Waldemara prokurator mógłby skupić się wyłącznie na dowodach przeciwko Mateuszowi, tracąc czas na rozszerzenie śledztwa w późniejszym etapie.</w:t>
      </w:r>
    </w:p>
    <w:p>
      <w:r>
        <w:pict>
          <v:rect style="width:0;height:1.5pt" o:hralign="center" o:hrstd="t" o:hr="t"/>
        </w:pict>
      </w:r>
    </w:p>
    <w:bookmarkEnd w:id="94"/>
    <w:bookmarkEnd w:id="95"/>
    <w:bookmarkStart w:id="98" w:name="X056a1de467d536da6b669066ffcca98280e4587"/>
    <w:p>
      <w:pPr>
        <w:pStyle w:val="Heading3"/>
      </w:pPr>
      <w:r>
        <w:t xml:space="preserve">5.2 Wskazanie Waldemara: potencjalne wady (i dlaczego są marginalne)</w:t>
      </w:r>
    </w:p>
    <w:bookmarkStart w:id="96" w:name="X1ea954faae19b0e836c982e0eb1ddbfeaad1700"/>
    <w:p>
      <w:pPr>
        <w:pStyle w:val="Heading4"/>
      </w:pPr>
      <w:r>
        <w:t xml:space="preserve">5.2.1 Teoretyczne ryzyko ostrzeżenia — bez formalnych praw nie ma formalnego zagrożenia</w:t>
      </w:r>
    </w:p>
    <w:p>
      <w:pPr>
        <w:pStyle w:val="FirstParagraph"/>
      </w:pPr>
      <w:r>
        <w:t xml:space="preserve">Główny argument przeciwny brzmi: „Waldek może się dowiedzieć”. Ten argument rozpada się przy analizie prawnej: wskazanie w zawiadomienie nie tworzy żadnych praw proceduralnych, w szczególności nie zobowiązuje prokuratora do zawiadomienia tej osoby o toku postępowania</w:t>
      </w:r>
      <w:fldSimple w:instr="NOTEREF _Ref_Footnote_23 \h \f">
        <w:r>
          <w:rPr>
            <w:vertAlign w:val="superscript"/>
          </w:rPr>
          <w:t>23</w:t>
        </w:r>
      </w:fldSimple>
      <w:r>
        <w:t xml:space="preserve">. Postępowanie sprawdzające (art. 307 k.p.k.) jest prowadzone bez udziału osób trzecich.</w:t>
      </w:r>
    </w:p>
    <w:p>
      <w:pPr>
        <w:pStyle w:val="BodyText"/>
      </w:pPr>
      <w:r>
        <w:t xml:space="preserve">Istnieje co prawda ryzyko praktyczne, że informacja wycieknie nieoficjalnymi kanałami — jeśli Mateusz i Waldek utrzymują kontakt, a Mateusz zostanie poinformowany o czynnościach procesowych. Jednak to ryzyko istnieje niezależnie od tego, czy Waldek jest wskazany w zawiadomieniu: każde śledztwo w sprawie gpucomputer.pl z natury dotyka obszarów działalności Waldemara. Ponadto zawiadomienie może być uzupełnione w dowolnym momencie postępowania sprawdzającego (art. 307 § 1 i § 3 k.p.k.)</w:t>
      </w:r>
      <w:r>
        <w:rPr>
          <w:vertAlign w:val="superscript"/>
        </w:rPr>
        <w:footnoteReference w:id="83"/>
      </w:r>
      <w:r>
        <w:t xml:space="preserve"> </w:t>
      </w:r>
      <w:r>
        <w:rPr>
          <w:vertAlign w:val="superscript"/>
        </w:rPr>
        <w:footnoteReference w:id="84"/>
      </w:r>
      <w:r>
        <w:t xml:space="preserve">.</w:t>
      </w:r>
    </w:p>
    <w:bookmarkEnd w:id="96"/>
    <w:bookmarkStart w:id="97" w:name="X50aed209c38c28e8139b629222d6fb0c77e35dc"/>
    <w:p>
      <w:pPr>
        <w:pStyle w:val="Heading4"/>
      </w:pPr>
      <w:r>
        <w:t xml:space="preserve">5.2.2 Potencjalne rozproszenie ogniska śledczych — zniżone przez precyzyjne sformułowanie</w:t>
      </w:r>
    </w:p>
    <w:p>
      <w:pPr>
        <w:pStyle w:val="FirstParagraph"/>
      </w:pPr>
      <w:r>
        <w:t xml:space="preserve">Argument, że zawiadomienie wskazujące dwóch sprawców może być postrzegane jako „rozmyte”, jest realne, ale zniżalne poprzez staranną konstrukcję. Praktyka wskazuje, że „nieprecyzyjne sformułowania, brak chronologii czy oparcie się wyłącznie na przypuszczeniach znacząco zmniejszają szanse na wszczęcie postępowania”</w:t>
      </w:r>
      <w:r>
        <w:rPr>
          <w:vertAlign w:val="superscript"/>
        </w:rPr>
        <w:footnoteReference w:id="85"/>
      </w:r>
      <w:r>
        <w:t xml:space="preserve">. Zamiast ogólnego stwierdzenia, że „Mateusz i Waldek wspólnie oszukali”, zawiadomienie powinno szczegółowo opisać działania każdego z nich oraz okoliczności wspólnego działania (minutowe różnice w wysyłaniu wiadomości, dziesięcioletnia współpublikacja marki). Taka struktura nie rozprasza uwagi — kieruje ją na dwa równoległe tory śledcze.</w:t>
      </w:r>
    </w:p>
    <w:p>
      <w:r>
        <w:pict>
          <v:rect style="width:0;height:1.5pt" o:hralign="center" o:hrstd="t" o:hr="t"/>
        </w:pict>
      </w:r>
    </w:p>
    <w:bookmarkEnd w:id="97"/>
    <w:bookmarkEnd w:id="98"/>
    <w:bookmarkStart w:id="101" w:name="Xfbd343b626a4809227baae37d7c22f7f3eaf9fa"/>
    <w:p>
      <w:pPr>
        <w:pStyle w:val="Heading3"/>
      </w:pPr>
      <w:r>
        <w:t xml:space="preserve">5.3 Alternatywa: wskazanie wyłącznie Mateusza Szklarskiego</w:t>
      </w:r>
    </w:p>
    <w:bookmarkStart w:id="99" w:name="Xccc473dee96d3365683639992accb5838e9c6c1"/>
    <w:p>
      <w:pPr>
        <w:pStyle w:val="Heading4"/>
      </w:pPr>
      <w:r>
        <w:t xml:space="preserve">5.3.1 Ryzyko: prokurator może nie odkryć Waldemara samodzielnie</w:t>
      </w:r>
    </w:p>
    <w:p>
      <w:pPr>
        <w:pStyle w:val="FirstParagraph"/>
      </w:pPr>
      <w:r>
        <w:t xml:space="preserve">Decyzja o wskazaniu tylko Mateusza opiera się na założeniu, że prokurator samodzielnie „dojdzie” do Waldemara. To założenie jest ryzykowne. Zawiadomienie wskazujące jedynie właściciela JDG kształtuje wstępną teorię sprawy jako klasyczne oszustwo przedsiębiorcy; prokurator może przez długi czas traktować Mateusza jako jedynego sprawcę, szczególnie jeśli logi IP skrzynki gpucomputer@ wskazują na logowania z Holandii. Odkrycie, że za częścią komunikacji stoi osoba trzecia działająca z Polski, wymagałoby aktywnej, dodatkowej linii śledczej, która może nie być priorytetem w obliczu transgranicznych trudności.</w:t>
      </w:r>
    </w:p>
    <w:p>
      <w:pPr>
        <w:pStyle w:val="BodyText"/>
      </w:pPr>
      <w:r>
        <w:t xml:space="preserve">Doświadczenie w ściganiu przestępstw transgranicznych wykazuje, że śledztwa z elementem międzynarodowym są znacznie bardziej czasochłonne i często kończą się ograniczonym zakresem ustaleniowym. Jeśli prokurator skupi całą energię na kanale holenderskim, może uznać sprawę za zakończoną po ujawnieniu dowodów przeciwko Mateuszowi, nie docierając do roli Waldemara.</w:t>
      </w:r>
    </w:p>
    <w:bookmarkEnd w:id="99"/>
    <w:bookmarkStart w:id="100" w:name="X59dc2514e23b7349d48d4d60835bf11afaf0395"/>
    <w:p>
      <w:pPr>
        <w:pStyle w:val="Heading4"/>
      </w:pPr>
      <w:r>
        <w:t xml:space="preserve">5.3.2 Opóźnione odkrycie oznacza utratę dowodów</w:t>
      </w:r>
    </w:p>
    <w:p>
      <w:pPr>
        <w:pStyle w:val="FirstParagraph"/>
      </w:pPr>
      <w:r>
        <w:t xml:space="preserve">Najpoważniejszą konsekwencją opóźnionego wskazania Waldemara jest utrata dowodów podlegających okresom retencji.</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Kategoria dowodu</w:t>
            </w:r>
          </w:p>
        </w:tc>
        <w:tc>
          <w:tcPr/>
          <w:p>
            <w:pPr>
              <w:pStyle w:val="Compact"/>
              <w:jc w:val="left"/>
            </w:pPr>
            <w:r>
              <w:t xml:space="preserve">Okres retencji / ryzyko utraty</w:t>
            </w:r>
          </w:p>
        </w:tc>
        <w:tc>
          <w:tcPr/>
          <w:p>
            <w:pPr>
              <w:pStyle w:val="Compact"/>
              <w:jc w:val="left"/>
            </w:pPr>
            <w:r>
              <w:t xml:space="preserve">Konsekwencja opóźnienia</w:t>
            </w:r>
          </w:p>
        </w:tc>
      </w:tr>
      <w:tr>
        <w:tc>
          <w:tcPr/>
          <w:p>
            <w:pPr>
              <w:pStyle w:val="Compact"/>
              <w:jc w:val="left"/>
            </w:pPr>
            <w:r>
              <w:rPr>
                <w:bCs/>
                <w:b/>
              </w:rPr>
              <w:t xml:space="preserve">Dane telekomunikacyjne (bilingi)</w:t>
            </w:r>
          </w:p>
        </w:tc>
        <w:tc>
          <w:tcPr/>
          <w:p>
            <w:pPr>
              <w:pStyle w:val="Compact"/>
              <w:jc w:val="left"/>
            </w:pPr>
            <w:r>
              <w:t xml:space="preserve">12 miesięcy (art. 180a Prawa telekomunikacyjnego)</w:t>
            </w:r>
            <w:fldSimple w:instr="NOTEREF _Ref_Footnote_55 \h \f">
              <w:r>
                <w:rPr>
                  <w:vertAlign w:val="superscript"/>
                </w:rPr>
                <w:t>55</w:t>
              </w:r>
            </w:fldSimple>
          </w:p>
        </w:tc>
        <w:tc>
          <w:tcPr/>
          <w:p>
            <w:pPr>
              <w:pStyle w:val="Compact"/>
              <w:jc w:val="left"/>
            </w:pPr>
            <w:r>
              <w:t xml:space="preserve">Po upływie roku dane są nieodwracalnie usuwane; brak możliwości ustalenia komunikacji między współsprawcami</w:t>
            </w:r>
          </w:p>
        </w:tc>
      </w:tr>
      <w:tr>
        <w:tc>
          <w:tcPr/>
          <w:p>
            <w:pPr>
              <w:pStyle w:val="Compact"/>
              <w:jc w:val="left"/>
            </w:pPr>
            <w:r>
              <w:rPr>
                <w:bCs/>
                <w:b/>
              </w:rPr>
              <w:t xml:space="preserve">Logi IP (operatorzy e-mail)</w:t>
            </w:r>
          </w:p>
        </w:tc>
        <w:tc>
          <w:tcPr/>
          <w:p>
            <w:pPr>
              <w:pStyle w:val="Compact"/>
              <w:jc w:val="left"/>
            </w:pPr>
            <w:r>
              <w:t xml:space="preserve">Często 6–18 miesięcy</w:t>
            </w:r>
          </w:p>
        </w:tc>
        <w:tc>
          <w:tcPr/>
          <w:p>
            <w:pPr>
              <w:pStyle w:val="Compact"/>
              <w:jc w:val="left"/>
            </w:pPr>
            <w:r>
              <w:t xml:space="preserve">Bez logów IP nie można powiązać wiadomości z konkretnym urządzeniem lub lokalizacją</w:t>
            </w:r>
            <w:fldSimple w:instr="NOTEREF _Ref_Footnote_52 \h \f">
              <w:r>
                <w:rPr>
                  <w:vertAlign w:val="superscript"/>
                </w:rPr>
                <w:t>52</w:t>
              </w:r>
            </w:fldSimple>
          </w:p>
        </w:tc>
      </w:tr>
      <w:tr>
        <w:tc>
          <w:tcPr/>
          <w:p>
            <w:pPr>
              <w:pStyle w:val="Compact"/>
              <w:jc w:val="left"/>
            </w:pPr>
            <w:r>
              <w:rPr>
                <w:bCs/>
                <w:b/>
              </w:rPr>
              <w:t xml:space="preserve">Dane bankowe (historia dostępu)</w:t>
            </w:r>
          </w:p>
        </w:tc>
        <w:tc>
          <w:tcPr/>
          <w:p>
            <w:pPr>
              <w:pStyle w:val="Compact"/>
              <w:jc w:val="left"/>
            </w:pPr>
            <w:r>
              <w:t xml:space="preserve">Zmienny, historia dostępu online często krótsza</w:t>
            </w:r>
          </w:p>
        </w:tc>
        <w:tc>
          <w:tcPr/>
          <w:p>
            <w:pPr>
              <w:pStyle w:val="Compact"/>
              <w:jc w:val="left"/>
            </w:pPr>
            <w:r>
              <w:t xml:space="preserve">Utrudnione wykazanie, czy Waldek miał dostęp do konta JDG</w:t>
            </w:r>
          </w:p>
        </w:tc>
      </w:tr>
      <w:tr>
        <w:tc>
          <w:tcPr/>
          <w:p>
            <w:pPr>
              <w:pStyle w:val="Compact"/>
              <w:jc w:val="left"/>
            </w:pPr>
            <w:r>
              <w:rPr>
                <w:bCs/>
                <w:b/>
              </w:rPr>
              <w:t xml:space="preserve">Zeznania świadków (klienci)</w:t>
            </w:r>
          </w:p>
        </w:tc>
        <w:tc>
          <w:tcPr/>
          <w:p>
            <w:pPr>
              <w:pStyle w:val="Compact"/>
              <w:jc w:val="left"/>
            </w:pPr>
            <w:r>
              <w:t xml:space="preserve">Degradacja pamięci z czasem</w:t>
            </w:r>
          </w:p>
        </w:tc>
        <w:tc>
          <w:tcPr/>
          <w:p>
            <w:pPr>
              <w:pStyle w:val="Compact"/>
              <w:jc w:val="left"/>
            </w:pPr>
            <w:r>
              <w:t xml:space="preserve">Świadkowie mogą wyjechać, zmienić kontakt, zapomnieć szczegółów interakcji z Waldkiem</w:t>
            </w:r>
          </w:p>
        </w:tc>
      </w:tr>
    </w:tbl>
    <w:p>
      <w:pPr>
        <w:pStyle w:val="BodyText"/>
      </w:pPr>
      <w:r>
        <w:rPr>
          <w:iCs/>
          <w:i/>
        </w:rPr>
        <w:t xml:space="preserve">Tabela 1: Kategorie dowodów zagrożone utratą wraz z upływem czasu.</w:t>
      </w:r>
    </w:p>
    <w:p>
      <w:pPr>
        <w:pStyle w:val="BodyText"/>
      </w:pPr>
      <w:r>
        <w:t xml:space="preserve">W kontekście dowodów cyfrowych zasada</w:t>
      </w:r>
      <w:r>
        <w:t xml:space="preserve"> </w:t>
      </w:r>
      <w:r>
        <w:rPr>
          <w:iCs/>
          <w:i/>
        </w:rPr>
        <w:t xml:space="preserve">in dubio pro reo</w:t>
      </w:r>
      <w:r>
        <w:t xml:space="preserve"> </w:t>
      </w:r>
      <w:r>
        <w:t xml:space="preserve">(art. 5 § 2 k.p.k.) działa szczególnie niekorzystnie dla pokrzywdzonego: jeśli logi IP zostały już usunięte, sąd nie może opierać przekonania o winie na domniemaniu — brak dowodu musi być rozstrzygnięty na korzyść Waldemara</w:t>
      </w:r>
      <w:fldSimple w:instr="NOTEREF _Ref_Footnote_7 \h \f">
        <w:r>
          <w:rPr>
            <w:vertAlign w:val="superscript"/>
          </w:rPr>
          <w:t>7</w:t>
        </w:r>
      </w:fldSimple>
      <w:r>
        <w:t xml:space="preserve">. Każdy miesiąc opóźnienia zmniejsza prawdopodobieństwo uzyskania kluczowych dowodów.</w:t>
      </w:r>
    </w:p>
    <w:p>
      <w:r>
        <w:pict>
          <v:rect style="width:0;height:1.5pt" o:hralign="center" o:hrstd="t" o:hr="t"/>
        </w:pict>
      </w:r>
    </w:p>
    <w:bookmarkEnd w:id="100"/>
    <w:bookmarkEnd w:id="101"/>
    <w:bookmarkStart w:id="105" w:name="zalecane-podejście"/>
    <w:p>
      <w:pPr>
        <w:pStyle w:val="Heading3"/>
      </w:pPr>
      <w:r>
        <w:t xml:space="preserve">5.4 Zalecane podejście</w:t>
      </w:r>
    </w:p>
    <w:bookmarkStart w:id="102" w:name="X1135639d3a16e02e4ffc341b232b8bad5a6d747"/>
    <w:p>
      <w:pPr>
        <w:pStyle w:val="Heading4"/>
      </w:pPr>
      <w:r>
        <w:t xml:space="preserve">5.4.1 Wskazać OBU: Mateusza Szklarskiego i Waldemara Łopotę z precyzyjnym opisem roli każdego</w:t>
      </w:r>
    </w:p>
    <w:p>
      <w:pPr>
        <w:pStyle w:val="FirstParagraph"/>
      </w:pPr>
      <w:r>
        <w:t xml:space="preserve">Z powyższej analizy wynika zalecenie jednoznaczne: zawiadomienie powinno wskazywać obie osoby jako domniemanych współsprawców oszustwa z art. 286 § 1 KK w związku z art. 18 § 2 KK. Podstawą prawną jest art. 119 k.p.k. w zw. z art. 304 § 1 k.p.k., które nie wymagają wskazania sprawcy — ale go dopuszczają („jeżeli są znane”)</w:t>
      </w:r>
      <w:fldSimple w:instr="NOTEREF _Ref_Footnote_25 \h \f">
        <w:r>
          <w:rPr>
            <w:vertAlign w:val="superscript"/>
          </w:rPr>
          <w:t>25</w:t>
        </w:r>
      </w:fldSimple>
      <w:r>
        <w:t xml:space="preserve"> </w:t>
      </w:r>
      <w:r>
        <w:rPr>
          <w:vertAlign w:val="superscript"/>
        </w:rPr>
        <w:footnoteReference w:id="86"/>
      </w:r>
      <w:r>
        <w:t xml:space="preserve">. Dla każdej osoby należy szczegółowo opisać jej konkretny wkład w realizację znamion czynu zabronionego.</w:t>
      </w:r>
    </w:p>
    <w:bookmarkEnd w:id="102"/>
    <w:bookmarkStart w:id="103" w:name="Xd9e76affc63a4e459a13a8e9ee6f000550cea29"/>
    <w:p>
      <w:pPr>
        <w:pStyle w:val="Heading4"/>
      </w:pPr>
      <w:r>
        <w:t xml:space="preserve">5.4.2 Skonstruować zawiadomienie z naciskiem na rzeczywistość operacyjną ponad formalnym własnością</w:t>
      </w:r>
    </w:p>
    <w:p>
      <w:pPr>
        <w:pStyle w:val="FirstParagraph"/>
      </w:pPr>
      <w:r>
        <w:t xml:space="preserve">Zawiadomienie powinno być skonstruowane wokół kontrastu między formalną strukturą JDG (własność Mateusza, konto na jego nazwisko) a operacyjną rzeczywistością (Waldemar jako osoba prowadząca komunikację, składająca obietnice, udzielająca wyjaśnień). Taka narracja od początku kieruje prokuratora ku tezie o współsprawstwie opartym na faktycznym podziale ról, a nie ku uproszczonej teorii o jednoosobowym oszustwie przedsiębiorcy. W opisie należy wyraźnie wskazać, że mimo iż faktura i konto należą do JDG Mateusza, Waldemar Łopata — działając pod wspólnym nazwiskiem i w ramach marki 3dkrakow — osobiście realizował element „wprowadzenia w błąd” poprzez korespondencję e-mail.</w:t>
      </w:r>
    </w:p>
    <w:bookmarkEnd w:id="103"/>
    <w:bookmarkStart w:id="104" w:name="Xf478df1055e9c5cc1f88a57847d42f99e74f06d"/>
    <w:p>
      <w:pPr>
        <w:pStyle w:val="Heading4"/>
      </w:pPr>
      <w:r>
        <w:t xml:space="preserve">5.4.3 Dołączyć mapę dowodową: podwójna skrzynka, sprzeczne wyjaśnienia, współpublikacja marki, faktyczne funkcjonowanie</w:t>
      </w:r>
    </w:p>
    <w:p>
      <w:pPr>
        <w:pStyle w:val="FirstParagraph"/>
      </w:pPr>
      <w:r>
        <w:t xml:space="preserve">Zawiadomienie powinno zawierać załącznik w postaci mapy dowodowej systematycznie łączącej poszczególne dowody z elementami znamiennymi przestępstwa: (a) dowód podwójnej kontroli skrzynek — wiadomości z gpucomputer@ i waldek@ wysłane minutę po sobie (13:10 i 13:11) jako dowód wspólnego panowania nad infrastrukturą komunikacyjną; (b) dowód sprzecznych wyjaśnień — „cleared by customs” (24.02.2026) vs. „supplier bankrupt” (13.05.2026) jako dowód świadomego wprowadzania w błąd; (c) dowód współpublikacji marki — zrzuty Wayback Machine wykazujące obecność 3dkrakow na gpucomputer.pl od 2016 r. jako dowód długotrwałego porozumienia gospodarczego; (d) dowód faktycznego funkcjonowania — przebywanie Mateusza w Holandii przy jednoczesnej obsłudze klientów przez Waldemara jako dowód podziału ról.</w:t>
      </w:r>
    </w:p>
    <w:p>
      <w:pPr>
        <w:pStyle w:val="BodyText"/>
      </w:pPr>
      <w:r>
        <w:t xml:space="preserve">Dołączenie takiej mapy spełnia dwie funkcje: demonstruje prokuratorowi, że zawiadomienie opiera się na konkretnych faktach, a nie domysłach — co znacząco zwiększa jego wiarygodność</w:t>
      </w:r>
      <w:fldSimple w:instr="NOTEREF _Ref_Footnote_85 \h \f">
        <w:r>
          <w:rPr>
            <w:vertAlign w:val="superscript"/>
          </w:rPr>
          <w:t>85</w:t>
        </w:r>
      </w:fldSimple>
      <w:r>
        <w:t xml:space="preserve">— oraz dostarcza gotowej ramy dowodowej, w której prokurator może osadzić wyniki przyszłych czynności śledczych. Prawo karne procesowe nie stawia przed pokrzywdzonym dylematu między bezpieczeństwem a skutecznością: wskazanie Waldemara Łopoty w zawiadomieniu ma same zalety i żadnych proceduralnych wad — pod warunkiem precyzyjnego sformułowania i załączonej mapy dowodowej.</w:t>
      </w:r>
      <w:r>
        <w:t xml:space="preserve"> </w:t>
      </w:r>
      <w:r>
        <w:t xml:space="preserve">## 6. Konkretne Zalecenia i Krok Po Kroku — Plan Działania</w:t>
      </w:r>
    </w:p>
    <w:p>
      <w:pPr>
        <w:pStyle w:val="BodyText"/>
      </w:pPr>
      <w:r>
        <w:t xml:space="preserve">Powyższa analiza prawna ujawniła, że Waldek nie jest jedynie</w:t>
      </w:r>
      <w:r>
        <w:t xml:space="preserve"> </w:t>
      </w:r>
      <w:r>
        <w:t xml:space="preserve">“</w:t>
      </w:r>
      <w:r>
        <w:t xml:space="preserve">wujkiem pomagającym siostrzeńcowi</w:t>
      </w:r>
      <w:r>
        <w:t xml:space="preserve">”</w:t>
      </w:r>
      <w:r>
        <w:t xml:space="preserve"> </w:t>
      </w:r>
      <w:r>
        <w:t xml:space="preserve">— jest współsprawcą oszustwa (art. 286 § 1 KK w zw. z art. 18 § 2 KK), którego skazanie otwiera przed Państwem co najmniej dwa niezależne mechanizmy odzyskania 155 000 zł: restytucję karną (art. 46 k.k.) oraz skutek wiążący wyroku karnego na gruncie cywilnym (art. 11 k.p.c.)</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w:t>
      </w:r>
      <w:fldSimple w:instr="NOTEREF _Ref_Footnote_6 \h \f">
        <w:r>
          <w:rPr>
            <w:vertAlign w:val="superscript"/>
          </w:rPr>
          <w:t>6</w:t>
        </w:r>
      </w:fldSimple>
      <w:r>
        <w:t xml:space="preserve">. Barierą nie jest prawo — jest czas i Państwa decyzja o podjęciu konkretnych działań. Poniżej przedstawiamy plan działania podzielony na trzy fazy czasowe.</w:t>
      </w:r>
    </w:p>
    <w:bookmarkEnd w:id="104"/>
    <w:bookmarkEnd w:id="105"/>
    <w:bookmarkStart w:id="106" w:name="działania-natychmiastowe-do-14-dni"/>
    <w:p>
      <w:pPr>
        <w:pStyle w:val="Heading3"/>
      </w:pPr>
      <w:r>
        <w:t xml:space="preserve">6.1 Działania Natychmiastowe (do 14 dni)</w:t>
      </w:r>
    </w:p>
    <w:p>
      <w:pPr>
        <w:pStyle w:val="FirstParagraph"/>
      </w:pPr>
      <w:r>
        <w:rPr>
          <w:bCs/>
          <w:b/>
        </w:rPr>
        <w:t xml:space="preserve">Złożenie zawiadomienia o popełnieniu przestępstwa.</w:t>
      </w:r>
      <w:r>
        <w:t xml:space="preserve"> </w:t>
      </w:r>
      <w:r>
        <w:t xml:space="preserve">Zawiadomienie musi wskazywać</w:t>
      </w:r>
      <w:r>
        <w:t xml:space="preserve"> </w:t>
      </w:r>
      <w:r>
        <w:rPr>
          <w:iCs/>
          <w:i/>
        </w:rPr>
        <w:t xml:space="preserve">obydwu</w:t>
      </w:r>
      <w:r>
        <w:t xml:space="preserve"> </w:t>
      </w:r>
      <w:r>
        <w:t xml:space="preserve">sprawców — Mateusza Szklarskiego (właściciela JDG) i Waldemara Łopotę (współsprawcę) — jako podejrzanych o współsprawstwo w oszustwie na kwotę 155 000 zł</w:t>
      </w:r>
      <w:r>
        <w:t xml:space="preserve"> </w:t>
      </w:r>
      <w:r>
        <w:rPr>
          <w:vertAlign w:val="superscript"/>
        </w:rPr>
        <w:footnoteReference w:id="87"/>
      </w:r>
      <w:r>
        <w:t xml:space="preserve">. Choć zawiadomienie nie musi zawierać nazwisk sprawców (art. 304 § 1 k.p.k. w zw. z art. 119 k.p.k.)</w:t>
      </w:r>
      <w:r>
        <w:t xml:space="preserve"> </w:t>
      </w:r>
      <w:fldSimple w:instr="NOTEREF _Ref_Footnote_85 \h \f">
        <w:r>
          <w:rPr>
            <w:vertAlign w:val="superscript"/>
          </w:rPr>
          <w:t>85</w:t>
        </w:r>
      </w:fldSimple>
      <w:r>
        <w:t xml:space="preserve">, wymienienie Waldeka od pierwszego dnia ma zerowe negatywne konsekwencje proceduralne — osoba wskazana w zawiadomienie nie nabywa statusu podejrzanego ani żadnych uprawnień procesowych</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w:t>
      </w:r>
      <w:fldSimple w:instr="NOTEREF _Ref_Footnote_82 \h \f">
        <w:r>
          <w:rPr>
            <w:vertAlign w:val="superscript"/>
          </w:rPr>
          <w:t>82</w:t>
        </w:r>
      </w:fldSimple>
      <w:r>
        <w:t xml:space="preserve">— a znacznie zwiększa szansę, że prokurator skieruje na niego uwagę śledczą od samego początku. Zawiadomienie powinno zawierać szczegółowy opis faktów: datę przelewu, treść obietnic zwrotu środków, sprzeczne wyjaśnienia (</w:t>
      </w:r>
      <w:r>
        <w:t xml:space="preserve">“</w:t>
      </w:r>
      <w:r>
        <w:t xml:space="preserve">odprawa celna</w:t>
      </w:r>
      <w:r>
        <w:t xml:space="preserve">”</w:t>
      </w:r>
      <w:r>
        <w:t xml:space="preserve"> </w:t>
      </w:r>
      <w:r>
        <w:t xml:space="preserve">vs. </w:t>
      </w:r>
      <w:r>
        <w:t xml:space="preserve">“</w:t>
      </w:r>
      <w:r>
        <w:t xml:space="preserve">bankructwo dostawcy</w:t>
      </w:r>
      <w:r>
        <w:t xml:space="preserve">”</w:t>
      </w:r>
      <w:r>
        <w:t xml:space="preserve">) oraz dowód podwójnej kontroli nad skrzynkami pocztowymi (e-maile z 10 marca 2026 r. wysłane z adresów gpucomputer@ i waldek@ w odstępie jednej minuty).</w:t>
      </w:r>
    </w:p>
    <w:p>
      <w:pPr>
        <w:pStyle w:val="BodyText"/>
      </w:pPr>
      <w:r>
        <w:rPr>
          <w:bCs/>
          <w:b/>
        </w:rPr>
        <w:t xml:space="preserve">Zachowanie mostu cywilnego: wniosek o naprawienie szkody w zawiadomieniu.</w:t>
      </w:r>
      <w:r>
        <w:t xml:space="preserve"> </w:t>
      </w:r>
      <w:r>
        <w:t xml:space="preserve">W treści zawiadomienia należy zawrzeć wniosek o zasądzenie od sprawców obowiązku naprawienia szkody w całości na podstawie art. 46 § 1 k.k. — solidarnie, w oparciu o art. 441 § 1 k.c.</w:t>
      </w:r>
      <w:r>
        <w:t xml:space="preserve"> </w:t>
      </w:r>
      <w:fldSimple w:instr="NOTEREF _Ref_Footnote_10 \h \f">
        <w:r>
          <w:rPr>
            <w:vertAlign w:val="superscript"/>
          </w:rPr>
          <w:t>10</w:t>
        </w:r>
      </w:fldSimple>
      <w:r>
        <w:t xml:space="preserve"> </w:t>
      </w:r>
      <w:fldSimple w:instr="NOTEREF _Ref_Footnote_57 \h \f">
        <w:r>
          <w:rPr>
            <w:vertAlign w:val="superscript"/>
          </w:rPr>
          <w:t>57</w:t>
        </w:r>
      </w:fldSimple>
      <w:r>
        <w:t xml:space="preserve">. Choć formalnie wniosek taki składa się dopiero w toku postępowania sądowego (art. 49a k.p.k.)</w:t>
      </w:r>
      <w:r>
        <w:t xml:space="preserve"> </w:t>
      </w:r>
      <w:fldSimple w:instr="NOTEREF _Ref_Footnote_38 \h \f">
        <w:r>
          <w:rPr>
            <w:vertAlign w:val="superscript"/>
          </w:rPr>
          <w:t>38</w:t>
        </w:r>
      </w:fldSimple>
      <w:r>
        <w:t xml:space="preserve">, jego wcześniejsza sygnalizacja informuje prokuratora i sąd o pełnym zakresie roszczeń cywilnych od samego początku.</w:t>
      </w:r>
    </w:p>
    <w:p>
      <w:pPr>
        <w:pStyle w:val="BodyText"/>
      </w:pPr>
      <w:r>
        <w:rPr>
          <w:bCs/>
          <w:b/>
        </w:rPr>
        <w:t xml:space="preserve">Autentykacja zrzutów Wayback Machine.</w:t>
      </w:r>
      <w:r>
        <w:t xml:space="preserve"> </w:t>
      </w:r>
      <w:r>
        <w:t xml:space="preserve">Zarchiwizowane wersje strony gpucomputer.pl wskazujące na współpublikowanie marki</w:t>
      </w:r>
      <w:r>
        <w:t xml:space="preserve"> </w:t>
      </w:r>
      <w:r>
        <w:t xml:space="preserve">“</w:t>
      </w:r>
      <w:r>
        <w:t xml:space="preserve">3dkrakow</w:t>
      </w:r>
      <w:r>
        <w:t xml:space="preserve">”</w:t>
      </w:r>
      <w:r>
        <w:t xml:space="preserve"> </w:t>
      </w:r>
      <w:r>
        <w:t xml:space="preserve">od 2016 r. stanowią dowód obciążający, ale ich wiarygodność techniczna może zostać zakwestionowana przez obronę</w:t>
      </w:r>
      <w:r>
        <w:t xml:space="preserve"> </w:t>
      </w:r>
      <w:fldSimple w:instr="NOTEREF _Ref_Footnote_44 \h \f">
        <w:r>
          <w:rPr>
            <w:vertAlign w:val="superscript"/>
          </w:rPr>
          <w:t>44</w:t>
        </w:r>
      </w:fldSimple>
      <w:r>
        <w:t xml:space="preserve">. Najskuteczniejszą metodą zabezpieczenia jest sporządzenie przez notariusza protokołu otwarcia strony internetowej, który — z załączonymi wydrukami — nabywa status oficjalnego dokumentu</w:t>
      </w:r>
      <w:r>
        <w:t xml:space="preserve"> </w:t>
      </w:r>
      <w:fldSimple w:instr="NOTEREF _Ref_Footnote_26 \h \f">
        <w:r>
          <w:rPr>
            <w:vertAlign w:val="superscript"/>
          </w:rPr>
          <w:t>26</w:t>
        </w:r>
      </w:fldSimple>
      <w:r>
        <w:t xml:space="preserve">. Alternatywnie można zlecić opinię biegłego z zakresu informatyki śledczej, co jest szczególnie przydatne jeśli zrzuty mają posłużyć jako dowód w postępowaniu cywilnym</w:t>
      </w:r>
      <w:r>
        <w:t xml:space="preserve"> </w:t>
      </w:r>
      <w:fldSimple w:instr="NOTEREF _Ref_Footnote_44 \h \f">
        <w:r>
          <w:rPr>
            <w:vertAlign w:val="superscript"/>
          </w:rPr>
          <w:t>44</w:t>
        </w:r>
      </w:fldSimple>
      <w:r>
        <w:t xml:space="preserve"> </w:t>
      </w:r>
      <w:fldSimple w:instr="NOTEREF _Ref_Footnote_10 \h \f">
        <w:r>
          <w:rPr>
            <w:vertAlign w:val="superscript"/>
          </w:rPr>
          <w:t>10</w:t>
        </w:r>
      </w:fldSimple>
      <w:r>
        <w:t xml:space="preserve">.</w:t>
      </w:r>
    </w:p>
    <w:bookmarkEnd w:id="106"/>
    <w:bookmarkStart w:id="107" w:name="X4100553789b1360b42db3b2ff3425cae702b181"/>
    <w:p>
      <w:pPr>
        <w:pStyle w:val="Heading3"/>
      </w:pPr>
      <w:r>
        <w:t xml:space="preserve">6.2 Działania Średnioterminowe (w trakcie postępowania przygotowawczego)</w:t>
      </w:r>
    </w:p>
    <w:p>
      <w:pPr>
        <w:pStyle w:val="FirstParagraph"/>
      </w:pPr>
      <w:r>
        <w:rPr>
          <w:bCs/>
          <w:b/>
        </w:rPr>
        <w:t xml:space="preserve">Aktywna współpraca z prokuratorem.</w:t>
      </w:r>
      <w:r>
        <w:t xml:space="preserve"> </w:t>
      </w:r>
      <w:r>
        <w:t xml:space="preserve">Postępowanie karne jest dla Państwa</w:t>
      </w:r>
      <w:r>
        <w:t xml:space="preserve"> </w:t>
      </w:r>
      <w:r>
        <w:rPr>
          <w:iCs/>
          <w:i/>
        </w:rPr>
        <w:t xml:space="preserve">bezpłatnym narzędziem gromadzenia dowodów</w:t>
      </w:r>
      <w:r>
        <w:t xml:space="preserve"> </w:t>
      </w:r>
      <w:r>
        <w:t xml:space="preserve">na potrzeby przyszłych roszczeń cywilnych. Prokurator ma uprawnienia, których Państwo nie posiadają: może żądać udostępnienia logów IP od dostawcy usług poczty elektronicznej (art. 218a k.p.k.)</w:t>
      </w:r>
      <w:r>
        <w:t xml:space="preserve"> </w:t>
      </w:r>
      <w:fldSimple w:instr="NOTEREF _Ref_Footnote_9 \h \f">
        <w:r>
          <w:rPr>
            <w:vertAlign w:val="superscript"/>
          </w:rPr>
          <w:t>9</w:t>
        </w:r>
      </w:fldSimple>
      <w:r>
        <w:t xml:space="preserve">, zabezpieczyć billingi telekomunikacyjne (okres retencji: 12 miesięcy, art. 180a Prawa Telekomunikacyjnego)</w:t>
      </w:r>
      <w:r>
        <w:t xml:space="preserve"> </w:t>
      </w:r>
      <w:fldSimple w:instr="NOTEREF _Ref_Footnote_55 \h \f">
        <w:r>
          <w:rPr>
            <w:vertAlign w:val="superscript"/>
          </w:rPr>
          <w:t>55</w:t>
        </w:r>
      </w:fldSimple>
      <w:r>
        <w:t xml:space="preserve">, a także wystąpić o udostępnienie dokumentacji bankowej. Państwo powinni złożyć</w:t>
      </w:r>
      <w:r>
        <w:t xml:space="preserve"> </w:t>
      </w:r>
      <w:r>
        <w:rPr>
          <w:iCs/>
          <w:i/>
        </w:rPr>
        <w:t xml:space="preserve">pisemny wniosek</w:t>
      </w:r>
      <w:r>
        <w:t xml:space="preserve"> </w:t>
      </w:r>
      <w:r>
        <w:t xml:space="preserve">o przeprowadzenie konkretnych czynności dowodowych: (a) logi IP dla kont gpucomputer@ i waldek@, (b) rejestr dostępu do konta bankowego JDG, (c) billingi telefoniczne pomiędzy Mateuszem a Waldkiem w okresie od stycznia do maja 2026 r. Każdy z tych dowodów jednocześnie wzmacnia teorię współsprawstwa i tworzy materiał na przyszłe roszczenie cywilne.</w:t>
      </w:r>
    </w:p>
    <w:p>
      <w:pPr>
        <w:pStyle w:val="BodyText"/>
      </w:pPr>
      <w:r>
        <w:rPr>
          <w:bCs/>
          <w:b/>
        </w:rPr>
        <w:t xml:space="preserve">Monitorowanie wypłacalności JDG Mateusza.</w:t>
      </w:r>
      <w:r>
        <w:t xml:space="preserve"> </w:t>
      </w:r>
      <w:r>
        <w:t xml:space="preserve">Regularne sprawdzanie podmiotu w bazie CEIDG i KRS — najlepiej co 30 dni — pozwoli wykryć ewentualne postępowanie upadłościowe lub likwidacyjne. Jeśli JDG zostanie ogłoszona niewypłacalna, Państwa roszczenia kontraktowe wobec Mateusza mogą ulec ograniczeniu w postępowaniu upadłościowym. W takim scenariuszu Waldek staje się</w:t>
      </w:r>
      <w:r>
        <w:t xml:space="preserve"> </w:t>
      </w:r>
      <w:r>
        <w:rPr>
          <w:iCs/>
          <w:i/>
        </w:rPr>
        <w:t xml:space="preserve">głównym</w:t>
      </w:r>
      <w:r>
        <w:t xml:space="preserve"> </w:t>
      </w:r>
      <w:r>
        <w:t xml:space="preserve">podmiotem zaspokojenia — niezależnie od tego, czy drogą restytucji karnej (art. 46 k.k.), czy roszczenia deliktowego (art. 415 k.c. w zw. z art. 441 § 1 k.c.)</w:t>
      </w:r>
      <w:r>
        <w:t xml:space="preserve"> </w:t>
      </w:r>
      <w:fldSimple w:instr="NOTEREF _Ref_Footnote_11 \h \f">
        <w:r>
          <w:rPr>
            <w:vertAlign w:val="superscript"/>
          </w:rPr>
          <w:t>11</w:t>
        </w:r>
      </w:fldSimple>
      <w:r>
        <w:t xml:space="preserve"> </w:t>
      </w:r>
      <w:fldSimple w:instr="NOTEREF _Ref_Footnote_71 \h \f">
        <w:r>
          <w:rPr>
            <w:vertAlign w:val="superscript"/>
          </w:rPr>
          <w:t>71</w:t>
        </w:r>
      </w:fldSimple>
      <w:r>
        <w:t xml:space="preserve">. Rozpoczęcie postępowania upadłościowego nie zamyka drogi karnej: art. 46 § 3 k.k. wyraźnie stanowi, że orzeczenie odszkodowania w postępowaniu karnym nie stoi na przeszkodzie dochodzeniu niezaspokojonej części roszczenia w postępowaniu cywilnym</w:t>
      </w:r>
      <w:r>
        <w:t xml:space="preserve"> </w:t>
      </w:r>
      <w:fldSimple w:instr="NOTEREF _Ref_Footnote_10 \h \f">
        <w:r>
          <w:rPr>
            <w:vertAlign w:val="superscript"/>
          </w:rPr>
          <w:t>10</w:t>
        </w:r>
      </w:fldSimple>
      <w:r>
        <w:t xml:space="preserve">.</w:t>
      </w:r>
    </w:p>
    <w:p>
      <w:pPr>
        <w:pStyle w:val="BodyText"/>
      </w:pPr>
      <w:r>
        <w:rPr>
          <w:bCs/>
          <w:b/>
        </w:rPr>
        <w:t xml:space="preserve">Rozważenie samodzielnego roszczenia deliktowego przeciwko Waldkowi.</w:t>
      </w:r>
      <w:r>
        <w:t xml:space="preserve"> </w:t>
      </w:r>
      <w:r>
        <w:t xml:space="preserve">Jeśli w trakcie postępowania śledczego wyjdą na jaw</w:t>
      </w:r>
      <w:r>
        <w:t xml:space="preserve"> </w:t>
      </w:r>
      <w:r>
        <w:rPr>
          <w:iCs/>
          <w:i/>
        </w:rPr>
        <w:t xml:space="preserve">dodatkowe</w:t>
      </w:r>
      <w:r>
        <w:t xml:space="preserve"> </w:t>
      </w:r>
      <w:r>
        <w:t xml:space="preserve">dowody osobistego wprowadzania w błąd przez Waldeka (np. rozmowy telefoniczne, SMS-y, nowe e-maile z fałszywymi zapewnieniami), należy rozważyć wytoczenie powództwa cywilnego na podstawie art. 415 k.c. w zw. z art. 441 § 1 k.c. niezależnie od postępowania karnego</w:t>
      </w:r>
      <w:r>
        <w:t xml:space="preserve"> </w:t>
      </w:r>
      <w:fldSimple w:instr="NOTEREF _Ref_Footnote_71 \h \f">
        <w:r>
          <w:rPr>
            <w:vertAlign w:val="superscript"/>
          </w:rPr>
          <w:t>71</w:t>
        </w:r>
      </w:fldSimple>
      <w:r>
        <w:t xml:space="preserve"> </w:t>
      </w:r>
      <w:fldSimple w:instr="NOTEREF _Ref_Footnote_16 \h \f">
        <w:r>
          <w:rPr>
            <w:vertAlign w:val="superscript"/>
          </w:rPr>
          <w:t>16</w:t>
        </w:r>
      </w:fldSimple>
      <w:r>
        <w:t xml:space="preserve">. Odpowiedzialność deliktowa istnieje autonomicznie względem roszczenia kontraktowego wobec Mateusza — art. 443 k.c. przyjmuje swobodną konkurencję roszczeń</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Ocena siły tej teorii przedstawiona w rozdziale 4 wskazuje na siłę umiarkowaną: barierą jest dowodowa, nie prawna.</w:t>
      </w:r>
    </w:p>
    <w:bookmarkEnd w:id="107"/>
    <w:bookmarkStart w:id="108" w:name="Xfca10560713d7158760003a5cdc87f07b47f2e7"/>
    <w:p>
      <w:pPr>
        <w:pStyle w:val="Heading3"/>
      </w:pPr>
      <w:r>
        <w:t xml:space="preserve">6.3 Plan Awaryjny (scenariusze końcowe postępowania karnego)</w:t>
      </w:r>
    </w:p>
    <w:p>
      <w:pPr>
        <w:pStyle w:val="FirstParagraph"/>
      </w:pPr>
      <w:r>
        <w:t xml:space="preserve">Poniższa tabela syntetyzuje trzy możliwe scenariusze zakończenia postępowania karnego i odpowiadające im ścieżki działania: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Scenariusz</w:t>
            </w:r>
          </w:p>
        </w:tc>
        <w:tc>
          <w:tcPr/>
          <w:p>
            <w:pPr>
              <w:pStyle w:val="Compact"/>
              <w:jc w:val="left"/>
            </w:pPr>
            <w:r>
              <w:t xml:space="preserve">Sytuacja prawna</w:t>
            </w:r>
          </w:p>
        </w:tc>
        <w:tc>
          <w:tcPr/>
          <w:p>
            <w:pPr>
              <w:pStyle w:val="Compact"/>
              <w:jc w:val="left"/>
            </w:pPr>
            <w:r>
              <w:t xml:space="preserve">Ścieżka działania</w:t>
            </w:r>
          </w:p>
        </w:tc>
        <w:tc>
          <w:tcPr/>
          <w:p>
            <w:pPr>
              <w:pStyle w:val="Compact"/>
              <w:jc w:val="left"/>
            </w:pPr>
            <w:r>
              <w:t xml:space="preserve">Szansa odzyskania 155 000 zł</w:t>
            </w:r>
          </w:p>
        </w:tc>
      </w:tr>
      <w:tr>
        <w:tc>
          <w:tcPr/>
          <w:p>
            <w:pPr>
              <w:pStyle w:val="Compact"/>
              <w:jc w:val="left"/>
            </w:pPr>
            <w:r>
              <w:rPr>
                <w:bCs/>
                <w:b/>
              </w:rPr>
              <w:t xml:space="preserve">A. Skazanie Waldeka</w:t>
            </w:r>
            <w:r>
              <w:t xml:space="preserve"> </w:t>
            </w:r>
            <w:r>
              <w:t xml:space="preserve">(współsprawstwo)</w:t>
            </w:r>
          </w:p>
        </w:tc>
        <w:tc>
          <w:tcPr/>
          <w:p>
            <w:pPr>
              <w:pStyle w:val="Compact"/>
              <w:jc w:val="left"/>
            </w:pPr>
            <w:r>
              <w:t xml:space="preserve">Wyrok skazujący + art. 11 k.p.c. tworzy skutek wiążący</w:t>
            </w:r>
            <w:r>
              <w:t xml:space="preserve"> </w:t>
            </w:r>
            <w:fldSimple w:instr="NOTEREF _Ref_Footnote_6 \h \f">
              <w:r>
                <w:rPr>
                  <w:vertAlign w:val="superscript"/>
                </w:rPr>
                <w:t>6</w:t>
              </w:r>
            </w:fldSimple>
            <w:r>
              <w:t xml:space="preserve"> </w:t>
            </w:r>
            <w:r>
              <w:rPr>
                <w:vertAlign w:val="superscript"/>
              </w:rPr>
              <w:footnoteReference w:id="88"/>
            </w:r>
          </w:p>
        </w:tc>
        <w:tc>
          <w:tcPr/>
          <w:p>
            <w:pPr>
              <w:pStyle w:val="Compact"/>
              <w:jc w:val="left"/>
            </w:pPr>
            <w:r>
              <w:t xml:space="preserve">1. Wniosek o klauzulę wykonalności → 2. Egzekucja u komornika wobec Waldeka → 3. Ewentualnie powództwo cywilne o niespełniona część (art. 46 § 3 k.k.)</w:t>
            </w:r>
            <w:r>
              <w:t xml:space="preserve"> </w:t>
            </w:r>
            <w:fldSimple w:instr="NOTEREF _Ref_Footnote_10 \h \f">
              <w:r>
                <w:rPr>
                  <w:vertAlign w:val="superscript"/>
                </w:rPr>
                <w:t>10</w:t>
              </w:r>
            </w:fldSimple>
          </w:p>
        </w:tc>
        <w:tc>
          <w:tcPr/>
          <w:p>
            <w:pPr>
              <w:pStyle w:val="Compact"/>
              <w:jc w:val="left"/>
            </w:pPr>
            <w:r>
              <w:t xml:space="preserve">Wysoka (tytuł wykonawczy + prawomocne ustalenie faktu oszustwa)</w:t>
            </w:r>
          </w:p>
        </w:tc>
      </w:tr>
      <w:tr>
        <w:tc>
          <w:tcPr/>
          <w:p>
            <w:pPr>
              <w:pStyle w:val="Compact"/>
              <w:jc w:val="left"/>
            </w:pPr>
            <w:r>
              <w:rPr>
                <w:bCs/>
                <w:b/>
              </w:rPr>
              <w:t xml:space="preserve">B. Umorzenie / uniewinnienie</w:t>
            </w:r>
          </w:p>
        </w:tc>
        <w:tc>
          <w:tcPr/>
          <w:p>
            <w:pPr>
              <w:pStyle w:val="Compact"/>
              <w:jc w:val="left"/>
            </w:pPr>
            <w:r>
              <w:t xml:space="preserve">Brakuje dowodów na porozumienie; pomocnictwo też nieudowodnione</w:t>
            </w:r>
          </w:p>
        </w:tc>
        <w:tc>
          <w:tcPr/>
          <w:p>
            <w:pPr>
              <w:pStyle w:val="Compact"/>
              <w:jc w:val="left"/>
            </w:pPr>
            <w:r>
              <w:t xml:space="preserve">1. Ocena samodzielnego powództwa deliktowego (art. 415 k.c.) na podstawie dowodów zebranych w śledztwie</w:t>
            </w:r>
            <w:r>
              <w:t xml:space="preserve"> </w:t>
            </w:r>
            <w:fldSimple w:instr="NOTEREF _Ref_Footnote_71 \h \f">
              <w:r>
                <w:rPr>
                  <w:vertAlign w:val="superscript"/>
                </w:rPr>
                <w:t>71</w:t>
              </w:r>
            </w:fldSimple>
            <w:r>
              <w:t xml:space="preserve">→ 2. Powództwo przeciwko Mateuszowi (umowa) jako podstawowa ścieżka</w:t>
            </w:r>
          </w:p>
        </w:tc>
        <w:tc>
          <w:tcPr/>
          <w:p>
            <w:pPr>
              <w:pStyle w:val="Compact"/>
              <w:jc w:val="left"/>
            </w:pPr>
            <w:r>
              <w:t xml:space="preserve">Umiarkowana (bariera dowodowa: to Państwo ponoszą ciężar dowodu w cywilnym)</w:t>
            </w:r>
          </w:p>
        </w:tc>
      </w:tr>
      <w:tr>
        <w:tc>
          <w:tcPr/>
          <w:p>
            <w:pPr>
              <w:pStyle w:val="Compact"/>
              <w:jc w:val="left"/>
            </w:pPr>
            <w:r>
              <w:rPr>
                <w:bCs/>
                <w:b/>
              </w:rPr>
              <w:t xml:space="preserve">C. Niewypłacalność JDG Mateusza</w:t>
            </w:r>
          </w:p>
        </w:tc>
        <w:tc>
          <w:tcPr/>
          <w:p>
            <w:pPr>
              <w:pStyle w:val="Compact"/>
              <w:jc w:val="left"/>
            </w:pPr>
            <w:r>
              <w:t xml:space="preserve">Mateusz bez majątku; postępowanie upadłościowe</w:t>
            </w:r>
          </w:p>
        </w:tc>
        <w:tc>
          <w:tcPr/>
          <w:p>
            <w:pPr>
              <w:pStyle w:val="Compact"/>
              <w:jc w:val="left"/>
            </w:pPr>
            <w:r>
              <w:t xml:space="preserve">Waldek staje się</w:t>
            </w:r>
            <w:r>
              <w:t xml:space="preserve"> </w:t>
            </w:r>
            <w:r>
              <w:rPr>
                <w:iCs/>
                <w:i/>
              </w:rPr>
              <w:t xml:space="preserve">głównym</w:t>
            </w:r>
            <w:r>
              <w:t xml:space="preserve"> </w:t>
            </w:r>
            <w:r>
              <w:t xml:space="preserve">celem: art. 46 k.k. (restytucja) lub art. 415 + 441 § 1 k.c. (delikt solidarny)</w:t>
            </w:r>
            <w:r>
              <w:t xml:space="preserve"> </w:t>
            </w:r>
            <w:fldSimple w:instr="NOTEREF _Ref_Footnote_11 \h \f">
              <w:r>
                <w:rPr>
                  <w:vertAlign w:val="superscript"/>
                </w:rPr>
                <w:t>11</w:t>
              </w:r>
            </w:fldSimple>
            <w:r>
              <w:t xml:space="preserve"> </w:t>
            </w:r>
            <w:fldSimple w:instr="NOTEREF _Ref_Footnote_57 \h \f">
              <w:r>
                <w:rPr>
                  <w:vertAlign w:val="superscript"/>
                </w:rPr>
                <w:t>57</w:t>
              </w:r>
            </w:fldSimple>
          </w:p>
        </w:tc>
        <w:tc>
          <w:tcPr/>
          <w:p>
            <w:pPr>
              <w:pStyle w:val="Compact"/>
              <w:jc w:val="left"/>
            </w:pPr>
            <w:r>
              <w:t xml:space="preserve">Zależy od majątku Waldeka; tytuł wykonawczy pozostaje ważny 10 lat</w:t>
            </w:r>
          </w:p>
        </w:tc>
      </w:tr>
    </w:tbl>
    <w:p>
      <w:pPr>
        <w:pStyle w:val="BodyText"/>
      </w:pPr>
      <w:r>
        <w:rPr>
          <w:bCs/>
          <w:b/>
        </w:rPr>
        <w:t xml:space="preserve">Analityczna interpretacja tabeli.</w:t>
      </w:r>
      <w:r>
        <w:t xml:space="preserve"> </w:t>
      </w:r>
      <w:r>
        <w:t xml:space="preserve">Scenariusz A jest optymalny i prawdopodobnie najbardziej realny — istniejące dowody (podwójna kontrola skrzynek, sprzeczne wyjaśnienia, dziesięcioletnia współpublikacja marki) spełniają próg</w:t>
      </w:r>
      <w:r>
        <w:t xml:space="preserve"> </w:t>
      </w:r>
      <w:r>
        <w:t xml:space="preserve">“</w:t>
      </w:r>
      <w:r>
        <w:t xml:space="preserve">dostatecznych podstaw</w:t>
      </w:r>
      <w:r>
        <w:t xml:space="preserve">”</w:t>
      </w:r>
      <w:r>
        <w:t xml:space="preserve"> </w:t>
      </w:r>
      <w:r>
        <w:t xml:space="preserve">do postawienia zarzutu (art. 313 k.p.k.)</w:t>
      </w:r>
      <w:r>
        <w:t xml:space="preserve"> </w:t>
      </w:r>
      <w:fldSimple w:instr="NOTEREF _Ref_Footnote_6 \h \f">
        <w:r>
          <w:rPr>
            <w:vertAlign w:val="superscript"/>
          </w:rPr>
          <w:t>6</w:t>
        </w:r>
      </w:fldSimple>
      <w:r>
        <w:t xml:space="preserve">, a zgromadzenie logów IP i billingów w trakcie śledztwa znacząco wzmocni pozycję dowodową przed sądem. Kluczowe jest, abyście Państwo złożyli</w:t>
      </w:r>
      <w:r>
        <w:t xml:space="preserve"> </w:t>
      </w:r>
      <w:r>
        <w:rPr>
          <w:iCs/>
          <w:i/>
        </w:rPr>
        <w:t xml:space="preserve">wniosek</w:t>
      </w:r>
      <w:r>
        <w:t xml:space="preserve"> </w:t>
      </w:r>
      <w:r>
        <w:t xml:space="preserve">o naprawienie szkody w toku postępowania karnego — bez niego sąd ma dyskrecję, a z nim</w:t>
      </w:r>
      <w:r>
        <w:t xml:space="preserve"> </w:t>
      </w:r>
      <w:r>
        <w:rPr>
          <w:iCs/>
          <w:i/>
        </w:rPr>
        <w:t xml:space="preserve">orzeka</w:t>
      </w:r>
      <w:r>
        <w:t xml:space="preserve"> </w:t>
      </w:r>
      <w:r>
        <w:t xml:space="preserve">obowiązkowo</w:t>
      </w:r>
      <w:r>
        <w:t xml:space="preserve"> </w:t>
      </w:r>
      <w:fldSimple w:instr="NOTEREF _Ref_Footnote_38 \h \f">
        <w:r>
          <w:rPr>
            <w:vertAlign w:val="superscript"/>
          </w:rPr>
          <w:t>38</w:t>
        </w:r>
      </w:fldSimple>
      <w:r>
        <w:t xml:space="preserve">. Scenariusz B nie oznacza końca drogi: postępowanie karne wygenerowało materiał dowodowy (zeznania, opinie biegłych, dokumentacja), który w znacznym stopniu ułatwia prowadzenie postępowania cywilnego — choć to Państwo będą musieli udowodnić przesłanki odpowiedzialności deliktowej, co jest trudniejsze niż powołanie się na prawomocny wyrok karny. Scenariusz C ilustruje dlaczego Waldek nie jest</w:t>
      </w:r>
      <w:r>
        <w:t xml:space="preserve"> </w:t>
      </w:r>
      <w:r>
        <w:t xml:space="preserve">“</w:t>
      </w:r>
      <w:r>
        <w:t xml:space="preserve">dodatkiem</w:t>
      </w:r>
      <w:r>
        <w:t xml:space="preserve">”</w:t>
      </w:r>
      <w:r>
        <w:t xml:space="preserve"> </w:t>
      </w:r>
      <w:r>
        <w:t xml:space="preserve">do roszczenia wobec Mateusza, lecz równorzędnym — a być może jedynym wykonalnym — celem egzekucyjnym. Jeśli Mateusz pracuje w Holandii, a jego JDG jest jednoosobową działalnością bez znaczących aktywów, Państwa szanse na odzyskanie środków od niego są znikome. W takiej sytuacji każde złotówki wypłacone przez Waldeka — poprzez egzekucję komorniczą z jego majątku osobistego — ma bezpośrednie przełożenie na realne zaspokojenie.</w:t>
      </w:r>
    </w:p>
    <w:p>
      <w:pPr>
        <w:pStyle w:val="BodyText"/>
      </w:pPr>
      <w:r>
        <w:rPr>
          <w:bCs/>
          <w:b/>
        </w:rPr>
        <w:t xml:space="preserve">Reasumując:</w:t>
      </w:r>
      <w:r>
        <w:t xml:space="preserve"> </w:t>
      </w:r>
      <w:r>
        <w:t xml:space="preserve">analiza prawna przekształca przedstawioną przez Państwa mecenasa diagnozę —</w:t>
      </w:r>
      <w:r>
        <w:t xml:space="preserve"> </w:t>
      </w:r>
      <w:r>
        <w:t xml:space="preserve">“</w:t>
      </w:r>
      <w:r>
        <w:t xml:space="preserve">brak podstaw do dochodzenia od Waldka</w:t>
      </w:r>
      <w:r>
        <w:t xml:space="preserve">”</w:t>
      </w:r>
      <w:r>
        <w:t xml:space="preserve"> </w:t>
      </w:r>
      <w:r>
        <w:t xml:space="preserve">— w precyzyjny plan działania o wysokiej szansie powodzenia. Podstawą nie jest roszczenie kontraktowe (gdzie rzeczywiście zawarli Państwo umowę z JDG Mateusza), lecz odpowiedzialność karna za współsprawstwo w oszustwie oraz wynikająca z niej — bezpośrednio lub przez skutek wiążący — odpowiedzialność cywilna solidarna. Kluczem do sukcesu jest szybkość: im szybciej złożycie Państwo zawiadomienie wskazujące obydwu sprawców, im aktywniej będziecie współpracować z prokuratorem w zakresie gromadzenia dowodów, tym wyższa szansa, że śledztwo przekształci się w prawomocne skazanie, a to — w wykonalny tytuł egzekucyjny przeciwko Waldki.</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probacja.com. https://probacja.com/api/files/view/2340612.pdf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Adwokat Kraków - Prawo Karne. https://www.karh.pl/prawo-karne-gospodarcze/oszustwo-art-286-k-k/</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System Analizy Orzeczeń Sądowych - SAOS. https://www.saos.org.pl/judgments/507944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uwr.edu.pl. https://prawo.uwr.edu.pl/wp-content/uploads/sites/210/2022/08/Formy-wspoldzialania-przestepnego.pdf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strategieprocesowe.pl. https://strategieprocesowe.pl/2020/05/21/odpowiedzialnosc-cywilna-osoby-trzeciej-ktora-skorzystala-ze-szkody-art-422-k-c/</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http://www.humanrights.com.pl/pdf/Tom20/3.%20Piotr%20ARCZY%C5%83SKI%20-%20Moc%20wi%C4%85%C5%BC%C4%85ca%20wyroku%20karnego%20w%20post%C4%99powaniu%20cywilnym.pdf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Currenda. https://www.currenda.pl/moc-wiazaca-orzeczenia-sadu-cywilnego-w-sprawach-karnych/</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czpk.pl. https://www.czpk.pl/dokumenty/zeszyty/2006/zeszyt2/Bielski_M-Zasady_wymiaru_kary_za_podzeganie_i_pomocnictwo-CZPKiNP_2006-z.2.pdf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e-Prawnik.pl. https://e-prawnik.pl/kodeksy/kodeks-cywilny/zobowiazania-bezpodstawne-wzbogacenie/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Repository of University of Wroclaw. https://repozytorium.uni.wroc.pl/Content/89455/01_04_M_Nowicki_Wplyw_ustalen_wydanych_w_postepowaniu_karnym.pdf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Agnieszka Światłoń Kancelaria. https://agnieszkaswiatlon.pl/obowiazek-naprawienia-szkody-i-zadoscuczynienia-w-postepowaniu-karnym/</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BazEkon. https://bazekon.uek.krakow.pl/gospodarka/171697601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chmielniak.com.pl. https://chmielniak.com.pl/blog/oszustwo</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habrowski.pl. https://blog.habrowski.pl/odpowiedzialnosc-deliktowa-a-kontraktowa/</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System Analizy Orzeczeń Sądowych - SAOS. https://www.saos.org.pl/judgments/content/55596.html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System Analizy Orzeczeń Sądowych - SAOS. https://www.saos.org.pl/judgments/179397</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Kancelaria Radcy Prawnego Przemysław Lech. https://www.krppl.pl/blog/odpowiedzialno%C5%9B%C4%87-z-tytu%C5%82u-czynu-niedozwolonego</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Internetowy System Aktów Prawnych. https://isap.sejm.gov.pl/isap.nsf/download.xsp/WDU19970890555/U/D19970555Lj.pdf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System Analizy Orzeczeń Sądowych - SAOS. https://www.saos.org.pl/judgments/304670</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kozminski.edu.pl. https://repozytorium.kozminski.edu.pl/server/api/core/bitstreams/2397388f-c895-4d41-add0-f261c1d5e872/content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ATL Biuro rachunkowe. https://atl-group.pl/omylkowy-przelew-moze-drogo-kosztowac-od-kogo-dochodzic-zwrotu-srodkow-orzeczenie-sadu-najwyzszego/</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Księgowość. https://ksiegowosc.infor.pl/obrot-gospodarczy/dzialalnosc-gospodarcza/6333202,prowadzenie-dzialalnosci-gospodarczej-pod-cudzym-nazwiskiem-firmanctwo-skutki-prawne-i-podatkowe.html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sejm.gov.pl. https://orka2.sejm.gov.pl/IZ6.nsf/main/7A7F80BE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Adwokat Prawa Karnego Jarosław Błasiński - Warszawa. https://karne.com.pl/podejrzany-w-sprawie-karnej-oskarzony-w-sprawie-karnej/</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Kancelaria Ungier Gliniewicz i Wspólnicy. https://ugwlaw.pl/jak-zlozyc-zawiadomienie-o-mozliwosci-popelnienia-przestepstwa/</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ArsLege. https://arslege.pl/wiazaca-moc-wyroku-wydanego-w-postepowaniu-karnym/k14/a7630/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legaartis.com. https://legaartis.com/pomocnictwo-w-prawie-karnym-definicja-i-konsekwencje/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adwokat-skoczylas.pl. https://www.adwokat-skoczylas.pl/blog/oszustwo</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kancelaria-skarbiec.pl. https://kancelaria-skarbiec.pl/doradztwo-prawne/przestepstwo-oszustwa/</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System Analizy Orzeczeń Sądowych - SAOS. https://www.saos.org.pl/judgments/451793</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https://orzeczenia.gdansk-poludnie.sr.gov.pl/content/$N/151015050001006_II_K_001251_2016_Uz_2017-02-28_001</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https://www.adwokat-wilczynski.pl. https://www.adwokat-wilczynski.pl/karnista24-pl/blog/przestepstwo-z-art-286-k-k-a-niewykonanie-zobowiazania-umownego</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OIRP Katowice. https://oirp.katowice.pl/add/vrecord/1402866064/1405256104/1402866148_0.pdf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Repository of University of Wroclaw. https://repozytorium.uni.wroc.pl/Content/131782/PDF/10_Brozek_P_Problem_pro_rata_parte_na_gruncie_prawa_karnego.pdf</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https://www.sn.pl/sites/orzecznictwo/OrzeczeniaHTML/iv%20kk%20460-17.docx.html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System Analizy Orzeczeń Sądowych - SAOS. https://www.saos.org.pl/judgments/442613</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ArsLege. https://arslege.pl/wymiar-kary-za-podzeganie-i-pomocnictwo/k1/a19/</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Serwis Newsowy. https://adwokatwasil.pl/blog/art-46-par-1-kodeksu-karnego-obowiazek-naprawienia-szkody-i-zadoscuczynienia</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LexLege. https://lexlege.pl/kk/art-21/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uwr.edu.pl. https://prawo.uwr.edu.pl/wp-content/uploads/sites/210/2022/08/Prawo-cywilne-ZSP-II-gr.-4-cwiczenia-3-bezpodstawne-wzbogacenie.pdf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legaartis.com. https://legaartis.com/bezpodstawne-wzbogacenie-w-praktyce-jak-odzyskac-swoje-pieniadze/</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ArsLege. https://arslege.pl/indywidualizacja-odpowiedzialnosci-karnej/k1/a21/</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Kancelaria Prawna Sobota Jachira. https://www.sobotajachira.pl/bezpodstawne-wzbogacenie-czym-jest/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uwr.edu.pl. https://prawo.uwr.edu.pl/wp-content/uploads/sites/210/2022/08/prezent.-8-wspo%CC%81ldzialanie.pptx</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System Analizy Orzeczeń Sądowych - SAOS. https://www.saos.org.pl/judgments/431796</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Polsko-Ukraińska Izba Gospodarcza. https://pol-ukr.com/przestepstwa-gospodarcze-w-kodeksie-karnym/</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policja.gov.pl. https://sppila.policja.gov.pl/download/301/223087/JanczakNowakowskaOszustwa.pdf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Głos Prawa. https://glosprawa.pl/artykul-327/roznica-miedzy-sprawstwem-i-pomocnictwem-do-szantazu-glosa-do-wyroku-sadu-apelacyjnego-w-warszawie-z-dnia-22-lipca-2021-r-ii-aka-193-20</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probacja.com. https://probacja.com/api/files/view/2340556.pdf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Internetowy System Aktów Prawnych. https://isap.sejm.gov.pl/isap.nsf/download.xsp/WDU19640160093/U/D19640093Lj.pdf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Akademia Kujawsko-Pomorska. https://kpsw.edu.pl/pobierz/wydawnictwo/Miscellanea/T%20VII/Studia%20i%20artyku%C5%82y/Agnieszka%20Wo%C5%BAniak,%20Remigiusz%20Wrzosek.pdf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uksw.edu.pl. https://czasopisma.uksw.edu.pl/index.php/zp/article/download/855/882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kancelariapawlikowska.pl. https://kancelariapawlikowska.pl/prawo-karne-odpowiedzialnosc-karna-za-pomoc-w-popelnieniu-przestepstwa/</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Prawo.pl. https://www.prawo.pl/prawnicy-sady/tk-podzeganie-karalne-nawet-gdy-naklaniany-nie-ulegnie,56944.html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kruczek.pl. https://kruczek.pl/podzeganie/</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Snapchat. https://www.snapchat.com/</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Portal Gov.pl. https://www.gov.pl/attachment/c84c4f43-efe4-428c-918e-bd640b4a16a5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Kancelaria adwokacka w Grudziądzu | Adwokat Maciej Przybył. https://adwokat-przybyl.pl/aktualnosci/jak-uzyskac-odszkodowanie-za-nienalezyte-wykonanie-umowy</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Kancelaria Adwokacka Adwokat Adam Popławski - Szczecin. https://poplawski.legal/czym-jest-podzeganie-i-pomocnictwo-i-co-za-to-grozi/</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codozasady.pl. https://codozasady.pl/p/obowiazek-naprawienia-szkody-jak-ustawodawca-chroni-pokrzywdzonego</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szalaslegal.pl. https://szalaslegal.pl/udzielenie-innej-osobie-pomocy-w-popelnieniu-przestepstwa-skarbowego/</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LexLege. https://lexlege.pl/kpc/art-11/</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UMCS. https://www.umcs.pl/pl/szukaj-redirect,950402.html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https://orzeczenia.szczecin.so.gov.pl/content/$N/155515000002006_IV_Ka_000739_2014_Uz_2014-09-16_003</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codozasady.pl. https://codozasady.pl/p/odpowiedzialnosc-odszkodowawcza-osoby-swiadomie-korzystajacej-z-cudzego-czynu-niedozwolonego</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Warto wiedzieć. https://www.zubkowska.pl/wiedza.php?a=772&amp;c=6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LEX. https://sip.lex.pl/akty-prawne/dzu-dziennik-ustaw/kodeks-karny-16787601/art-21</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codozasady.pl. https://codozasady.pl/p/odszkodowanie-dla-pokrzywdzonych-przestepstwem-nie-tylko-od-sprawcy</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rp.pl. https://pro.rp.pl/prawo-w-firmie/art513001-kilku-sprawcow-czynu-niedozwolonego-odpowiada-solidarnie</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OWO Adwokaci. https://owo-adwokaci.pl/odpowiedzialnosc-za-szkode-art-415-k-c-kiedy-mozesz-dochodzic-odszkodowania-adwokat-jelenia-gora-wroclaw/</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mikroPorady.pl. https://mikroporady.pl/slownik-pojec/odpowiedzialnosc-deliktowa</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i-Kancelaria prawna. https://www.i-kancelaria.pl/publikacje/jak-korzystnie-skonstruowac-umowe-klauzula-dotyczaca-odpowiedzialnosci-odszkodowawczej/</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kancelariaostrowski.pl. https://www.kancelariaostrowski.pl/odpowiedzialnosc-odszkodowawcza-prezesa/</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OWO Adwokaci. https://owo-adwokaci.pl/bezpodstawne-wzbogacenie-co-to-jest-i-kiedy-zadac-zwrotu-adwokat-jelenia-gora/</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System Analizy Orzeczeń Sądowych - SAOS. https://www.saos.org.pl/judgments/41536</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Poradnik Przedsiębiorcy. https://poradnikprzedsiebiorcy.pl/-firmanctwo-na-czym-polega-i-jakie-rodzi-sankcje-podatkowe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ifirma.pl. https://www.ifirma.pl/blog/firmanctwo-dzialanie-pod-cudza-firma-co-za-to-grozi/</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Poradnik Przedsiębiorcy. https://poradnikprzedsiebiorcy.pl/-odpowiedzialnosc-przedsiebiorcy-przy-jednoosobowej-dzialalnosci-gospodarczej</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sejm.gov.pl. https://orka2.sejm.gov.pl/IZ6.nsf/main/4033F0DC</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KSSiP. https://www.kssip.gov.pl/sites/default/files/metodyka_pracy_prokuratora_internet.pdf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Prawo karne - poradnik prawny. https://karne.pl/przygotowawcze.html</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Andrzej Kaliski. https://www.adwokatbydgoszcz.pl/specjalizacje/prawo-karne/przedstawienie-zarzutow-podejrzanemu</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Biblioteka Nauki. https://bibliotekanauki.pl/books/51953441.pdf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Portal Gov.pl. https://www.gov.pl/attachment/0eeba09b-c3ec-4e18-b798-68be4ac7a590</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kancelaria-sandberg.pl. https://kancelaria-sandberg.pl/czym-jest-zawiadomienie-o-mozliwosci-popelnienia-przestepstwa-i-jakie-ma-skutki-prawne/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European e-Justice Portal. https://e-justice.europa.eu/topics/your-rights/victims-crime/victims-rights-country/2-reporting-crime-and-my-rights-during-investigation-or-trial/de_pl</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chmielniak.com.pl. https://chmielniak.com.pl/blog/jak-zlozyc-zawiadomienie-o-przestepstwie-kto-moze-zlozyc-w-jakiej-formie-i-jak-wyglada-procedura</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brpo.gov.pl. https://sprawy-generalne.brpo.gov.pl/pdf//2009/04/613938/1390948.pdf</w:t>
      </w:r>
      <w:bookmarkEnd w:id="1008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2026-06-03T20:21:05Z</dcterms:created>
  <dcterms:modified xsi:type="dcterms:W3CDTF">2026-06-03T20:21:05Z</dcterms:modified>
</cp:coreProperties>
</file>

<file path=docProps/custom.xml><?xml version="1.0" encoding="utf-8"?>
<Properties xmlns="http://schemas.openxmlformats.org/officeDocument/2006/custom-properties" xmlns:vt="http://schemas.openxmlformats.org/officeDocument/2006/docPropsVTypes"/>
</file>