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e3fca19660a463d" /></Relationships>
</file>

<file path=word/document.xml><?xml version="1.0" encoding="utf-8"?>
<w:document xmlns:r="http://schemas.openxmlformats.org/officeDocument/2006/relationships" xmlns:w="http://schemas.openxmlformats.org/wordprocessingml/2006/main">
  <w:body>
    <w:p>
      <w:pPr>
        <w:spacing w:before="2400"/>
      </w:pPr>
      <w:r/>
    </w:p>
    <w:p>
      <w:pPr>
        <w:pBdr>
          <w:bottom w:val="single" w:color="2C5282" w:sz="18" w:space="1"/>
        </w:pBdr>
        <w:ind w:left="1440"/>
        <w:jc w:val="left"/>
      </w:pPr>
      <w:r/>
    </w:p>
    <w:p>
      <w:pPr>
        <w:spacing w:before="400" w:after="0"/>
        <w:ind w:left="1440" w:right="1440"/>
        <w:jc w:val="left"/>
      </w:pPr>
      <w:r>
        <w:rPr>
          <w:rFonts w:ascii="Calibri" w:hAnsi="Calibri"/>
          <w:color w:val="6B7B8C"/>
          <w:spacing w:val="60"/>
          <w:sz w:val="28"/>
        </w:rPr>
        <w:t>LEGAL MEMO</w:t>
      </w:r>
    </w:p>
    <w:p>
      <w:pPr>
        <w:spacing w:before="200" w:after="200"/>
        <w:ind w:left="1440" w:right="1440"/>
        <w:jc w:val="left"/>
      </w:pPr>
      <w:r>
        <w:rPr>
          <w:rFonts w:ascii="Calibri" w:hAnsi="Calibri"/>
          <w:b/>
          <w:color w:val="1B2A4A"/>
          <w:sz w:val="52"/>
        </w:rPr>
        <w:t>Running the EPU Civil Claim and the Criminal Case in Parallel</w:t>
      </w:r>
    </w:p>
    <w:p>
      <w:pPr>
        <w:spacing w:before="200" w:after="100"/>
        <w:ind w:left="1440" w:right="1440"/>
        <w:jc w:val="left"/>
      </w:pPr>
      <w:r>
        <w:rPr>
          <w:rFonts w:ascii="Calibri" w:hAnsi="Calibri"/>
          <w:color w:val="4A5568"/>
          <w:sz w:val="24"/>
        </w:rPr>
        <w:t>EPU Nc-e 552126/26  |  Sąd Rejonowy Lublin-Zachód w Lublinie  |  155,000 PLN</w:t>
      </w:r>
    </w:p>
    <w:p>
      <w:pPr>
        <w:spacing w:before="80" w:after="100"/>
        <w:ind w:left="1440" w:right="1440"/>
        <w:jc w:val="left"/>
      </w:pPr>
      <w:r>
        <w:rPr>
          <w:rFonts w:ascii="Calibri" w:hAnsi="Calibri"/>
          <w:color w:val="4A5568"/>
          <w:sz w:val="22"/>
        </w:rPr>
        <w:t>Claim: 155,000 PLN + statutory delay interest  |  Debtor: Mateusz Szklarski / JDG GPUcomputer</w:t>
      </w:r>
    </w:p>
    <w:p>
      <w:pPr>
        <w:spacing w:before="80" w:after="100"/>
        <w:ind w:left="1440" w:right="1440"/>
        <w:jc w:val="left"/>
      </w:pPr>
      <w:r>
        <w:rPr>
          <w:rFonts w:ascii="Calibri" w:hAnsi="Calibri"/>
          <w:color w:val="4A5568"/>
          <w:sz w:val="22"/>
        </w:rPr>
        <w:t>Criminal track: Art. 286 § 1 KK (fraud / oszustwo)</w:t>
      </w:r>
    </w:p>
    <w:p>
      <w:pPr>
        <w:pBdr>
          <w:bottom w:val="single" w:color="2C5282" w:sz="12" w:space="1"/>
        </w:pBdr>
        <w:ind w:left="1440"/>
        <w:jc w:val="left"/>
      </w:pPr>
      <w:r/>
    </w:p>
    <w:p>
      <w:pPr>
        <w:spacing w:before="600"/>
        <w:ind w:left="1440"/>
        <w:jc w:val="left"/>
      </w:pPr>
      <w:r>
        <w:rPr>
          <w:rFonts w:ascii="Calibri" w:hAnsi="Calibri"/>
          <w:color w:val="6B7B8C"/>
          <w:sz w:val="24"/>
        </w:rPr>
        <w:t>June 2026</w:t>
      </w:r>
    </w:p>
    <w:p>
      <w:pPr>
        <w:sectPr>
          <w:type w:val="nextPage"/>
          <w:pgSz w:w="11906" w:h="16838"/>
          <w:pgMar w:top="1440" w:right="1440" w:bottom="1440" w:left="1440" w:header="720" w:footer="720"/>
        </w:sectPr>
      </w:pPr>
    </w:p>
    <w:p>
      <w:pPr>
        <w:spacing w:before="400" w:after="200"/>
        <w:jc w:val="left"/>
      </w:pPr>
      <w:r>
        <w:rPr>
          <w:rFonts w:ascii="Calibri" w:hAnsi="Calibri"/>
          <w:b/>
          <w:color w:val="1B2A4A"/>
          <w:sz w:val="32"/>
        </w:rPr>
        <w:t>Table of Contents</w:t>
      </w:r>
    </w:p>
    <w:p>
      <w:pPr>
        <w:spacing w:after="300"/>
      </w:pPr>
      <w:r>
        <w:rPr>
          <w:color w:val="6B7B8C"/>
          <w:sz w:val="18"/>
        </w:rPr>
        <w:t>Right-click the TOC and select "Update Field" to refresh page numbers.</w:t>
      </w:r>
    </w:p>
    <w:p>
      <w:r>
        <w:fldChar w:fldCharType="begin"/>
      </w:r>
      <w:r>
        <w:instrText xml:space="preserve"> TOC \o "1-3" \h \z \u </w:instrText>
      </w:r>
      <w:r>
        <w:fldChar w:fldCharType="separate"/>
      </w:r>
    </w:p>
    <w:p>
      <w:pPr>
        <w:pStyle w:val="TOC1"/>
      </w:pPr>
      <w:r>
        <w:t>Direct Yes/No Answers</w:t>
      </w:r>
      <w:r>
        <w:tab/>
      </w:r>
      <w:r>
        <w:t>1</w:t>
      </w:r>
    </w:p>
    <w:p>
      <w:pPr>
        <w:pStyle w:val="TOC1"/>
      </w:pPr>
      <w:r>
        <w:t>1. Suspension Analysis: Art. 177 § 1 Pkt 4 KPC</w:t>
      </w:r>
      <w:r>
        <w:tab/>
      </w:r>
      <w:r>
        <w:t>3</w:t>
      </w:r>
    </w:p>
    <w:p>
      <w:pPr>
        <w:pStyle w:val="TOC2"/>
      </w:pPr>
      <w:r>
        <w:t>1.1 The Provision Is Discretionary, Not Mandatory</w:t>
      </w:r>
      <w:r>
        <w:tab/>
      </w:r>
      <w:r>
        <w:t>3</w:t>
      </w:r>
    </w:p>
    <w:p>
      <w:pPr>
        <w:pStyle w:val="TOC2"/>
      </w:pPr>
      <w:r>
        <w:t>1.2 The Two-Part Test (SN IV CSK 377/17)</w:t>
      </w:r>
      <w:r>
        <w:tab/>
      </w:r>
      <w:r>
        <w:t>3</w:t>
      </w:r>
    </w:p>
    <w:p>
      <w:pPr>
        <w:pStyle w:val="TOC2"/>
      </w:pPr>
      <w:r>
        <w:t>1.3 Why Suspension Is Unlikely for This EPU Claim</w:t>
      </w:r>
      <w:r>
        <w:tab/>
      </w:r>
      <w:r>
        <w:t>4</w:t>
      </w:r>
    </w:p>
    <w:p>
      <w:pPr>
        <w:pStyle w:val="TOC2"/>
      </w:pPr>
      <w:r>
        <w:t>1.4 Impact of Sprzeciw (Opposition)</w:t>
      </w:r>
      <w:r>
        <w:tab/>
      </w:r>
      <w:r>
        <w:t>5</w:t>
      </w:r>
    </w:p>
    <w:p>
      <w:pPr>
        <w:pStyle w:val="TOC2"/>
      </w:pPr>
      <w:r>
        <w:t>1.5 Who Can Request Suspension? Debtor Abuse Risk</w:t>
      </w:r>
      <w:r>
        <w:tab/>
      </w:r>
      <w:r>
        <w:t>5</w:t>
      </w:r>
    </w:p>
    <w:p>
      <w:pPr>
        <w:pStyle w:val="TOC1"/>
      </w:pPr>
      <w:r>
        <w:t>2. The Double-Recovery Rule</w:t>
      </w:r>
      <w:r>
        <w:tab/>
      </w:r>
      <w:r>
        <w:t>6</w:t>
      </w:r>
    </w:p>
    <w:p>
      <w:pPr>
        <w:pStyle w:val="TOC2"/>
      </w:pPr>
      <w:r>
        <w:t>2.1 Can Both Titles Coexist?</w:t>
      </w:r>
      <w:r>
        <w:tab/>
      </w:r>
      <w:r>
        <w:t>6</w:t>
      </w:r>
    </w:p>
    <w:p>
      <w:pPr>
        <w:pStyle w:val="TOC2"/>
      </w:pPr>
      <w:r>
        <w:t>2.2 The Anti-Double-Recovery Principle</w:t>
      </w:r>
      <w:r>
        <w:tab/>
      </w:r>
      <w:r>
        <w:t>6</w:t>
      </w:r>
    </w:p>
    <w:p>
      <w:pPr>
        <w:pStyle w:val="TOC2"/>
      </w:pPr>
      <w:r>
        <w:t>2.3 Debtor Defenses Against Double Enforcement</w:t>
      </w:r>
      <w:r>
        <w:tab/>
      </w:r>
      <w:r>
        <w:t>7</w:t>
      </w:r>
    </w:p>
    <w:p>
      <w:pPr>
        <w:pStyle w:val="TOC2"/>
      </w:pPr>
      <w:r>
        <w:t>2.4 The Unique Advantage of Holding Two Titles</w:t>
      </w:r>
      <w:r>
        <w:tab/>
      </w:r>
      <w:r>
        <w:t>7</w:t>
      </w:r>
    </w:p>
    <w:p>
      <w:pPr>
        <w:pStyle w:val="TOC1"/>
      </w:pPr>
      <w:r>
        <w:t>3. Cross-Effects: Can One Case Help the Other?</w:t>
      </w:r>
      <w:r>
        <w:tab/>
      </w:r>
      <w:r>
        <w:t>9</w:t>
      </w:r>
    </w:p>
    <w:p>
      <w:pPr>
        <w:pStyle w:val="TOC2"/>
      </w:pPr>
      <w:r>
        <w:t>3.1 Criminal → Civil: Binding (Art. 11 KPC)</w:t>
      </w:r>
      <w:r>
        <w:tab/>
      </w:r>
      <w:r>
        <w:t>9</w:t>
      </w:r>
    </w:p>
    <w:p>
      <w:pPr>
        <w:pStyle w:val="TOC2"/>
      </w:pPr>
      <w:r>
        <w:t>3.2 Civil → Criminal: Not Binding (Art. 8 § 1 KPK)</w:t>
      </w:r>
      <w:r>
        <w:tab/>
      </w:r>
      <w:r>
        <w:t>9</w:t>
      </w:r>
    </w:p>
    <w:p>
      <w:pPr>
        <w:pStyle w:val="TOC2"/>
      </w:pPr>
      <w:r>
        <w:t>3.3 Practical Implication</w:t>
      </w:r>
      <w:r>
        <w:tab/>
      </w:r>
      <w:r>
        <w:t>9</w:t>
      </w:r>
    </w:p>
    <w:p>
      <w:pPr>
        <w:pStyle w:val="TOC1"/>
      </w:pPr>
      <w:r>
        <w:t>4. Recommended Sequencing of the Two Tracks</w:t>
      </w:r>
      <w:r>
        <w:tab/>
      </w:r>
      <w:r>
        <w:t>10</w:t>
      </w:r>
    </w:p>
    <w:p>
      <w:pPr>
        <w:pStyle w:val="TOC2"/>
      </w:pPr>
      <w:r>
        <w:t>4.1 Core Strategy: Civil-First, Criminal-Second</w:t>
      </w:r>
      <w:r>
        <w:tab/>
      </w:r>
      <w:r>
        <w:t>10</w:t>
      </w:r>
    </w:p>
    <w:p>
      <w:pPr>
        <w:pStyle w:val="TOC2"/>
      </w:pPr>
      <w:r>
        <w:t>4.2 Why Not File Criminal Immediately?</w:t>
      </w:r>
      <w:r>
        <w:tab/>
      </w:r>
      <w:r>
        <w:t>10</w:t>
      </w:r>
    </w:p>
    <w:p>
      <w:pPr>
        <w:pStyle w:val="TOC2"/>
      </w:pPr>
      <w:r>
        <w:t>4.3 Why Filing Criminal After Nakaz Strengthens the Criminal Complaint</w:t>
      </w:r>
      <w:r>
        <w:tab/>
      </w:r>
      <w:r>
        <w:t>11</w:t>
      </w:r>
    </w:p>
    <w:p>
      <w:pPr>
        <w:pStyle w:val="TOC2"/>
      </w:pPr>
      <w:r>
        <w:t>4.4 The Wniosek o Przyspieszenie Rozpoznania Sprawy</w:t>
      </w:r>
      <w:r>
        <w:tab/>
      </w:r>
      <w:r>
        <w:t>11</w:t>
      </w:r>
    </w:p>
    <w:p>
      <w:pPr>
        <w:pStyle w:val="TOC2"/>
      </w:pPr>
      <w:r>
        <w:t>4.5 Critical Verification: PESEL Status</w:t>
      </w:r>
      <w:r>
        <w:tab/>
      </w:r>
      <w:r>
        <w:t>12</w:t>
      </w:r>
    </w:p>
    <w:p>
      <w:pPr>
        <w:pStyle w:val="TOC2"/>
      </w:pPr>
      <w:r>
        <w:t>4.6 Summary: Why This Sequencing Works</w:t>
      </w:r>
      <w:r>
        <w:tab/>
      </w:r>
      <w:r>
        <w:t>12</w:t>
      </w:r>
    </w:p>
    <w:p>
      <w:pPr>
        <w:pStyle w:val="TOC1"/>
      </w:pPr>
      <w:r>
        <w:t>Key Citations</w:t>
      </w:r>
      <w:r>
        <w:tab/>
      </w:r>
      <w:r>
        <w:t>13</w:t>
      </w:r>
    </w:p>
    <w:p>
      <w:r>
        <w:fldChar w:fldCharType="end"/>
      </w:r>
    </w:p>
    <w:p>
      <w:pPr>
        <w:sectPr>
          <w:type w:val="nextPage"/>
          <w:pgSz w:w="11906" w:h="16838"/>
          <w:pgMar w:top="1440" w:right="1440" w:bottom="1440" w:left="1440" w:header="720" w:footer="720"/>
        </w:sectPr>
      </w:pPr>
    </w:p>
    <w:p>
      <w:pPr>
        <w:pStyle w:val="Heading1"/>
      </w:pPr>
      <w:r>
        <w:t>Direct Yes/No Answers</w:t>
      </w:r>
    </w:p>
    <w:p>
      <w:pPr>
        <w:spacing w:after="200" w:line="276" w:lineRule="auto"/>
      </w:pPr>
      <w:r>
        <w:rPr>
          <w:rFonts w:ascii="Calibri" w:hAnsi="Calibri"/>
          <w:color w:val="333333"/>
          <w:sz w:val="22"/>
        </w:rPr>
        <w:t>The following table provides direct answers to the ten key questions about running the EPU civil claim and the criminal case in parallel.</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900"/>
        <w:gridCol w:w="4200"/>
        <w:gridCol w:w="4900"/>
      </w:tblGrid>
      <w:tr>
        <w:trPr>
          <w:tblHeader/>
        </w:trPr>
        <w:tc>
          <w:tcPr>
            <w:tcW w:w="900" w:type="dxa"/>
            <w:shd w:val="clear" w:fill="E8EDF2"/>
          </w:tcPr>
          <w:p>
            <w:pPr>
              <w:spacing w:before="60" w:after="60"/>
              <w:jc w:val="left"/>
            </w:pPr>
            <w:r>
              <w:rPr>
                <w:rFonts w:ascii="Calibri" w:hAnsi="Calibri"/>
                <w:b/>
                <w:color w:val="1B2A4A"/>
                <w:sz w:val="20"/>
              </w:rPr>
              <w:t>#</w:t>
            </w:r>
          </w:p>
        </w:tc>
        <w:tc>
          <w:tcPr>
            <w:tcW w:w="4200" w:type="dxa"/>
            <w:shd w:val="clear" w:fill="E8EDF2"/>
          </w:tcPr>
          <w:p>
            <w:pPr>
              <w:spacing w:before="60" w:after="60"/>
              <w:jc w:val="left"/>
            </w:pPr>
            <w:r>
              <w:rPr>
                <w:rFonts w:ascii="Calibri" w:hAnsi="Calibri"/>
                <w:b/>
                <w:color w:val="1B2A4A"/>
                <w:sz w:val="20"/>
              </w:rPr>
              <w:t>Question</w:t>
            </w:r>
          </w:p>
        </w:tc>
        <w:tc>
          <w:tcPr>
            <w:tcW w:w="4900" w:type="dxa"/>
            <w:shd w:val="clear" w:fill="E8EDF2"/>
          </w:tcPr>
          <w:p>
            <w:pPr>
              <w:spacing w:before="60" w:after="60"/>
              <w:jc w:val="left"/>
            </w:pPr>
            <w:r>
              <w:rPr>
                <w:rFonts w:ascii="Calibri" w:hAnsi="Calibri"/>
                <w:b/>
                <w:color w:val="1B2A4A"/>
                <w:sz w:val="20"/>
              </w:rPr>
              <w:t>Answer</w:t>
            </w:r>
          </w:p>
        </w:tc>
      </w:tr>
      <w:tr>
        <w:tc>
          <w:tcPr>
            <w:tcW w:w="900" w:type="dxa"/>
          </w:tcPr>
          <w:p>
            <w:pPr>
              <w:spacing w:before="40" w:after="40"/>
            </w:pPr>
            <w:r>
              <w:rPr>
                <w:rFonts w:ascii="Calibri" w:hAnsi="Calibri"/>
                <w:color w:val="333333"/>
                <w:sz w:val="20"/>
              </w:rPr>
              <w:t>1</w:t>
            </w:r>
          </w:p>
        </w:tc>
        <w:tc>
          <w:tcPr>
            <w:tcW w:w="4200" w:type="dxa"/>
          </w:tcPr>
          <w:p>
            <w:pPr>
              <w:spacing w:before="40" w:after="40"/>
            </w:pPr>
            <w:r>
              <w:rPr>
                <w:rFonts w:ascii="Calibri" w:hAnsi="Calibri"/>
                <w:color w:val="333333"/>
                <w:sz w:val="20"/>
              </w:rPr>
              <w:t>Can both the EPU civil claim and the art. 286 § 1 KK criminal complaint proceed simultaneously?</w:t>
            </w:r>
          </w:p>
        </w:tc>
        <w:tc>
          <w:tcPr>
            <w:tcW w:w="4900" w:type="dxa"/>
          </w:tcPr>
          <w:p>
            <w:pPr>
              <w:spacing w:before="40" w:after="40"/>
            </w:pPr>
            <w:r>
              <w:rPr>
                <w:rFonts w:ascii="Calibri" w:hAnsi="Calibri"/>
                <w:b/>
                <w:color w:val="333333"/>
                <w:sz w:val="20"/>
              </w:rPr>
              <w:t>YES. No procedural bar exists. Art. 12 KPC grants the claimant free choice (swoboda wyboru) between civil and criminal remedies. The two tracks are independent (samodzielność jurysdykcyjna).</w:t>
            </w:r>
          </w:p>
        </w:tc>
      </w:tr>
      <w:tr>
        <w:tc>
          <w:tcPr>
            <w:tcW w:w="900" w:type="dxa"/>
          </w:tcPr>
          <w:p>
            <w:pPr>
              <w:spacing w:before="40" w:after="40"/>
            </w:pPr>
            <w:r>
              <w:rPr>
                <w:rFonts w:ascii="Calibri" w:hAnsi="Calibri"/>
                <w:color w:val="333333"/>
                <w:sz w:val="20"/>
              </w:rPr>
              <w:t>2</w:t>
            </w:r>
          </w:p>
        </w:tc>
        <w:tc>
          <w:tcPr>
            <w:tcW w:w="4200" w:type="dxa"/>
          </w:tcPr>
          <w:p>
            <w:pPr>
              <w:spacing w:before="40" w:after="40"/>
            </w:pPr>
            <w:r>
              <w:rPr>
                <w:rFonts w:ascii="Calibri" w:hAnsi="Calibri"/>
                <w:color w:val="333333"/>
                <w:sz w:val="20"/>
              </w:rPr>
              <w:t>Will the EPU/civil case be automatically suspended because of the criminal case?</w:t>
            </w:r>
          </w:p>
        </w:tc>
        <w:tc>
          <w:tcPr>
            <w:tcW w:w="4900" w:type="dxa"/>
          </w:tcPr>
          <w:p>
            <w:pPr>
              <w:spacing w:before="40" w:after="40"/>
            </w:pPr>
            <w:r>
              <w:rPr>
                <w:rFonts w:ascii="Calibri" w:hAnsi="Calibri"/>
                <w:color w:val="333333"/>
                <w:sz w:val="20"/>
              </w:rPr>
              <w:t>NO. Suspension under art. 177 § 1 pkt 4 KPC is discretionary (fakultatywne / uznaniowe) — the court “may” (może) suspend, not “shall.” It is not automatic.</w:t>
            </w:r>
          </w:p>
        </w:tc>
      </w:tr>
      <w:tr>
        <w:tc>
          <w:tcPr>
            <w:tcW w:w="900" w:type="dxa"/>
          </w:tcPr>
          <w:p>
            <w:pPr>
              <w:spacing w:before="40" w:after="40"/>
            </w:pPr>
            <w:r>
              <w:rPr>
                <w:rFonts w:ascii="Calibri" w:hAnsi="Calibri"/>
                <w:color w:val="333333"/>
                <w:sz w:val="20"/>
              </w:rPr>
              <w:t>3</w:t>
            </w:r>
          </w:p>
        </w:tc>
        <w:tc>
          <w:tcPr>
            <w:tcW w:w="4200" w:type="dxa"/>
          </w:tcPr>
          <w:p>
            <w:pPr>
              <w:spacing w:before="40" w:after="40"/>
            </w:pPr>
            <w:r>
              <w:rPr>
                <w:rFonts w:ascii="Calibri" w:hAnsi="Calibri"/>
                <w:color w:val="333333"/>
                <w:sz w:val="20"/>
              </w:rPr>
              <w:t>Is suspension likely for a documentary EPU commercial debt claim?</w:t>
            </w:r>
          </w:p>
        </w:tc>
        <w:tc>
          <w:tcPr>
            <w:tcW w:w="4900" w:type="dxa"/>
          </w:tcPr>
          <w:p>
            <w:pPr>
              <w:spacing w:before="40" w:after="40"/>
            </w:pPr>
            <w:r>
              <w:rPr>
                <w:rFonts w:ascii="Calibri" w:hAnsi="Calibri"/>
                <w:b/>
                <w:color w:val="333333"/>
                <w:sz w:val="20"/>
              </w:rPr>
              <w:t>NO — low probability. Commercial documentary claims are the least likely category for suspension. The risk rises only marginally if the debtor files a sprzeciw and the case converts to ordinary proceedings.</w:t>
            </w:r>
          </w:p>
        </w:tc>
      </w:tr>
      <w:tr>
        <w:tc>
          <w:tcPr>
            <w:tcW w:w="900" w:type="dxa"/>
          </w:tcPr>
          <w:p>
            <w:pPr>
              <w:spacing w:before="40" w:after="40"/>
            </w:pPr>
            <w:r>
              <w:rPr>
                <w:rFonts w:ascii="Calibri" w:hAnsi="Calibri"/>
                <w:color w:val="333333"/>
                <w:sz w:val="20"/>
              </w:rPr>
              <w:t>4</w:t>
            </w:r>
          </w:p>
        </w:tc>
        <w:tc>
          <w:tcPr>
            <w:tcW w:w="4200" w:type="dxa"/>
          </w:tcPr>
          <w:p>
            <w:pPr>
              <w:spacing w:before="40" w:after="40"/>
            </w:pPr>
            <w:r>
              <w:rPr>
                <w:rFonts w:ascii="Calibri" w:hAnsi="Calibri"/>
                <w:color w:val="333333"/>
                <w:sz w:val="20"/>
              </w:rPr>
              <w:t>Can the debtor abuse suspension requests as a stalling tactic?</w:t>
            </w:r>
          </w:p>
        </w:tc>
        <w:tc>
          <w:tcPr>
            <w:tcW w:w="4900" w:type="dxa"/>
          </w:tcPr>
          <w:p>
            <w:pPr>
              <w:spacing w:before="40" w:after="40"/>
            </w:pPr>
            <w:r>
              <w:rPr>
                <w:rFonts w:ascii="Calibri" w:hAnsi="Calibri"/>
                <w:color w:val="333333"/>
                <w:sz w:val="20"/>
              </w:rPr>
              <w:t>Limited risk. The court must apply the two-part test from SN IV CSK 377/17; a mere request is not binding. The claimant should actively oppose any suspension motion.</w:t>
            </w:r>
          </w:p>
        </w:tc>
      </w:tr>
      <w:tr>
        <w:tc>
          <w:tcPr>
            <w:tcW w:w="900" w:type="dxa"/>
          </w:tcPr>
          <w:p>
            <w:pPr>
              <w:spacing w:before="40" w:after="40"/>
            </w:pPr>
            <w:r>
              <w:rPr>
                <w:rFonts w:ascii="Calibri" w:hAnsi="Calibri"/>
                <w:color w:val="333333"/>
                <w:sz w:val="20"/>
              </w:rPr>
              <w:t>5</w:t>
            </w:r>
          </w:p>
        </w:tc>
        <w:tc>
          <w:tcPr>
            <w:tcW w:w="4200" w:type="dxa"/>
          </w:tcPr>
          <w:p>
            <w:pPr>
              <w:spacing w:before="40" w:after="40"/>
            </w:pPr>
            <w:r>
              <w:rPr>
                <w:rFonts w:ascii="Calibri" w:hAnsi="Calibri"/>
                <w:color w:val="333333"/>
                <w:sz w:val="20"/>
              </w:rPr>
              <w:t>Can the claimant hold both a civil execution title and an art. 46 KK criminal restitution order for the same 155k?</w:t>
            </w:r>
          </w:p>
        </w:tc>
        <w:tc>
          <w:tcPr>
            <w:tcW w:w="4900" w:type="dxa"/>
          </w:tcPr>
          <w:p>
            <w:pPr>
              <w:spacing w:before="40" w:after="40"/>
            </w:pPr>
            <w:r>
              <w:rPr>
                <w:rFonts w:ascii="Calibri" w:hAnsi="Calibri"/>
                <w:color w:val="333333"/>
                <w:sz w:val="20"/>
              </w:rPr>
              <w:t>Technically yes, but practically difficult. Art. 415 § 1 zd. 2 k.p.k. (the anti-cumulation clause) bars the criminal court from issuing art. 46 KK restitution if the same claim is already the subject of “inne postępowanie” (the pending EPU) or has been “prawomocnie orzeczono” (finally adjudicated). Since the EPU is already pending, the civil track has priority.</w:t>
            </w:r>
          </w:p>
        </w:tc>
      </w:tr>
      <w:tr>
        <w:tc>
          <w:tcPr>
            <w:tcW w:w="900" w:type="dxa"/>
          </w:tcPr>
          <w:p>
            <w:pPr>
              <w:spacing w:before="40" w:after="40"/>
            </w:pPr>
            <w:r>
              <w:rPr>
                <w:rFonts w:ascii="Calibri" w:hAnsi="Calibri"/>
                <w:color w:val="333333"/>
                <w:sz w:val="20"/>
              </w:rPr>
              <w:t>6</w:t>
            </w:r>
          </w:p>
        </w:tc>
        <w:tc>
          <w:tcPr>
            <w:tcW w:w="4200" w:type="dxa"/>
          </w:tcPr>
          <w:p>
            <w:pPr>
              <w:spacing w:before="40" w:after="40"/>
            </w:pPr>
            <w:r>
              <w:rPr>
                <w:rFonts w:ascii="Calibri" w:hAnsi="Calibri"/>
                <w:color w:val="333333"/>
                <w:sz w:val="20"/>
              </w:rPr>
              <w:t>If the claimant somehow obtains both titles, can they collect 310,000 PLN (double recovery)?</w:t>
            </w:r>
          </w:p>
        </w:tc>
        <w:tc>
          <w:tcPr>
            <w:tcW w:w="4900" w:type="dxa"/>
          </w:tcPr>
          <w:p>
            <w:pPr>
              <w:spacing w:before="40" w:after="40"/>
            </w:pPr>
            <w:r>
              <w:rPr>
                <w:rFonts w:ascii="Calibri" w:hAnsi="Calibri"/>
                <w:color w:val="333333"/>
                <w:sz w:val="20"/>
              </w:rPr>
              <w:t>NO. The anti-double-recovery principle (zakaz podwójnego zaspokojenia) — rooted in art. 410 k.c. (concursus actionum), the general principle of no unjust enrichment (art. 405 k.c.), and the supplementary nature of art. 46 § 3 KK — prevents collection beyond the actual damage (155k PLN).</w:t>
            </w:r>
          </w:p>
        </w:tc>
      </w:tr>
      <w:tr>
        <w:tc>
          <w:tcPr>
            <w:tcW w:w="900" w:type="dxa"/>
          </w:tcPr>
          <w:p>
            <w:pPr>
              <w:spacing w:before="40" w:after="40"/>
            </w:pPr>
            <w:r>
              <w:rPr>
                <w:rFonts w:ascii="Calibri" w:hAnsi="Calibri"/>
                <w:color w:val="333333"/>
                <w:sz w:val="20"/>
              </w:rPr>
              <w:t>7</w:t>
            </w:r>
          </w:p>
        </w:tc>
        <w:tc>
          <w:tcPr>
            <w:tcW w:w="4200" w:type="dxa"/>
          </w:tcPr>
          <w:p>
            <w:pPr>
              <w:spacing w:before="40" w:after="40"/>
            </w:pPr>
            <w:r>
              <w:rPr>
                <w:rFonts w:ascii="Calibri" w:hAnsi="Calibri"/>
                <w:color w:val="333333"/>
                <w:sz w:val="20"/>
              </w:rPr>
              <w:t>Is there any advantage to holding two titles?</w:t>
            </w:r>
          </w:p>
        </w:tc>
        <w:tc>
          <w:tcPr>
            <w:tcW w:w="4900" w:type="dxa"/>
          </w:tcPr>
          <w:p>
            <w:pPr>
              <w:spacing w:before="40" w:after="40"/>
            </w:pPr>
            <w:r>
              <w:rPr>
                <w:rFonts w:ascii="Calibri" w:hAnsi="Calibri"/>
                <w:b/>
                <w:color w:val="333333"/>
                <w:sz w:val="20"/>
              </w:rPr>
              <w:t>YES — in Poland. The art. 46 KK title has three unique advantages over a civil title: (a) it is non-dischargeable in bankruptcy (art. 491²¹ ust. 2 pkt 3 Prawa upadłościowego); (b) non-payment can trigger imprisonment (art. 244c KK: 3 months to 5 years for intentional evasion); and (c) it blocks criminal rehabilitation (art. 107 § 6 KK) and can revoke a suspended sentence (art. 75 § 2 KK). A civil title has none of these effects.</w:t>
            </w:r>
          </w:p>
        </w:tc>
      </w:tr>
      <w:tr>
        <w:tc>
          <w:tcPr>
            <w:tcW w:w="900" w:type="dxa"/>
          </w:tcPr>
          <w:p>
            <w:pPr>
              <w:spacing w:before="40" w:after="40"/>
            </w:pPr>
            <w:r>
              <w:rPr>
                <w:rFonts w:ascii="Calibri" w:hAnsi="Calibri"/>
                <w:color w:val="333333"/>
                <w:sz w:val="20"/>
              </w:rPr>
              <w:t>8</w:t>
            </w:r>
          </w:p>
        </w:tc>
        <w:tc>
          <w:tcPr>
            <w:tcW w:w="4200" w:type="dxa"/>
          </w:tcPr>
          <w:p>
            <w:pPr>
              <w:spacing w:before="40" w:after="40"/>
            </w:pPr>
            <w:r>
              <w:rPr>
                <w:rFonts w:ascii="Calibri" w:hAnsi="Calibri"/>
                <w:color w:val="333333"/>
                <w:sz w:val="20"/>
              </w:rPr>
              <w:t>For Netherlands enforcement, which title is better?</w:t>
            </w:r>
          </w:p>
        </w:tc>
        <w:tc>
          <w:tcPr>
            <w:tcW w:w="4900" w:type="dxa"/>
          </w:tcPr>
          <w:p>
            <w:pPr>
              <w:spacing w:before="40" w:after="40"/>
            </w:pPr>
            <w:r>
              <w:rPr>
                <w:rFonts w:ascii="Calibri" w:hAnsi="Calibri"/>
                <w:color w:val="333333"/>
                <w:sz w:val="20"/>
              </w:rPr>
              <w:t>The civil title is vastly superior. It is enforceable in the Netherlands under Brussels Ia (Reg. 1215/2012) with no exequatur required. An art. 46 KK restitution order, being part of a criminal judgment, falls outside Brussels Ia scope and faces prohibitive enforcement barriers abroad.</w:t>
            </w:r>
          </w:p>
        </w:tc>
      </w:tr>
      <w:tr>
        <w:tc>
          <w:tcPr>
            <w:tcW w:w="900" w:type="dxa"/>
          </w:tcPr>
          <w:p>
            <w:pPr>
              <w:spacing w:before="40" w:after="40"/>
            </w:pPr>
            <w:r>
              <w:rPr>
                <w:rFonts w:ascii="Calibri" w:hAnsi="Calibri"/>
                <w:color w:val="333333"/>
                <w:sz w:val="20"/>
              </w:rPr>
              <w:t>9</w:t>
            </w:r>
          </w:p>
        </w:tc>
        <w:tc>
          <w:tcPr>
            <w:tcW w:w="4200" w:type="dxa"/>
          </w:tcPr>
          <w:p>
            <w:pPr>
              <w:spacing w:before="40" w:after="40"/>
            </w:pPr>
            <w:r>
              <w:rPr>
                <w:rFonts w:ascii="Calibri" w:hAnsi="Calibri"/>
                <w:color w:val="333333"/>
                <w:sz w:val="20"/>
              </w:rPr>
              <w:t>Should the claimant file the wniosek o przyspieszenie rozpoznania sprawy?</w:t>
            </w:r>
          </w:p>
        </w:tc>
        <w:tc>
          <w:tcPr>
            <w:tcW w:w="4900" w:type="dxa"/>
          </w:tcPr>
          <w:p>
            <w:pPr>
              <w:spacing w:before="40" w:after="40"/>
            </w:pPr>
            <w:r>
              <w:rPr>
                <w:rFonts w:ascii="Calibri" w:hAnsi="Calibri"/>
                <w:b/>
                <w:color w:val="333333"/>
                <w:sz w:val="20"/>
              </w:rPr>
              <w:t>YES — file it immediately (Week 1). It costs nothing, carries no downside risk, may moderately accelerate the EPU timeline, and creates a paper trail of urgency. Cite: (1) debtor abroad + asset dissipation risk, (2) cross-border enforcement complexity, (3) commercial urgency, (4) clean KRZ first-mover advantage. Do NOT mention the planned criminal complaint in the wniosek.</w:t>
            </w:r>
          </w:p>
        </w:tc>
      </w:tr>
      <w:tr>
        <w:tc>
          <w:tcPr>
            <w:tcW w:w="900" w:type="dxa"/>
          </w:tcPr>
          <w:p>
            <w:pPr>
              <w:spacing w:before="40" w:after="40"/>
            </w:pPr>
            <w:r>
              <w:rPr>
                <w:rFonts w:ascii="Calibri" w:hAnsi="Calibri"/>
                <w:color w:val="333333"/>
                <w:sz w:val="20"/>
              </w:rPr>
              <w:t>10</w:t>
            </w:r>
          </w:p>
        </w:tc>
        <w:tc>
          <w:tcPr>
            <w:tcW w:w="4200" w:type="dxa"/>
          </w:tcPr>
          <w:p>
            <w:pPr>
              <w:spacing w:before="40" w:after="40"/>
            </w:pPr>
            <w:r>
              <w:rPr>
                <w:rFonts w:ascii="Calibri" w:hAnsi="Calibri"/>
                <w:color w:val="333333"/>
                <w:sz w:val="20"/>
              </w:rPr>
              <w:t>Optimal sequencing: civil first or criminal first?</w:t>
            </w:r>
          </w:p>
        </w:tc>
        <w:tc>
          <w:tcPr>
            <w:tcW w:w="4900" w:type="dxa"/>
          </w:tcPr>
          <w:p>
            <w:pPr>
              <w:spacing w:before="40" w:after="40"/>
            </w:pPr>
            <w:r>
              <w:rPr>
                <w:rFonts w:ascii="Calibri" w:hAnsi="Calibri"/>
                <w:color w:val="333333"/>
                <w:sz w:val="20"/>
              </w:rPr>
              <w:t>CIVIL FIRST, CRIMINAL SECOND. Push the EPU to a prawomocny nakaz zapłaty first, file the criminal complaint only after securing the civil title and documenting bezskuteczność egzekucji.</w:t>
            </w:r>
          </w:p>
        </w:tc>
      </w:tr>
    </w:tbl>
    <w:p>
      <w:pPr>
        <w:pStyle w:val="Heading1"/>
      </w:pPr>
      <w:r>
        <w:t>1. Suspension Analysis: Art. 177 § 1 Pkt 4 KPC</w:t>
      </w:r>
    </w:p>
    <w:p>
      <w:pPr>
        <w:pStyle w:val="Heading2"/>
      </w:pPr>
      <w:r>
        <w:t>1.1 The Provision Is Discretionary, Not Mandatory</w:t>
      </w:r>
    </w:p>
    <w:p>
      <w:pPr>
        <w:spacing w:after="200" w:line="276" w:lineRule="auto"/>
      </w:pPr>
      <w:r>
        <w:rPr>
          <w:rFonts w:ascii="Calibri" w:hAnsi="Calibri"/>
          <w:color w:val="333333"/>
          <w:sz w:val="22"/>
        </w:rPr>
        <w:t>Art. 177 § 1 pkt 4 KPC states:</w:t>
      </w:r>
    </w:p>
    <w:p>
      <w:pPr>
        <w:pBdr>
          <w:left w:val="single" w:color="2C5282" w:sz="12" w:space="8"/>
        </w:pBdr>
        <w:spacing w:before="200" w:after="200" w:line="288" w:lineRule="auto"/>
        <w:ind w:left="720" w:right="720"/>
      </w:pPr>
      <w:r>
        <w:rPr>
          <w:rFonts w:ascii="Calibri" w:hAnsi="Calibri"/>
          <w:i/>
          <w:color w:val="4A5568"/>
          <w:sz w:val="21"/>
        </w:rPr>
        <w:t>Sąd może zawiesić postępowanie z urzędu [...] jeżeli ujawni się czyn, którego ustalenie w drodze karnej lub dyscyplinarnej mogłoby wywrzeć wpływ na rozstrzygnięcie sprawy cywilnej.</w:t>
      </w:r>
    </w:p>
    <w:p>
      <w:pPr>
        <w:spacing w:after="200" w:line="276" w:lineRule="auto"/>
      </w:pPr>
      <w:r>
        <w:rPr>
          <w:rFonts w:ascii="Calibri" w:hAnsi="Calibri"/>
          <w:color w:val="333333"/>
          <w:sz w:val="22"/>
        </w:rPr>
        <w:t>The operative word is “może” (may). This is a facultative provision. The court must exercise judgment on a case-by-case basis. As the SN held in IV CSK 377/17 (29.11.2018):</w:t>
      </w:r>
    </w:p>
    <w:p>
      <w:pPr>
        <w:pBdr>
          <w:left w:val="single" w:color="2C5282" w:sz="12" w:space="8"/>
        </w:pBdr>
        <w:spacing w:before="200" w:after="200" w:line="288" w:lineRule="auto"/>
        <w:ind w:left="720" w:right="720"/>
      </w:pPr>
      <w:r>
        <w:rPr>
          <w:rFonts w:ascii="Calibri" w:hAnsi="Calibri"/>
          <w:i/>
          <w:color w:val="4A5568"/>
          <w:sz w:val="21"/>
        </w:rPr>
        <w:t>Zawieszenie postępowania z uwagi na toczące się postępowanie karne nie jest obligatoryjne i wymaga od sądu każdorazowego rozważenia wpływu ustaleń postępowania karnego na rozstrzygnięcie sprawy cywilnej.</w:t>
      </w:r>
    </w:p>
    <w:p>
      <w:pPr>
        <w:pStyle w:val="Heading2"/>
      </w:pPr>
      <w:r>
        <w:t>1.2 The Two-Part Test (SN IV CSK 377/17)</w:t>
      </w:r>
    </w:p>
    <w:p>
      <w:pPr>
        <w:spacing w:after="200" w:line="276" w:lineRule="auto"/>
      </w:pPr>
      <w:r>
        <w:rPr>
          <w:rFonts w:ascii="Calibri" w:hAnsi="Calibri"/>
          <w:color w:val="333333"/>
          <w:sz w:val="22"/>
        </w:rPr>
        <w:t>The Sąd Najwyższy established a two-part framework:</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1200"/>
        <w:gridCol w:w="3800"/>
        <w:gridCol w:w="5000"/>
      </w:tblGrid>
      <w:tr>
        <w:trPr>
          <w:tblHeader/>
        </w:trPr>
        <w:tc>
          <w:tcPr>
            <w:tcW w:w="1200" w:type="dxa"/>
            <w:shd w:val="clear" w:fill="E8EDF2"/>
          </w:tcPr>
          <w:p>
            <w:pPr>
              <w:spacing w:before="60" w:after="60"/>
              <w:jc w:val="left"/>
            </w:pPr>
            <w:r>
              <w:rPr>
                <w:rFonts w:ascii="Calibri" w:hAnsi="Calibri"/>
                <w:b/>
                <w:color w:val="1B2A4A"/>
                <w:sz w:val="20"/>
              </w:rPr>
              <w:t>Prong</w:t>
            </w:r>
          </w:p>
        </w:tc>
        <w:tc>
          <w:tcPr>
            <w:tcW w:w="3800" w:type="dxa"/>
            <w:shd w:val="clear" w:fill="E8EDF2"/>
          </w:tcPr>
          <w:p>
            <w:pPr>
              <w:spacing w:before="60" w:after="60"/>
              <w:jc w:val="left"/>
            </w:pPr>
            <w:r>
              <w:rPr>
                <w:rFonts w:ascii="Calibri" w:hAnsi="Calibri"/>
                <w:b/>
                <w:color w:val="1B2A4A"/>
                <w:sz w:val="20"/>
              </w:rPr>
              <w:t>Question</w:t>
            </w:r>
          </w:p>
        </w:tc>
        <w:tc>
          <w:tcPr>
            <w:tcW w:w="5000" w:type="dxa"/>
            <w:shd w:val="clear" w:fill="E8EDF2"/>
          </w:tcPr>
          <w:p>
            <w:pPr>
              <w:spacing w:before="60" w:after="60"/>
              <w:jc w:val="left"/>
            </w:pPr>
            <w:r>
              <w:rPr>
                <w:rFonts w:ascii="Calibri" w:hAnsi="Calibri"/>
                <w:b/>
                <w:color w:val="1B2A4A"/>
                <w:sz w:val="20"/>
              </w:rPr>
              <w:t>Application to This Case</w:t>
            </w:r>
          </w:p>
        </w:tc>
      </w:tr>
      <w:tr>
        <w:tc>
          <w:tcPr>
            <w:tcW w:w="1200" w:type="dxa"/>
          </w:tcPr>
          <w:p>
            <w:pPr>
              <w:spacing w:before="40" w:after="40"/>
            </w:pPr>
            <w:r>
              <w:rPr>
                <w:rFonts w:ascii="Calibri" w:hAnsi="Calibri"/>
                <w:color w:val="333333"/>
                <w:sz w:val="20"/>
              </w:rPr>
              <w:t>1. Probability of binding conviction</w:t>
            </w:r>
          </w:p>
        </w:tc>
        <w:tc>
          <w:tcPr>
            <w:tcW w:w="3800" w:type="dxa"/>
          </w:tcPr>
          <w:p>
            <w:pPr>
              <w:spacing w:before="40" w:after="40"/>
            </w:pPr>
            <w:r>
              <w:rPr>
                <w:rFonts w:ascii="Calibri" w:hAnsi="Calibri"/>
                <w:color w:val="333333"/>
                <w:sz w:val="20"/>
              </w:rPr>
              <w:t>Is there a realistic probability of a criminal conviction whose factual findings would bind the civil court under art. 11 KPC?</w:t>
            </w:r>
          </w:p>
        </w:tc>
        <w:tc>
          <w:tcPr>
            <w:tcW w:w="5000" w:type="dxa"/>
          </w:tcPr>
          <w:p>
            <w:pPr>
              <w:spacing w:before="40" w:after="40"/>
            </w:pPr>
            <w:r>
              <w:rPr>
                <w:rFonts w:ascii="Calibri" w:hAnsi="Calibri"/>
                <w:color w:val="333333"/>
                <w:sz w:val="20"/>
              </w:rPr>
              <w:t>Low. Fraud (art. 286 § 1 KK) is difficult to prove beyond reasonable doubt. The civil claim stands on independent documentary evidence (invoices, contracts).</w:t>
            </w:r>
          </w:p>
        </w:tc>
      </w:tr>
      <w:tr>
        <w:tc>
          <w:tcPr>
            <w:tcW w:w="1200" w:type="dxa"/>
          </w:tcPr>
          <w:p>
            <w:pPr>
              <w:spacing w:before="40" w:after="40"/>
            </w:pPr>
            <w:r>
              <w:rPr>
                <w:rFonts w:ascii="Calibri" w:hAnsi="Calibri"/>
                <w:color w:val="333333"/>
                <w:sz w:val="20"/>
              </w:rPr>
              <w:t>2. Material enrichment of evidence</w:t>
            </w:r>
          </w:p>
        </w:tc>
        <w:tc>
          <w:tcPr>
            <w:tcW w:w="3800" w:type="dxa"/>
          </w:tcPr>
          <w:p>
            <w:pPr>
              <w:spacing w:before="40" w:after="40"/>
            </w:pPr>
            <w:r>
              <w:rPr>
                <w:rFonts w:ascii="Calibri" w:hAnsi="Calibri"/>
                <w:color w:val="333333"/>
                <w:sz w:val="20"/>
              </w:rPr>
              <w:t>Would the criminal proceedings materially enrich the evidentiary base of the civil case?</w:t>
            </w:r>
          </w:p>
        </w:tc>
        <w:tc>
          <w:tcPr>
            <w:tcW w:w="5000" w:type="dxa"/>
          </w:tcPr>
          <w:p>
            <w:pPr>
              <w:spacing w:before="40" w:after="40"/>
            </w:pPr>
            <w:r>
              <w:rPr>
                <w:rFonts w:ascii="Calibri" w:hAnsi="Calibri"/>
                <w:color w:val="333333"/>
                <w:sz w:val="20"/>
              </w:rPr>
              <w:t>No. The civil claim is a documentary commercial debt. The existence of the obligation does not depend on criminal findings.</w:t>
            </w:r>
          </w:p>
        </w:tc>
      </w:tr>
    </w:tbl>
    <w:p>
      <w:pPr>
        <w:pStyle w:val="Heading2"/>
      </w:pPr>
      <w:r>
        <w:t>1.3 Why Suspension Is Unlikely for This EPU Claim</w:t>
      </w:r>
    </w:p>
    <w:p>
      <w:pPr>
        <w:spacing w:after="200" w:line="276" w:lineRule="auto"/>
      </w:pPr>
      <w:r>
        <w:rPr>
          <w:rFonts w:ascii="Calibri" w:hAnsi="Calibri"/>
          <w:color w:val="333333"/>
          <w:sz w:val="22"/>
        </w:rPr>
        <w:t>The documentary nature of the claim is decisive. Tort/damages claims pose the highest suspension risk because civil liability is directly contingent on criminal findings (“prym wiodą cywilne procesy odszkodowawcze”). A contractual debt claim is fundamentally different — the debt’s existence is independently provable.</w:t>
      </w:r>
    </w:p>
    <w:p>
      <w:pPr>
        <w:spacing w:after="200" w:line="276" w:lineRule="auto"/>
      </w:pPr>
      <w:r>
        <w:rPr>
          <w:rFonts w:ascii="Calibri" w:hAnsi="Calibri"/>
          <w:color w:val="333333"/>
          <w:sz w:val="22"/>
        </w:rPr>
        <w:t>Additional factors reducing suspension likelihood:</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4000"/>
        <w:gridCol w:w="6000"/>
      </w:tblGrid>
      <w:tr>
        <w:trPr>
          <w:tblHeader/>
        </w:trPr>
        <w:tc>
          <w:tcPr>
            <w:tcW w:w="4000" w:type="dxa"/>
            <w:shd w:val="clear" w:fill="E8EDF2"/>
          </w:tcPr>
          <w:p>
            <w:pPr>
              <w:spacing w:before="60" w:after="60"/>
              <w:jc w:val="left"/>
            </w:pPr>
            <w:r>
              <w:rPr>
                <w:rFonts w:ascii="Calibri" w:hAnsi="Calibri"/>
                <w:b/>
                <w:color w:val="1B2A4A"/>
                <w:sz w:val="20"/>
              </w:rPr>
              <w:t>Factor</w:t>
            </w:r>
          </w:p>
        </w:tc>
        <w:tc>
          <w:tcPr>
            <w:tcW w:w="6000" w:type="dxa"/>
            <w:shd w:val="clear" w:fill="E8EDF2"/>
          </w:tcPr>
          <w:p>
            <w:pPr>
              <w:spacing w:before="60" w:after="60"/>
              <w:jc w:val="left"/>
            </w:pPr>
            <w:r>
              <w:rPr>
                <w:rFonts w:ascii="Calibri" w:hAnsi="Calibri"/>
                <w:b/>
                <w:color w:val="1B2A4A"/>
                <w:sz w:val="20"/>
              </w:rPr>
              <w:t>Effect</w:t>
            </w:r>
          </w:p>
        </w:tc>
      </w:tr>
      <w:tr>
        <w:tc>
          <w:tcPr>
            <w:tcW w:w="4000" w:type="dxa"/>
          </w:tcPr>
          <w:p>
            <w:pPr>
              <w:spacing w:before="40" w:after="40"/>
            </w:pPr>
            <w:r>
              <w:rPr>
                <w:rFonts w:ascii="Calibri" w:hAnsi="Calibri"/>
                <w:color w:val="333333"/>
                <w:sz w:val="20"/>
              </w:rPr>
              <w:t>Art. 11 KPC operates one-way only</w:t>
            </w:r>
          </w:p>
        </w:tc>
        <w:tc>
          <w:tcPr>
            <w:tcW w:w="6000" w:type="dxa"/>
          </w:tcPr>
          <w:p>
            <w:pPr>
              <w:spacing w:before="40" w:after="40"/>
            </w:pPr>
            <w:r>
              <w:rPr>
                <w:rFonts w:ascii="Calibri" w:hAnsi="Calibri"/>
                <w:color w:val="333333"/>
                <w:sz w:val="20"/>
              </w:rPr>
              <w:t>Criminal → civil binding; civil → criminal NOT binding. No risk of conflicting decisions.</w:t>
            </w:r>
          </w:p>
        </w:tc>
      </w:tr>
      <w:tr>
        <w:tc>
          <w:tcPr>
            <w:tcW w:w="4000" w:type="dxa"/>
          </w:tcPr>
          <w:p>
            <w:pPr>
              <w:spacing w:before="40" w:after="40"/>
            </w:pPr>
            <w:r>
              <w:rPr>
                <w:rFonts w:ascii="Calibri" w:hAnsi="Calibri"/>
                <w:color w:val="333333"/>
                <w:sz w:val="20"/>
              </w:rPr>
              <w:t>Debtor abroad</w:t>
            </w:r>
          </w:p>
        </w:tc>
        <w:tc>
          <w:tcPr>
            <w:tcW w:w="6000" w:type="dxa"/>
          </w:tcPr>
          <w:p>
            <w:pPr>
              <w:spacing w:before="40" w:after="40"/>
            </w:pPr>
            <w:r>
              <w:rPr>
                <w:rFonts w:ascii="Calibri" w:hAnsi="Calibri"/>
                <w:color w:val="333333"/>
                <w:sz w:val="20"/>
              </w:rPr>
              <w:t>Fikcja doręczenia operates strongly; nakaz can become final quickly.</w:t>
            </w:r>
          </w:p>
        </w:tc>
      </w:tr>
      <w:tr>
        <w:tc>
          <w:tcPr>
            <w:tcW w:w="4000" w:type="dxa"/>
          </w:tcPr>
          <w:p>
            <w:pPr>
              <w:spacing w:before="40" w:after="40"/>
            </w:pPr>
            <w:r>
              <w:rPr>
                <w:rFonts w:ascii="Calibri" w:hAnsi="Calibri"/>
                <w:color w:val="333333"/>
                <w:sz w:val="20"/>
              </w:rPr>
              <w:t>EPU at advanced stage</w:t>
            </w:r>
          </w:p>
        </w:tc>
        <w:tc>
          <w:tcPr>
            <w:tcW w:w="6000" w:type="dxa"/>
          </w:tcPr>
          <w:p>
            <w:pPr>
              <w:spacing w:before="40" w:after="40"/>
            </w:pPr>
            <w:r>
              <w:rPr>
                <w:rFonts w:ascii="Calibri" w:hAnsi="Calibri"/>
                <w:color w:val="333333"/>
                <w:sz w:val="20"/>
              </w:rPr>
              <w:t>Court fee sunk, processing time invested; suspension would waste these resources.</w:t>
            </w:r>
          </w:p>
        </w:tc>
      </w:tr>
      <w:tr>
        <w:tc>
          <w:tcPr>
            <w:tcW w:w="4000" w:type="dxa"/>
          </w:tcPr>
          <w:p>
            <w:pPr>
              <w:spacing w:before="40" w:after="40"/>
            </w:pPr>
            <w:r>
              <w:rPr>
                <w:rFonts w:ascii="Calibri" w:hAnsi="Calibri"/>
                <w:color w:val="333333"/>
                <w:sz w:val="20"/>
              </w:rPr>
              <w:t>Expected criminal duration</w:t>
            </w:r>
          </w:p>
        </w:tc>
        <w:tc>
          <w:tcPr>
            <w:tcW w:w="6000" w:type="dxa"/>
          </w:tcPr>
          <w:p>
            <w:pPr>
              <w:spacing w:before="40" w:after="40"/>
            </w:pPr>
            <w:r>
              <w:rPr>
                <w:rFonts w:ascii="Calibri" w:hAnsi="Calibri"/>
                <w:color w:val="333333"/>
                <w:sz w:val="20"/>
              </w:rPr>
              <w:t>Art. 286 KK cases typically take 2-4 years; suspending would cause extreme prejudice.</w:t>
            </w:r>
          </w:p>
        </w:tc>
      </w:tr>
      <w:tr>
        <w:tc>
          <w:tcPr>
            <w:tcW w:w="4000" w:type="dxa"/>
          </w:tcPr>
          <w:p>
            <w:pPr>
              <w:spacing w:before="40" w:after="40"/>
            </w:pPr>
            <w:r>
              <w:rPr>
                <w:rFonts w:ascii="Calibri" w:hAnsi="Calibri"/>
                <w:color w:val="333333"/>
                <w:sz w:val="20"/>
              </w:rPr>
              <w:t>Procedural economy (ekonomia procesowa)</w:t>
            </w:r>
          </w:p>
        </w:tc>
        <w:tc>
          <w:tcPr>
            <w:tcW w:w="6000" w:type="dxa"/>
          </w:tcPr>
          <w:p>
            <w:pPr>
              <w:spacing w:before="40" w:after="40"/>
            </w:pPr>
            <w:r>
              <w:rPr>
                <w:rFonts w:ascii="Calibri" w:hAnsi="Calibri"/>
                <w:color w:val="333333"/>
                <w:sz w:val="20"/>
              </w:rPr>
              <w:t>EPU is designed for speed; suspension defeats the statutory purpose.</w:t>
            </w:r>
          </w:p>
        </w:tc>
      </w:tr>
      <w:tr>
        <w:tc>
          <w:tcPr>
            <w:tcW w:w="4000" w:type="dxa"/>
          </w:tcPr>
          <w:p>
            <w:pPr>
              <w:spacing w:before="40" w:after="40"/>
            </w:pPr>
            <w:r>
              <w:rPr>
                <w:rFonts w:ascii="Calibri" w:hAnsi="Calibri"/>
                <w:color w:val="333333"/>
                <w:sz w:val="20"/>
              </w:rPr>
              <w:t>Criminal complaint not yet filed</w:t>
            </w:r>
          </w:p>
        </w:tc>
        <w:tc>
          <w:tcPr>
            <w:tcW w:w="6000" w:type="dxa"/>
          </w:tcPr>
          <w:p>
            <w:pPr>
              <w:spacing w:before="40" w:after="40"/>
            </w:pPr>
            <w:r>
              <w:rPr>
                <w:rFonts w:ascii="Calibri" w:hAnsi="Calibri"/>
                <w:color w:val="333333"/>
                <w:sz w:val="20"/>
              </w:rPr>
              <w:t>There is no pending criminal case to suspend FOR.</w:t>
            </w:r>
          </w:p>
        </w:tc>
      </w:tr>
    </w:tbl>
    <w:p>
      <w:pPr>
        <w:pStyle w:val="Heading2"/>
      </w:pPr>
      <w:r>
        <w:t>1.4 Impact of Sprzeciw (Opposition)</w:t>
      </w:r>
    </w:p>
    <w:p>
      <w:pPr>
        <w:spacing w:after="200" w:line="276" w:lineRule="auto"/>
      </w:pPr>
      <w:r>
        <w:rPr>
          <w:rFonts w:ascii="Calibri" w:hAnsi="Calibri"/>
          <w:color w:val="333333"/>
          <w:sz w:val="22"/>
        </w:rPr>
        <w:t>If the debtor files a sprzeciw and the EPU converts to ordinary proceedings:</w:t>
      </w:r>
    </w:p>
    <w:p>
      <w:pPr>
        <w:spacing w:after="120" w:line="276" w:lineRule="auto"/>
        <w:ind w:left="720" w:hanging="360"/>
      </w:pPr>
      <w:r>
        <w:rPr>
          <w:rFonts w:ascii="Calibri" w:hAnsi="Calibri"/>
          <w:color w:val="333333"/>
          <w:sz w:val="22"/>
        </w:rPr>
        <w:t>•  Suspension risk rises marginally — the sąd właściwości ogólnej has broader procedural discretion than EPU referendars.</w:t>
      </w:r>
    </w:p>
    <w:p>
      <w:pPr>
        <w:spacing w:after="120" w:line="276" w:lineRule="auto"/>
        <w:ind w:left="720" w:hanging="360"/>
      </w:pPr>
      <w:r>
        <w:rPr>
          <w:rFonts w:ascii="Calibri" w:hAnsi="Calibri"/>
          <w:color w:val="333333"/>
          <w:sz w:val="22"/>
        </w:rPr>
        <w:t>•  But the core arguments against suspension remain valid — the claim is still documentary, the facts are still independently provable, and the two-part test from SN IV CSK 377/17 still weighs against suspension.</w:t>
      </w:r>
    </w:p>
    <w:p>
      <w:pPr>
        <w:spacing w:after="120" w:line="276" w:lineRule="auto"/>
        <w:ind w:left="720" w:hanging="360"/>
      </w:pPr>
      <w:r>
        <w:rPr>
          <w:rFonts w:ascii="Calibri" w:hAnsi="Calibri"/>
          <w:color w:val="333333"/>
          <w:sz w:val="22"/>
        </w:rPr>
        <w:t>•  EPU referendars do not suspend easily — empirical studies (Rylski, Funkcjonowanie EPU w praktyce, IWS 2025) show that EPU courts routinely decline to suspend proceedings, referring complex procedural issues to the general competence court only after conversion.</w:t>
      </w:r>
    </w:p>
    <w:p>
      <w:pPr>
        <w:pStyle w:val="Heading2"/>
      </w:pPr>
      <w:r>
        <w:t>1.5 Who Can Request Suspension? Debtor Abuse Risk</w:t>
      </w:r>
    </w:p>
    <w:p>
      <w:pPr>
        <w:spacing w:after="200" w:line="276" w:lineRule="auto"/>
      </w:pPr>
      <w:r>
        <w:rPr>
          <w:rFonts w:ascii="Calibri" w:hAnsi="Calibri"/>
          <w:color w:val="333333"/>
          <w:sz w:val="22"/>
        </w:rPr>
        <w:t>Art. 177 § 1 pkt 4 KPC operates z urzędu (ex officio). Either party may bring the criminal proceedings to the court’s attention, but the decision rests solely with the court. A debtor’s request is not binding. The court must independently assess the SN IV CSK 377/17 criteria. If the debtor requests suspension:</w:t>
      </w:r>
    </w:p>
    <w:p>
      <w:pPr>
        <w:spacing w:after="120" w:line="276" w:lineRule="auto"/>
        <w:ind w:left="720" w:hanging="360"/>
      </w:pPr>
      <w:r>
        <w:rPr>
          <w:rFonts w:ascii="Calibri" w:hAnsi="Calibri"/>
          <w:color w:val="333333"/>
          <w:sz w:val="22"/>
        </w:rPr>
        <w:t>•  The claimant should file an immediate opposition emphasizing the documentary nature of the claim, the unidirectional effect of art. 11 KPC, and considerations of procedural economy.</w:t>
      </w:r>
    </w:p>
    <w:p>
      <w:pPr>
        <w:spacing w:after="120" w:line="276" w:lineRule="auto"/>
        <w:ind w:left="720" w:hanging="360"/>
      </w:pPr>
      <w:r>
        <w:rPr>
          <w:rFonts w:ascii="Calibri" w:hAnsi="Calibri"/>
          <w:color w:val="333333"/>
          <w:sz w:val="22"/>
        </w:rPr>
        <w:t>•  If suspension is granted (against the odds), the claimant may file a zażalenie under art. 394 § 1 KPC.</w:t>
      </w:r>
    </w:p>
    <w:p>
      <w:pPr>
        <w:pStyle w:val="Heading1"/>
      </w:pPr>
      <w:r>
        <w:t>2. The Double-Recovery Rule</w:t>
      </w:r>
    </w:p>
    <w:p>
      <w:pPr>
        <w:pStyle w:val="Heading2"/>
      </w:pPr>
      <w:r>
        <w:t>2.1 Can Both Titles Coexist?</w:t>
      </w:r>
    </w:p>
    <w:p>
      <w:pPr>
        <w:spacing w:after="200" w:line="276" w:lineRule="auto"/>
      </w:pPr>
      <w:r>
        <w:rPr>
          <w:rFonts w:ascii="Calibri" w:hAnsi="Calibri"/>
          <w:color w:val="333333"/>
          <w:sz w:val="22"/>
        </w:rPr>
        <w:t>There is no absolute prohibition on holding both titles. However, art. 415 § 1 zd. 2 k.p.k. (the anti-cumulation clause / klauzula antykumulacyjna) creates a procedural first-past-the-post system:</w:t>
      </w:r>
    </w:p>
    <w:p>
      <w:pPr>
        <w:pBdr>
          <w:left w:val="single" w:color="2C5282" w:sz="12" w:space="8"/>
        </w:pBdr>
        <w:spacing w:before="200" w:after="200" w:line="288" w:lineRule="auto"/>
        <w:ind w:left="720" w:right="720"/>
      </w:pPr>
      <w:r>
        <w:rPr>
          <w:rFonts w:ascii="Calibri" w:hAnsi="Calibri"/>
          <w:i/>
          <w:color w:val="4A5568"/>
          <w:sz w:val="21"/>
        </w:rPr>
        <w:t>Nawiązki na rzecz pokrzywdzonego, obowiązku naprawienia szkody lub zadośćuczynienia za doznaną krzywdę nie orzeka się, jeżeli roszczenie wynikające z popełnienia przestępstwa jest przedmiotem innego postępowania albo o roszczeniu tym prawomocnie orzeczono.</w:t>
      </w:r>
    </w:p>
    <w:p>
      <w:pPr>
        <w:spacing w:after="200" w:line="276" w:lineRule="auto"/>
      </w:pPr>
      <w:r>
        <w:rPr>
          <w:rFonts w:ascii="Calibri" w:hAnsi="Calibri"/>
          <w:color w:val="333333"/>
          <w:sz w:val="22"/>
        </w:rPr>
        <w:t>Since the EPU was filed on 08.04.2026, it already constitutes “inne postępowanie.” The criminal court cannot issue art. 46 KK restitution for the same 155,000 PLN while the civil proceeding is pending — and is absolutely barred once the civil judgment becomes prawomocny (final). The civil track has priority.</w:t>
      </w:r>
    </w:p>
    <w:p>
      <w:pPr>
        <w:pStyle w:val="Heading2"/>
      </w:pPr>
      <w:r>
        <w:t>2.2 The Anti-Double-Recovery Principle</w:t>
      </w:r>
    </w:p>
    <w:p>
      <w:pPr>
        <w:spacing w:after="200" w:line="276" w:lineRule="auto"/>
      </w:pPr>
      <w:r>
        <w:rPr>
          <w:rFonts w:ascii="Calibri" w:hAnsi="Calibri"/>
          <w:color w:val="333333"/>
          <w:sz w:val="22"/>
        </w:rPr>
        <w:t>If — despite art. 415 § 1 k.p.k. — both titles somehow exist, the claimant cannot collect 310,000 PLN. Protection is layered:</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2400"/>
        <w:gridCol w:w="2600"/>
        <w:gridCol w:w="5000"/>
      </w:tblGrid>
      <w:tr>
        <w:trPr>
          <w:tblHeader/>
        </w:trPr>
        <w:tc>
          <w:tcPr>
            <w:tcW w:w="2400" w:type="dxa"/>
            <w:shd w:val="clear" w:fill="E8EDF2"/>
          </w:tcPr>
          <w:p>
            <w:pPr>
              <w:spacing w:before="60" w:after="60"/>
              <w:jc w:val="left"/>
            </w:pPr>
            <w:r>
              <w:rPr>
                <w:rFonts w:ascii="Calibri" w:hAnsi="Calibri"/>
                <w:b/>
                <w:color w:val="1B2A4A"/>
                <w:sz w:val="20"/>
              </w:rPr>
              <w:t>Mechanism</w:t>
            </w:r>
          </w:p>
        </w:tc>
        <w:tc>
          <w:tcPr>
            <w:tcW w:w="2600" w:type="dxa"/>
            <w:shd w:val="clear" w:fill="E8EDF2"/>
          </w:tcPr>
          <w:p>
            <w:pPr>
              <w:spacing w:before="60" w:after="60"/>
              <w:jc w:val="left"/>
            </w:pPr>
            <w:r>
              <w:rPr>
                <w:rFonts w:ascii="Calibri" w:hAnsi="Calibri"/>
                <w:b/>
                <w:color w:val="1B2A4A"/>
                <w:sz w:val="20"/>
              </w:rPr>
              <w:t>Legal Basis</w:t>
            </w:r>
          </w:p>
        </w:tc>
        <w:tc>
          <w:tcPr>
            <w:tcW w:w="5000" w:type="dxa"/>
            <w:shd w:val="clear" w:fill="E8EDF2"/>
          </w:tcPr>
          <w:p>
            <w:pPr>
              <w:spacing w:before="60" w:after="60"/>
              <w:jc w:val="left"/>
            </w:pPr>
            <w:r>
              <w:rPr>
                <w:rFonts w:ascii="Calibri" w:hAnsi="Calibri"/>
                <w:b/>
                <w:color w:val="1B2A4A"/>
                <w:sz w:val="20"/>
              </w:rPr>
              <w:t>Effect</w:t>
            </w:r>
          </w:p>
        </w:tc>
      </w:tr>
      <w:tr>
        <w:tc>
          <w:tcPr>
            <w:tcW w:w="2400" w:type="dxa"/>
          </w:tcPr>
          <w:p>
            <w:pPr>
              <w:spacing w:before="40" w:after="40"/>
            </w:pPr>
            <w:r>
              <w:rPr>
                <w:rFonts w:ascii="Calibri" w:hAnsi="Calibri"/>
                <w:color w:val="333333"/>
                <w:sz w:val="20"/>
              </w:rPr>
              <w:t>Anti-cumulation clause (procedural barrier)</w:t>
            </w:r>
          </w:p>
        </w:tc>
        <w:tc>
          <w:tcPr>
            <w:tcW w:w="2600" w:type="dxa"/>
          </w:tcPr>
          <w:p>
            <w:pPr>
              <w:spacing w:before="40" w:after="40"/>
            </w:pPr>
            <w:r>
              <w:rPr>
                <w:rFonts w:ascii="Calibri" w:hAnsi="Calibri"/>
                <w:color w:val="333333"/>
                <w:sz w:val="20"/>
              </w:rPr>
              <w:t>Art. 415 § 1 zd. 2 k.p.k.</w:t>
            </w:r>
          </w:p>
        </w:tc>
        <w:tc>
          <w:tcPr>
            <w:tcW w:w="5000" w:type="dxa"/>
          </w:tcPr>
          <w:p>
            <w:pPr>
              <w:spacing w:before="40" w:after="40"/>
            </w:pPr>
            <w:r>
              <w:rPr>
                <w:rFonts w:ascii="Calibri" w:hAnsi="Calibri"/>
                <w:color w:val="333333"/>
                <w:sz w:val="20"/>
              </w:rPr>
              <w:t>Prevents issuance of the second title at the source</w:t>
            </w:r>
          </w:p>
        </w:tc>
      </w:tr>
      <w:tr>
        <w:tc>
          <w:tcPr>
            <w:tcW w:w="2400" w:type="dxa"/>
          </w:tcPr>
          <w:p>
            <w:pPr>
              <w:spacing w:before="40" w:after="40"/>
            </w:pPr>
            <w:r>
              <w:rPr>
                <w:rFonts w:ascii="Calibri" w:hAnsi="Calibri"/>
                <w:color w:val="333333"/>
                <w:sz w:val="20"/>
              </w:rPr>
              <w:t>Concursus actionum</w:t>
            </w:r>
          </w:p>
        </w:tc>
        <w:tc>
          <w:tcPr>
            <w:tcW w:w="2600" w:type="dxa"/>
          </w:tcPr>
          <w:p>
            <w:pPr>
              <w:spacing w:before="40" w:after="40"/>
            </w:pPr>
            <w:r>
              <w:rPr>
                <w:rFonts w:ascii="Calibri" w:hAnsi="Calibri"/>
                <w:color w:val="333333"/>
                <w:sz w:val="20"/>
              </w:rPr>
              <w:t>Art. 410 k.c.</w:t>
            </w:r>
          </w:p>
        </w:tc>
        <w:tc>
          <w:tcPr>
            <w:tcW w:w="5000" w:type="dxa"/>
          </w:tcPr>
          <w:p>
            <w:pPr>
              <w:spacing w:before="40" w:after="40"/>
            </w:pPr>
            <w:r>
              <w:rPr>
                <w:rFonts w:ascii="Calibri" w:hAnsi="Calibri"/>
                <w:color w:val="333333"/>
                <w:sz w:val="20"/>
              </w:rPr>
              <w:t>Prohibits cumulating claims for the same subject matter</w:t>
            </w:r>
          </w:p>
        </w:tc>
      </w:tr>
      <w:tr>
        <w:tc>
          <w:tcPr>
            <w:tcW w:w="2400" w:type="dxa"/>
          </w:tcPr>
          <w:p>
            <w:pPr>
              <w:spacing w:before="40" w:after="40"/>
            </w:pPr>
            <w:r>
              <w:rPr>
                <w:rFonts w:ascii="Calibri" w:hAnsi="Calibri"/>
                <w:color w:val="333333"/>
                <w:sz w:val="20"/>
              </w:rPr>
              <w:t>No unjust enrichment</w:t>
            </w:r>
          </w:p>
        </w:tc>
        <w:tc>
          <w:tcPr>
            <w:tcW w:w="2600" w:type="dxa"/>
          </w:tcPr>
          <w:p>
            <w:pPr>
              <w:spacing w:before="40" w:after="40"/>
            </w:pPr>
            <w:r>
              <w:rPr>
                <w:rFonts w:ascii="Calibri" w:hAnsi="Calibri"/>
                <w:color w:val="333333"/>
                <w:sz w:val="20"/>
              </w:rPr>
              <w:t>Art. 405 k.c.; art. 5 k.c.</w:t>
            </w:r>
          </w:p>
        </w:tc>
        <w:tc>
          <w:tcPr>
            <w:tcW w:w="5000" w:type="dxa"/>
          </w:tcPr>
          <w:p>
            <w:pPr>
              <w:spacing w:before="40" w:after="40"/>
            </w:pPr>
            <w:r>
              <w:rPr>
                <w:rFonts w:ascii="Calibri" w:hAnsi="Calibri"/>
                <w:color w:val="333333"/>
                <w:sz w:val="20"/>
              </w:rPr>
              <w:t>Recovery beyond actual damage constitutes bezpodstawne wzbogacenie</w:t>
            </w:r>
          </w:p>
        </w:tc>
      </w:tr>
      <w:tr>
        <w:tc>
          <w:tcPr>
            <w:tcW w:w="2400" w:type="dxa"/>
          </w:tcPr>
          <w:p>
            <w:pPr>
              <w:spacing w:before="40" w:after="40"/>
            </w:pPr>
            <w:r>
              <w:rPr>
                <w:rFonts w:ascii="Calibri" w:hAnsi="Calibri"/>
                <w:color w:val="333333"/>
                <w:sz w:val="20"/>
              </w:rPr>
              <w:t>Supplementary nature of art. 46 KK</w:t>
            </w:r>
          </w:p>
        </w:tc>
        <w:tc>
          <w:tcPr>
            <w:tcW w:w="2600" w:type="dxa"/>
          </w:tcPr>
          <w:p>
            <w:pPr>
              <w:spacing w:before="40" w:after="40"/>
            </w:pPr>
            <w:r>
              <w:rPr>
                <w:rFonts w:ascii="Calibri" w:hAnsi="Calibri"/>
                <w:color w:val="333333"/>
                <w:sz w:val="20"/>
              </w:rPr>
              <w:t>Art. 46 § 3 KK</w:t>
            </w:r>
          </w:p>
        </w:tc>
        <w:tc>
          <w:tcPr>
            <w:tcW w:w="5000" w:type="dxa"/>
          </w:tcPr>
          <w:p>
            <w:pPr>
              <w:spacing w:before="40" w:after="40"/>
            </w:pPr>
            <w:r>
              <w:rPr>
                <w:rFonts w:ascii="Calibri" w:hAnsi="Calibri"/>
                <w:color w:val="333333"/>
                <w:sz w:val="20"/>
              </w:rPr>
              <w:t>Criminal restitution is supplementary only; only the unsatisfied portion may be recovered civilly</w:t>
            </w:r>
          </w:p>
        </w:tc>
      </w:tr>
      <w:tr>
        <w:tc>
          <w:tcPr>
            <w:tcW w:w="2400" w:type="dxa"/>
          </w:tcPr>
          <w:p>
            <w:pPr>
              <w:spacing w:before="40" w:after="40"/>
            </w:pPr>
            <w:r>
              <w:rPr>
                <w:rFonts w:ascii="Calibri" w:hAnsi="Calibri"/>
                <w:color w:val="333333"/>
                <w:sz w:val="20"/>
              </w:rPr>
              <w:t>Res judicata of civil judgment</w:t>
            </w:r>
          </w:p>
        </w:tc>
        <w:tc>
          <w:tcPr>
            <w:tcW w:w="2600" w:type="dxa"/>
          </w:tcPr>
          <w:p>
            <w:pPr>
              <w:spacing w:before="40" w:after="40"/>
            </w:pPr>
            <w:r>
              <w:rPr>
                <w:rFonts w:ascii="Calibri" w:hAnsi="Calibri"/>
                <w:color w:val="333333"/>
                <w:sz w:val="20"/>
              </w:rPr>
              <w:t>Art. 365 KPC</w:t>
            </w:r>
          </w:p>
        </w:tc>
        <w:tc>
          <w:tcPr>
            <w:tcW w:w="5000" w:type="dxa"/>
          </w:tcPr>
          <w:p>
            <w:pPr>
              <w:spacing w:before="40" w:after="40"/>
            </w:pPr>
            <w:r>
              <w:rPr>
                <w:rFonts w:ascii="Calibri" w:hAnsi="Calibri"/>
                <w:color w:val="333333"/>
                <w:sz w:val="20"/>
              </w:rPr>
              <w:t>The civil judgment’s res judicata wins; the criminal art. 46 KK order does not create res judicata for what it does not adjudicate (SN III CZP 84/20, 2021)</w:t>
            </w:r>
          </w:p>
        </w:tc>
      </w:tr>
    </w:tbl>
    <w:p>
      <w:pPr>
        <w:spacing w:after="200" w:line="276" w:lineRule="auto"/>
      </w:pPr>
      <w:r>
        <w:rPr>
          <w:rFonts w:ascii="Calibri" w:hAnsi="Calibri"/>
          <w:color w:val="333333"/>
          <w:sz w:val="22"/>
        </w:rPr>
        <w:t>Bottom line: The claimant can collect the 155,000 PLN once and only once. The second title becomes unenforceable for the satisfied portion. Any further enforcement would constitute unjust enrichment and potentially enforcement fraud.</w:t>
      </w:r>
    </w:p>
    <w:p>
      <w:pPr>
        <w:pStyle w:val="Heading2"/>
      </w:pPr>
      <w:r>
        <w:t>2.3 Debtor Defenses Against Double Enforcement</w:t>
      </w:r>
    </w:p>
    <w:p>
      <w:pPr>
        <w:spacing w:after="200" w:line="276" w:lineRule="auto"/>
      </w:pPr>
      <w:r>
        <w:rPr>
          <w:rFonts w:ascii="Calibri" w:hAnsi="Calibri"/>
          <w:color w:val="333333"/>
          <w:sz w:val="22"/>
        </w:rPr>
        <w:t>The debtor (Mateusz Szklarski) has several potent defenses against enforcement of a second title:</w:t>
      </w:r>
    </w:p>
    <w:p>
      <w:pPr>
        <w:spacing w:after="120" w:line="276" w:lineRule="auto"/>
        <w:ind w:left="720" w:hanging="360"/>
      </w:pPr>
      <w:r>
        <w:rPr>
          <w:rFonts w:ascii="Calibri" w:hAnsi="Calibri"/>
          <w:color w:val="333333"/>
          <w:sz w:val="22"/>
        </w:rPr>
        <w:t>•  Powództwo przeciwegzekucyjne (art. 840 KPC) — challenging enforcement on grounds of prior satisfaction</w:t>
      </w:r>
    </w:p>
    <w:p>
      <w:pPr>
        <w:spacing w:after="120" w:line="276" w:lineRule="auto"/>
        <w:ind w:left="720" w:hanging="360"/>
      </w:pPr>
      <w:r>
        <w:rPr>
          <w:rFonts w:ascii="Calibri" w:hAnsi="Calibri"/>
          <w:color w:val="333333"/>
          <w:sz w:val="22"/>
        </w:rPr>
        <w:t>•  Set-off (potrącenie, art. 498 k.c.) — overpayment on one title offsets the other obligation</w:t>
      </w:r>
    </w:p>
    <w:p>
      <w:pPr>
        <w:spacing w:after="120" w:line="276" w:lineRule="auto"/>
        <w:ind w:left="720" w:hanging="360"/>
      </w:pPr>
      <w:r>
        <w:rPr>
          <w:rFonts w:ascii="Calibri" w:hAnsi="Calibri"/>
          <w:color w:val="333333"/>
          <w:sz w:val="22"/>
        </w:rPr>
        <w:t>•  Unjust enrichment (bezpodstawne wzbogacenie, art. 405 k.c.) — the creditor would be enriched beyond actual damage</w:t>
      </w:r>
    </w:p>
    <w:p>
      <w:pPr>
        <w:spacing w:after="120" w:line="276" w:lineRule="auto"/>
        <w:ind w:left="720" w:hanging="360"/>
      </w:pPr>
      <w:r>
        <w:rPr>
          <w:rFonts w:ascii="Calibri" w:hAnsi="Calibri"/>
          <w:color w:val="333333"/>
          <w:sz w:val="22"/>
        </w:rPr>
        <w:t>•  Art. 415 § 1 k.p.k. as a jurisdictional defense in any criminal restitution proceeding</w:t>
      </w:r>
    </w:p>
    <w:p>
      <w:pPr>
        <w:pStyle w:val="Heading2"/>
      </w:pPr>
      <w:r>
        <w:t>2.4 The Unique Advantage of Holding Two Titles: Non-Dischargeability in Bankruptcy</w:t>
      </w:r>
    </w:p>
    <w:p>
      <w:pPr>
        <w:spacing w:after="200" w:line="276" w:lineRule="auto"/>
      </w:pPr>
      <w:r>
        <w:rPr>
          <w:rFonts w:ascii="Calibri" w:hAnsi="Calibri"/>
          <w:color w:val="333333"/>
          <w:sz w:val="22"/>
        </w:rPr>
        <w:t>This is the decisive strategic reason to pursue both tracks. Despite the anti-cumulation clause, if the criminal court issues art. 46 KK before the civil title becomes prawomocny (possible but unlikely given relative timelines), the art. 46 KK title provides three protections that a civil title cannot match:</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3200"/>
        <w:gridCol w:w="3400"/>
        <w:gridCol w:w="3400"/>
      </w:tblGrid>
      <w:tr>
        <w:trPr>
          <w:tblHeader/>
        </w:trPr>
        <w:tc>
          <w:tcPr>
            <w:tcW w:w="3200" w:type="dxa"/>
            <w:shd w:val="clear" w:fill="E8EDF2"/>
          </w:tcPr>
          <w:p>
            <w:pPr>
              <w:spacing w:before="60" w:after="60"/>
              <w:jc w:val="left"/>
            </w:pPr>
            <w:r>
              <w:rPr>
                <w:rFonts w:ascii="Calibri" w:hAnsi="Calibri"/>
                <w:b/>
                <w:color w:val="1B2A4A"/>
                <w:sz w:val="20"/>
              </w:rPr>
              <w:t>Protection</w:t>
            </w:r>
          </w:p>
        </w:tc>
        <w:tc>
          <w:tcPr>
            <w:tcW w:w="3400" w:type="dxa"/>
            <w:shd w:val="clear" w:fill="E8EDF2"/>
          </w:tcPr>
          <w:p>
            <w:pPr>
              <w:spacing w:before="60" w:after="60"/>
              <w:jc w:val="left"/>
            </w:pPr>
            <w:r>
              <w:rPr>
                <w:rFonts w:ascii="Calibri" w:hAnsi="Calibri"/>
                <w:b/>
                <w:color w:val="1B2A4A"/>
                <w:sz w:val="20"/>
              </w:rPr>
              <w:t>Civil Title</w:t>
            </w:r>
          </w:p>
        </w:tc>
        <w:tc>
          <w:tcPr>
            <w:tcW w:w="3400" w:type="dxa"/>
            <w:shd w:val="clear" w:fill="E8EDF2"/>
          </w:tcPr>
          <w:p>
            <w:pPr>
              <w:spacing w:before="60" w:after="60"/>
              <w:jc w:val="left"/>
            </w:pPr>
            <w:r>
              <w:rPr>
                <w:rFonts w:ascii="Calibri" w:hAnsi="Calibri"/>
                <w:b/>
                <w:color w:val="1B2A4A"/>
                <w:sz w:val="20"/>
              </w:rPr>
              <w:t>Art. 46 KK Title</w:t>
            </w:r>
          </w:p>
        </w:tc>
      </w:tr>
      <w:tr>
        <w:tc>
          <w:tcPr>
            <w:tcW w:w="3200" w:type="dxa"/>
          </w:tcPr>
          <w:p>
            <w:pPr>
              <w:spacing w:before="40" w:after="40"/>
            </w:pPr>
            <w:r>
              <w:rPr>
                <w:rFonts w:ascii="Calibri" w:hAnsi="Calibri"/>
                <w:color w:val="333333"/>
                <w:sz w:val="20"/>
              </w:rPr>
              <w:t>Non-dischargeable in bankruptcy?</w:t>
            </w:r>
          </w:p>
        </w:tc>
        <w:tc>
          <w:tcPr>
            <w:tcW w:w="3400" w:type="dxa"/>
          </w:tcPr>
          <w:p>
            <w:pPr>
              <w:spacing w:before="40" w:after="40"/>
            </w:pPr>
            <w:r>
              <w:rPr>
                <w:rFonts w:ascii="Calibri" w:hAnsi="Calibri"/>
                <w:b/>
                <w:color w:val="333333"/>
                <w:sz w:val="20"/>
              </w:rPr>
              <w:t>NO — discharged under art. 491²¹ ust. 1 Prawa upadłościowego</w:t>
            </w:r>
          </w:p>
        </w:tc>
        <w:tc>
          <w:tcPr>
            <w:tcW w:w="3400" w:type="dxa"/>
          </w:tcPr>
          <w:p>
            <w:pPr>
              <w:spacing w:before="40" w:after="40"/>
            </w:pPr>
            <w:r>
              <w:rPr>
                <w:rFonts w:ascii="Calibri" w:hAnsi="Calibri"/>
                <w:b/>
                <w:color w:val="333333"/>
                <w:sz w:val="20"/>
              </w:rPr>
              <w:t>YES — explicitly survives bankruptcy under art. 491²¹ ust. 2 pkt 3 Prawa upadłościowego</w:t>
            </w:r>
          </w:p>
        </w:tc>
      </w:tr>
      <w:tr>
        <w:tc>
          <w:tcPr>
            <w:tcW w:w="3200" w:type="dxa"/>
          </w:tcPr>
          <w:p>
            <w:pPr>
              <w:spacing w:before="40" w:after="40"/>
            </w:pPr>
            <w:r>
              <w:rPr>
                <w:rFonts w:ascii="Calibri" w:hAnsi="Calibri"/>
                <w:color w:val="333333"/>
                <w:sz w:val="20"/>
              </w:rPr>
              <w:t>Prison for non-payment?</w:t>
            </w:r>
          </w:p>
        </w:tc>
        <w:tc>
          <w:tcPr>
            <w:tcW w:w="3400" w:type="dxa"/>
          </w:tcPr>
          <w:p>
            <w:pPr>
              <w:spacing w:before="40" w:after="40"/>
            </w:pPr>
            <w:r>
              <w:rPr>
                <w:rFonts w:ascii="Calibri" w:hAnsi="Calibri"/>
                <w:color w:val="333333"/>
                <w:sz w:val="20"/>
              </w:rPr>
              <w:t>No</w:t>
            </w:r>
          </w:p>
        </w:tc>
        <w:tc>
          <w:tcPr>
            <w:tcW w:w="3400" w:type="dxa"/>
          </w:tcPr>
          <w:p>
            <w:pPr>
              <w:spacing w:before="40" w:after="40"/>
            </w:pPr>
            <w:r>
              <w:rPr>
                <w:rFonts w:ascii="Calibri" w:hAnsi="Calibri"/>
                <w:b/>
                <w:color w:val="333333"/>
                <w:sz w:val="20"/>
              </w:rPr>
              <w:t>YES — art. 244c KK: 3 months to 5 years for intentional evasion (effective since 1 October 2023)</w:t>
            </w:r>
          </w:p>
        </w:tc>
      </w:tr>
      <w:tr>
        <w:tc>
          <w:tcPr>
            <w:tcW w:w="3200" w:type="dxa"/>
          </w:tcPr>
          <w:p>
            <w:pPr>
              <w:spacing w:before="40" w:after="40"/>
            </w:pPr>
            <w:r>
              <w:rPr>
                <w:rFonts w:ascii="Calibri" w:hAnsi="Calibri"/>
                <w:color w:val="333333"/>
                <w:sz w:val="20"/>
              </w:rPr>
              <w:t>Blocks criminal rehabilitation?</w:t>
            </w:r>
          </w:p>
        </w:tc>
        <w:tc>
          <w:tcPr>
            <w:tcW w:w="3400" w:type="dxa"/>
          </w:tcPr>
          <w:p>
            <w:pPr>
              <w:spacing w:before="40" w:after="40"/>
            </w:pPr>
            <w:r>
              <w:rPr>
                <w:rFonts w:ascii="Calibri" w:hAnsi="Calibri"/>
                <w:color w:val="333333"/>
                <w:sz w:val="20"/>
              </w:rPr>
              <w:t>No</w:t>
            </w:r>
          </w:p>
        </w:tc>
        <w:tc>
          <w:tcPr>
            <w:tcW w:w="3400" w:type="dxa"/>
          </w:tcPr>
          <w:p>
            <w:pPr>
              <w:spacing w:before="40" w:after="40"/>
            </w:pPr>
            <w:r>
              <w:rPr>
                <w:rFonts w:ascii="Calibri" w:hAnsi="Calibri"/>
                <w:b/>
                <w:color w:val="333333"/>
                <w:sz w:val="20"/>
              </w:rPr>
              <w:t>YES — art. 107 § 6 KK: rehabilitation does not occur until compensatory measure is fully executed</w:t>
            </w:r>
          </w:p>
        </w:tc>
      </w:tr>
      <w:tr>
        <w:tc>
          <w:tcPr>
            <w:tcW w:w="3200" w:type="dxa"/>
          </w:tcPr>
          <w:p>
            <w:pPr>
              <w:spacing w:before="40" w:after="40"/>
            </w:pPr>
            <w:r>
              <w:rPr>
                <w:rFonts w:ascii="Calibri" w:hAnsi="Calibri"/>
                <w:color w:val="333333"/>
                <w:sz w:val="20"/>
              </w:rPr>
              <w:t>Revokes suspended sentence?</w:t>
            </w:r>
          </w:p>
        </w:tc>
        <w:tc>
          <w:tcPr>
            <w:tcW w:w="3400" w:type="dxa"/>
          </w:tcPr>
          <w:p>
            <w:pPr>
              <w:spacing w:before="40" w:after="40"/>
            </w:pPr>
            <w:r>
              <w:rPr>
                <w:rFonts w:ascii="Calibri" w:hAnsi="Calibri"/>
                <w:color w:val="333333"/>
                <w:sz w:val="20"/>
              </w:rPr>
              <w:t>No</w:t>
            </w:r>
          </w:p>
        </w:tc>
        <w:tc>
          <w:tcPr>
            <w:tcW w:w="3400" w:type="dxa"/>
          </w:tcPr>
          <w:p>
            <w:pPr>
              <w:spacing w:before="40" w:after="40"/>
            </w:pPr>
            <w:r>
              <w:rPr>
                <w:rFonts w:ascii="Calibri" w:hAnsi="Calibri"/>
                <w:b/>
                <w:color w:val="333333"/>
                <w:sz w:val="20"/>
              </w:rPr>
              <w:t>YES — art. 75 § 2 KK: failure to comply can result in revocation of suspension</w:t>
            </w:r>
          </w:p>
        </w:tc>
      </w:tr>
    </w:tbl>
    <w:p>
      <w:pPr>
        <w:spacing w:after="200" w:line="276" w:lineRule="auto"/>
      </w:pPr>
      <w:r>
        <w:rPr>
          <w:rFonts w:ascii="Calibri" w:hAnsi="Calibri"/>
          <w:color w:val="333333"/>
          <w:sz w:val="22"/>
        </w:rPr>
        <w:t>For Netherlands enforcement, the civil title is the only realistic vehicle — art. 46 KK orders fall outside Brussels Ia scope (per the Schlosser Report and CJEU jurisprudence) and face prohibitive enforcement barriers abroad.</w:t>
      </w:r>
    </w:p>
    <w:p>
      <w:pPr>
        <w:pStyle w:val="Heading1"/>
      </w:pPr>
      <w:r>
        <w:t>3. Cross-Effects: Can One Case Help the Other?</w:t>
      </w:r>
    </w:p>
    <w:p>
      <w:pPr>
        <w:pStyle w:val="Heading2"/>
      </w:pPr>
      <w:r>
        <w:t>3.1 Criminal → Civil: Binding (Art. 11 KPC)</w:t>
      </w:r>
    </w:p>
    <w:p>
      <w:pPr>
        <w:spacing w:after="200" w:line="276" w:lineRule="auto"/>
      </w:pPr>
      <w:r>
        <w:rPr>
          <w:rFonts w:ascii="Calibri" w:hAnsi="Calibri"/>
          <w:color w:val="333333"/>
          <w:sz w:val="22"/>
        </w:rPr>
        <w:t>A criminal conviction under art. 286 § 1 KK would bind the civil court as to the facts of the offense (fakt popełnienia przestępstwa), the identity of the perpetrator, and the causal link. This is a one-way street.</w:t>
      </w:r>
    </w:p>
    <w:p>
      <w:pPr>
        <w:pStyle w:val="Heading2"/>
      </w:pPr>
      <w:r>
        <w:t>3.2 Civil → Criminal: Not Binding (Art. 8 § 1 KPK)</w:t>
      </w:r>
    </w:p>
    <w:p>
      <w:pPr>
        <w:spacing w:after="200" w:line="276" w:lineRule="auto"/>
      </w:pPr>
      <w:r>
        <w:rPr>
          <w:rFonts w:ascii="Calibri" w:hAnsi="Calibri"/>
          <w:color w:val="333333"/>
          <w:sz w:val="22"/>
        </w:rPr>
        <w:t>A civil judgment establishing the debt does not bind the criminal court. The criminal court is independent (samodzielny) under art. 8 § 1 KPK. However, a prawomocny nakaz zapłaty carries significant persuasive weight for the prosecutor — it confirms the debt as a formal court finding and, combined with bezskuteczność documentation, directly demonstrates a pattern of non-payment that supports the inference of fraudulent intent.</w:t>
      </w:r>
    </w:p>
    <w:p>
      <w:pPr>
        <w:pStyle w:val="Heading2"/>
      </w:pPr>
      <w:r>
        <w:t>3.3 Practical Implication</w:t>
      </w:r>
    </w:p>
    <w:p>
      <w:pPr>
        <w:spacing w:after="200" w:line="276" w:lineRule="auto"/>
      </w:pPr>
      <w:r>
        <w:rPr>
          <w:rFonts w:ascii="Calibri" w:hAnsi="Calibri"/>
          <w:color w:val="333333"/>
          <w:sz w:val="22"/>
        </w:rPr>
        <w:t>The civil claim does not need a criminal conviction to succeed — it stands on its own documentary evidence. But a criminal conviction would strengthen the civil position. Conversely, a civil judgment gives the prosecutor a strong factual foundation (the debt exists), allowing the prosecutor to focus on proving fraudulent intent.</w:t>
      </w:r>
    </w:p>
    <w:p>
      <w:pPr>
        <w:pStyle w:val="Heading1"/>
      </w:pPr>
      <w:r>
        <w:t>4. Recommended Sequencing of the Two Tracks</w:t>
      </w:r>
    </w:p>
    <w:p>
      <w:pPr>
        <w:pStyle w:val="Heading2"/>
      </w:pPr>
      <w:r>
        <w:t>4.1 Core Strategy: Civil-First, Criminal-Second</w:t>
      </w:r>
    </w:p>
    <w:p>
      <w:pPr>
        <w:spacing w:after="200" w:line="276" w:lineRule="auto"/>
      </w:pPr>
      <w:r>
        <w:rPr>
          <w:rFonts w:ascii="Calibri" w:hAnsi="Calibri"/>
          <w:color w:val="333333"/>
          <w:sz w:val="22"/>
        </w:rPr>
        <w:t>The optimal strategy is sequential, not parallel — at least for the first 6-8 weeks:</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2000"/>
        <w:gridCol w:w="8000"/>
      </w:tblGrid>
      <w:tr>
        <w:trPr>
          <w:tblHeader/>
        </w:trPr>
        <w:tc>
          <w:tcPr>
            <w:tcW w:w="2000" w:type="dxa"/>
            <w:shd w:val="clear" w:fill="E8EDF2"/>
          </w:tcPr>
          <w:p>
            <w:pPr>
              <w:spacing w:before="60" w:after="60"/>
              <w:jc w:val="left"/>
            </w:pPr>
            <w:r>
              <w:rPr>
                <w:rFonts w:ascii="Calibri" w:hAnsi="Calibri"/>
                <w:b/>
                <w:color w:val="1B2A4A"/>
                <w:sz w:val="20"/>
              </w:rPr>
              <w:t>Timeline</w:t>
            </w:r>
          </w:p>
        </w:tc>
        <w:tc>
          <w:tcPr>
            <w:tcW w:w="8000" w:type="dxa"/>
            <w:shd w:val="clear" w:fill="E8EDF2"/>
          </w:tcPr>
          <w:p>
            <w:pPr>
              <w:spacing w:before="60" w:after="60"/>
              <w:jc w:val="left"/>
            </w:pPr>
            <w:r>
              <w:rPr>
                <w:rFonts w:ascii="Calibri" w:hAnsi="Calibri"/>
                <w:b/>
                <w:color w:val="1B2A4A"/>
                <w:sz w:val="20"/>
              </w:rPr>
              <w:t>Action</w:t>
            </w:r>
          </w:p>
        </w:tc>
      </w:tr>
      <w:tr>
        <w:tc>
          <w:tcPr>
            <w:tcW w:w="2000" w:type="dxa"/>
          </w:tcPr>
          <w:p>
            <w:pPr>
              <w:spacing w:before="40" w:after="40"/>
            </w:pPr>
            <w:r>
              <w:rPr>
                <w:rFonts w:ascii="Calibri" w:hAnsi="Calibri"/>
                <w:color w:val="333333"/>
                <w:sz w:val="20"/>
              </w:rPr>
              <w:t>Week 1 (early June)</w:t>
            </w:r>
          </w:p>
        </w:tc>
        <w:tc>
          <w:tcPr>
            <w:tcW w:w="8000" w:type="dxa"/>
          </w:tcPr>
          <w:p>
            <w:pPr>
              <w:spacing w:before="40" w:after="40"/>
            </w:pPr>
            <w:r>
              <w:rPr>
                <w:rFonts w:ascii="Calibri" w:hAnsi="Calibri"/>
                <w:color w:val="333333"/>
                <w:sz w:val="20"/>
              </w:rPr>
              <w:t>File wniosek o przyspieszenie + verify PESEL status</w:t>
            </w:r>
          </w:p>
        </w:tc>
      </w:tr>
      <w:tr>
        <w:tc>
          <w:tcPr>
            <w:tcW w:w="2000" w:type="dxa"/>
          </w:tcPr>
          <w:p>
            <w:pPr>
              <w:spacing w:before="40" w:after="40"/>
            </w:pPr>
            <w:r>
              <w:rPr>
                <w:rFonts w:ascii="Calibri" w:hAnsi="Calibri"/>
                <w:color w:val="333333"/>
                <w:sz w:val="20"/>
              </w:rPr>
              <w:t>Weeks 2-6 (June-July)</w:t>
            </w:r>
          </w:p>
        </w:tc>
        <w:tc>
          <w:tcPr>
            <w:tcW w:w="8000" w:type="dxa"/>
          </w:tcPr>
          <w:p>
            <w:pPr>
              <w:spacing w:before="40" w:after="40"/>
            </w:pPr>
            <w:r>
              <w:rPr>
                <w:rFonts w:ascii="Calibri" w:hAnsi="Calibri"/>
                <w:color w:val="333333"/>
                <w:sz w:val="20"/>
              </w:rPr>
              <w:t>Secure nakaz zapłaty → fikcja doręczenia (14 days) → sprzeciw window (14 days) → nakaz becomes prawomocny</w:t>
            </w:r>
          </w:p>
        </w:tc>
      </w:tr>
      <w:tr>
        <w:tc>
          <w:tcPr>
            <w:tcW w:w="2000" w:type="dxa"/>
          </w:tcPr>
          <w:p>
            <w:pPr>
              <w:spacing w:before="40" w:after="40"/>
            </w:pPr>
            <w:r>
              <w:rPr>
                <w:rFonts w:ascii="Calibri" w:hAnsi="Calibri"/>
                <w:color w:val="333333"/>
                <w:sz w:val="20"/>
              </w:rPr>
              <w:t>Weeks 7-8 (late July)</w:t>
            </w:r>
          </w:p>
        </w:tc>
        <w:tc>
          <w:tcPr>
            <w:tcW w:w="8000" w:type="dxa"/>
          </w:tcPr>
          <w:p>
            <w:pPr>
              <w:spacing w:before="40" w:after="40"/>
            </w:pPr>
            <w:r>
              <w:rPr>
                <w:rFonts w:ascii="Calibri" w:hAnsi="Calibri"/>
                <w:color w:val="333333"/>
                <w:sz w:val="20"/>
              </w:rPr>
              <w:t>Apply for klauzula wykonalności + ETE; execute in Poland → then Netherlands → document bezskuteczność</w:t>
            </w:r>
          </w:p>
        </w:tc>
      </w:tr>
      <w:tr>
        <w:tc>
          <w:tcPr>
            <w:tcW w:w="2000" w:type="dxa"/>
          </w:tcPr>
          <w:p>
            <w:pPr>
              <w:spacing w:before="40" w:after="40"/>
            </w:pPr>
            <w:r>
              <w:rPr>
                <w:rFonts w:ascii="Calibri" w:hAnsi="Calibri"/>
                <w:color w:val="333333"/>
                <w:sz w:val="20"/>
              </w:rPr>
              <w:t>Month 3 (August)</w:t>
            </w:r>
          </w:p>
        </w:tc>
        <w:tc>
          <w:tcPr>
            <w:tcW w:w="8000" w:type="dxa"/>
          </w:tcPr>
          <w:p>
            <w:pPr>
              <w:spacing w:before="40" w:after="40"/>
            </w:pPr>
            <w:r>
              <w:rPr>
                <w:rFonts w:ascii="Calibri" w:hAnsi="Calibri"/>
                <w:color w:val="333333"/>
                <w:sz w:val="20"/>
              </w:rPr>
              <w:t>File zawiadomienie under art. 286 § 1 KK (fully armed with prawomocny nakaz + bezskuteczność evidence)</w:t>
            </w:r>
          </w:p>
        </w:tc>
      </w:tr>
      <w:tr>
        <w:tc>
          <w:tcPr>
            <w:tcW w:w="2000" w:type="dxa"/>
          </w:tcPr>
          <w:p>
            <w:pPr>
              <w:spacing w:before="40" w:after="40"/>
            </w:pPr>
            <w:r>
              <w:rPr>
                <w:rFonts w:ascii="Calibri" w:hAnsi="Calibri"/>
                <w:color w:val="333333"/>
                <w:sz w:val="20"/>
              </w:rPr>
              <w:t>Months 4-6</w:t>
            </w:r>
          </w:p>
        </w:tc>
        <w:tc>
          <w:tcPr>
            <w:tcW w:w="8000" w:type="dxa"/>
          </w:tcPr>
          <w:p>
            <w:pPr>
              <w:spacing w:before="40" w:after="40"/>
            </w:pPr>
            <w:r>
              <w:rPr>
                <w:rFonts w:ascii="Calibri" w:hAnsi="Calibri"/>
                <w:color w:val="333333"/>
                <w:sz w:val="20"/>
              </w:rPr>
              <w:t>Push for zabezpieczenie majątkowe (art. 291 KPK) once zarzuty announced; continue NL execution</w:t>
            </w:r>
          </w:p>
        </w:tc>
      </w:tr>
    </w:tbl>
    <w:p>
      <w:pPr>
        <w:pStyle w:val="Heading2"/>
      </w:pPr>
      <w:r>
        <w:t>4.2 Why Not File Criminal Immediately?</w:t>
      </w:r>
    </w:p>
    <w:p>
      <w:pPr>
        <w:spacing w:after="200" w:line="276" w:lineRule="auto"/>
      </w:pPr>
      <w:r>
        <w:rPr>
          <w:rFonts w:ascii="Calibri" w:hAnsi="Calibri"/>
          <w:color w:val="333333"/>
          <w:sz w:val="22"/>
        </w:rPr>
        <w:t>Filing the criminal complaint NOW (early June, before nakaz) creates three material risks:</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3000"/>
        <w:gridCol w:w="7000"/>
      </w:tblGrid>
      <w:tr>
        <w:trPr>
          <w:tblHeader/>
        </w:trPr>
        <w:tc>
          <w:tcPr>
            <w:tcW w:w="3000" w:type="dxa"/>
            <w:shd w:val="clear" w:fill="E8EDF2"/>
          </w:tcPr>
          <w:p>
            <w:pPr>
              <w:spacing w:before="60" w:after="60"/>
              <w:jc w:val="left"/>
            </w:pPr>
            <w:r>
              <w:rPr>
                <w:rFonts w:ascii="Calibri" w:hAnsi="Calibri"/>
                <w:b/>
                <w:color w:val="1B2A4A"/>
                <w:sz w:val="20"/>
              </w:rPr>
              <w:t>Risk</w:t>
            </w:r>
          </w:p>
        </w:tc>
        <w:tc>
          <w:tcPr>
            <w:tcW w:w="7000" w:type="dxa"/>
            <w:shd w:val="clear" w:fill="E8EDF2"/>
          </w:tcPr>
          <w:p>
            <w:pPr>
              <w:spacing w:before="60" w:after="60"/>
              <w:jc w:val="left"/>
            </w:pPr>
            <w:r>
              <w:rPr>
                <w:rFonts w:ascii="Calibri" w:hAnsi="Calibri"/>
                <w:b/>
                <w:color w:val="1B2A4A"/>
                <w:sz w:val="20"/>
              </w:rPr>
              <w:t>Explanation</w:t>
            </w:r>
          </w:p>
        </w:tc>
      </w:tr>
      <w:tr>
        <w:tc>
          <w:tcPr>
            <w:tcW w:w="3000" w:type="dxa"/>
          </w:tcPr>
          <w:p>
            <w:pPr>
              <w:spacing w:before="40" w:after="40"/>
            </w:pPr>
            <w:r>
              <w:rPr>
                <w:rFonts w:ascii="Calibri" w:hAnsi="Calibri"/>
                <w:color w:val="333333"/>
                <w:sz w:val="20"/>
              </w:rPr>
              <w:t>Suspension risk (art. 177 § 1 pkt 4 KPC)</w:t>
            </w:r>
          </w:p>
        </w:tc>
        <w:tc>
          <w:tcPr>
            <w:tcW w:w="7000" w:type="dxa"/>
          </w:tcPr>
          <w:p>
            <w:pPr>
              <w:spacing w:before="40" w:after="40"/>
            </w:pPr>
            <w:r>
              <w:rPr>
                <w:rFonts w:ascii="Calibri" w:hAnsi="Calibri"/>
                <w:color w:val="333333"/>
                <w:sz w:val="20"/>
              </w:rPr>
              <w:t>While facultative and unlikely, the risk is non-zero. A suspension would freeze the EPU at the worst possible moment.</w:t>
            </w:r>
          </w:p>
        </w:tc>
      </w:tr>
      <w:tr>
        <w:tc>
          <w:tcPr>
            <w:tcW w:w="3000" w:type="dxa"/>
          </w:tcPr>
          <w:p>
            <w:pPr>
              <w:spacing w:before="40" w:after="40"/>
            </w:pPr>
            <w:r>
              <w:rPr>
                <w:rFonts w:ascii="Calibri" w:hAnsi="Calibri"/>
                <w:color w:val="333333"/>
                <w:sz w:val="20"/>
              </w:rPr>
              <w:t>Sprzeciw disruption</w:t>
            </w:r>
          </w:p>
        </w:tc>
        <w:tc>
          <w:tcPr>
            <w:tcW w:w="7000" w:type="dxa"/>
          </w:tcPr>
          <w:p>
            <w:pPr>
              <w:spacing w:before="40" w:after="40"/>
            </w:pPr>
            <w:r>
              <w:rPr>
                <w:rFonts w:ascii="Calibri" w:hAnsi="Calibri"/>
                <w:color w:val="333333"/>
                <w:sz w:val="20"/>
              </w:rPr>
              <w:t>If the debtor learns of the criminal complaint (e.g., through police contact), he may suddenly file a sprzeciw to the nakaz before the fikcja window closes, converting the case to ordinary proceedings.</w:t>
            </w:r>
          </w:p>
        </w:tc>
      </w:tr>
      <w:tr>
        <w:tc>
          <w:tcPr>
            <w:tcW w:w="3000" w:type="dxa"/>
          </w:tcPr>
          <w:p>
            <w:pPr>
              <w:spacing w:before="40" w:after="40"/>
            </w:pPr>
            <w:r>
              <w:rPr>
                <w:rFonts w:ascii="Calibri" w:hAnsi="Calibri"/>
                <w:color w:val="333333"/>
                <w:sz w:val="20"/>
              </w:rPr>
              <w:t>Asset freeze timing mismatch</w:t>
            </w:r>
          </w:p>
        </w:tc>
        <w:tc>
          <w:tcPr>
            <w:tcW w:w="7000" w:type="dxa"/>
          </w:tcPr>
          <w:p>
            <w:pPr>
              <w:spacing w:before="40" w:after="40"/>
            </w:pPr>
            <w:r>
              <w:rPr>
                <w:rFonts w:ascii="Calibri" w:hAnsi="Calibri"/>
                <w:color w:val="333333"/>
                <w:sz w:val="20"/>
              </w:rPr>
              <w:t>Zabezpieczenie majątkowe under art. 291 KPK requires “podejrzany” status (charges announced). From zawiadomienie to zarzuty takes weeks or months — far slower than the EPU fikcja timeline.</w:t>
            </w:r>
          </w:p>
        </w:tc>
      </w:tr>
    </w:tbl>
    <w:p>
      <w:pPr>
        <w:pStyle w:val="Heading2"/>
      </w:pPr>
      <w:r>
        <w:t>4.3 Why Filing Criminal After Nakaz Strengthens the Criminal Complaint</w:t>
      </w:r>
    </w:p>
    <w:p>
      <w:pPr>
        <w:spacing w:after="200" w:line="276" w:lineRule="auto"/>
      </w:pPr>
      <w:r>
        <w:rPr>
          <w:rFonts w:ascii="Calibri" w:hAnsi="Calibri"/>
          <w:color w:val="333333"/>
          <w:sz w:val="22"/>
        </w:rPr>
        <w:t>Waiting until after the civil title is secure substantially strengthens the criminal complaint:</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4000"/>
        <w:gridCol w:w="6000"/>
      </w:tblGrid>
      <w:tr>
        <w:trPr>
          <w:tblHeader/>
        </w:trPr>
        <w:tc>
          <w:tcPr>
            <w:tcW w:w="4000" w:type="dxa"/>
            <w:shd w:val="clear" w:fill="E8EDF2"/>
          </w:tcPr>
          <w:p>
            <w:pPr>
              <w:spacing w:before="60" w:after="60"/>
              <w:jc w:val="left"/>
            </w:pPr>
            <w:r>
              <w:rPr>
                <w:rFonts w:ascii="Calibri" w:hAnsi="Calibri"/>
                <w:b/>
                <w:color w:val="1B2A4A"/>
                <w:sz w:val="20"/>
              </w:rPr>
              <w:t>Evidence</w:t>
            </w:r>
          </w:p>
        </w:tc>
        <w:tc>
          <w:tcPr>
            <w:tcW w:w="6000" w:type="dxa"/>
            <w:shd w:val="clear" w:fill="E8EDF2"/>
          </w:tcPr>
          <w:p>
            <w:pPr>
              <w:spacing w:before="60" w:after="60"/>
              <w:jc w:val="left"/>
            </w:pPr>
            <w:r>
              <w:rPr>
                <w:rFonts w:ascii="Calibri" w:hAnsi="Calibri"/>
                <w:b/>
                <w:color w:val="1B2A4A"/>
                <w:sz w:val="20"/>
              </w:rPr>
              <w:t>Evidentiary Value</w:t>
            </w:r>
          </w:p>
        </w:tc>
      </w:tr>
      <w:tr>
        <w:tc>
          <w:tcPr>
            <w:tcW w:w="4000" w:type="dxa"/>
          </w:tcPr>
          <w:p>
            <w:pPr>
              <w:spacing w:before="40" w:after="40"/>
            </w:pPr>
            <w:r>
              <w:rPr>
                <w:rFonts w:ascii="Calibri" w:hAnsi="Calibri"/>
                <w:color w:val="333333"/>
                <w:sz w:val="20"/>
              </w:rPr>
              <w:t>Prawomocny nakaz zapłaty</w:t>
            </w:r>
          </w:p>
        </w:tc>
        <w:tc>
          <w:tcPr>
            <w:tcW w:w="6000" w:type="dxa"/>
          </w:tcPr>
          <w:p>
            <w:pPr>
              <w:spacing w:before="40" w:after="40"/>
            </w:pPr>
            <w:r>
              <w:rPr>
                <w:rFonts w:ascii="Calibri" w:hAnsi="Calibri"/>
                <w:color w:val="333333"/>
                <w:sz w:val="20"/>
              </w:rPr>
              <w:t>Confirms the civil debt as a formal court finding — powerful corroboration</w:t>
            </w:r>
          </w:p>
        </w:tc>
      </w:tr>
      <w:tr>
        <w:tc>
          <w:tcPr>
            <w:tcW w:w="4000" w:type="dxa"/>
          </w:tcPr>
          <w:p>
            <w:pPr>
              <w:spacing w:before="40" w:after="40"/>
            </w:pPr>
            <w:r>
              <w:rPr>
                <w:rFonts w:ascii="Calibri" w:hAnsi="Calibri"/>
                <w:color w:val="333333"/>
                <w:sz w:val="20"/>
              </w:rPr>
              <w:t>Bezskuteczność egzekucji</w:t>
            </w:r>
          </w:p>
        </w:tc>
        <w:tc>
          <w:tcPr>
            <w:tcW w:w="6000" w:type="dxa"/>
          </w:tcPr>
          <w:p>
            <w:pPr>
              <w:spacing w:before="40" w:after="40"/>
            </w:pPr>
            <w:r>
              <w:rPr>
                <w:rFonts w:ascii="Calibri" w:hAnsi="Calibri"/>
                <w:color w:val="333333"/>
                <w:sz w:val="20"/>
              </w:rPr>
              <w:t>Directly demonstrates debtor’s pattern of non-payment; supports inference of fraudulent intent</w:t>
            </w:r>
          </w:p>
        </w:tc>
      </w:tr>
      <w:tr>
        <w:tc>
          <w:tcPr>
            <w:tcW w:w="4000" w:type="dxa"/>
          </w:tcPr>
          <w:p>
            <w:pPr>
              <w:spacing w:before="40" w:after="40"/>
            </w:pPr>
            <w:r>
              <w:rPr>
                <w:rFonts w:ascii="Calibri" w:hAnsi="Calibri"/>
                <w:color w:val="333333"/>
                <w:sz w:val="20"/>
              </w:rPr>
              <w:t>Execution attempt documentation (Poland + NL)</w:t>
            </w:r>
          </w:p>
        </w:tc>
        <w:tc>
          <w:tcPr>
            <w:tcW w:w="6000" w:type="dxa"/>
          </w:tcPr>
          <w:p>
            <w:pPr>
              <w:spacing w:before="40" w:after="40"/>
            </w:pPr>
            <w:r>
              <w:rPr>
                <w:rFonts w:ascii="Calibri" w:hAnsi="Calibri"/>
                <w:color w:val="333333"/>
                <w:sz w:val="20"/>
              </w:rPr>
              <w:t>Shows systematic evasion; undermines any “good faith business failure” defense</w:t>
            </w:r>
          </w:p>
        </w:tc>
      </w:tr>
      <w:tr>
        <w:tc>
          <w:tcPr>
            <w:tcW w:w="4000" w:type="dxa"/>
          </w:tcPr>
          <w:p>
            <w:pPr>
              <w:spacing w:before="40" w:after="40"/>
            </w:pPr>
            <w:r>
              <w:rPr>
                <w:rFonts w:ascii="Calibri" w:hAnsi="Calibri"/>
                <w:color w:val="333333"/>
                <w:sz w:val="20"/>
              </w:rPr>
              <w:t>Fikcja doręczenia record</w:t>
            </w:r>
          </w:p>
        </w:tc>
        <w:tc>
          <w:tcPr>
            <w:tcW w:w="6000" w:type="dxa"/>
          </w:tcPr>
          <w:p>
            <w:pPr>
              <w:spacing w:before="40" w:after="40"/>
            </w:pPr>
            <w:r>
              <w:rPr>
                <w:rFonts w:ascii="Calibri" w:hAnsi="Calibri"/>
                <w:color w:val="333333"/>
                <w:sz w:val="20"/>
              </w:rPr>
              <w:t>Proves debtor was properly served but ignored the obligation — supports inference of wilful avoidance</w:t>
            </w:r>
          </w:p>
        </w:tc>
      </w:tr>
    </w:tbl>
    <w:p>
      <w:pPr>
        <w:pStyle w:val="Heading2"/>
      </w:pPr>
      <w:r>
        <w:t>4.4 The Wniosek o Przyspieszenie Rozpoznania Sprawy</w:t>
      </w:r>
    </w:p>
    <w:p>
      <w:pPr>
        <w:spacing w:after="200" w:line="276" w:lineRule="auto"/>
      </w:pPr>
      <w:r>
        <w:rPr>
          <w:rFonts w:ascii="Calibri" w:hAnsi="Calibri"/>
          <w:color w:val="333333"/>
          <w:sz w:val="22"/>
        </w:rPr>
        <w:t>File it immediately (Week 1).</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2000"/>
        <w:gridCol w:w="8000"/>
      </w:tblGrid>
      <w:tr>
        <w:trPr>
          <w:tblHeader/>
        </w:trPr>
        <w:tc>
          <w:tcPr>
            <w:tcW w:w="2000" w:type="dxa"/>
            <w:shd w:val="clear" w:fill="E8EDF2"/>
          </w:tcPr>
          <w:p>
            <w:pPr>
              <w:spacing w:before="60" w:after="60"/>
              <w:jc w:val="left"/>
            </w:pPr>
            <w:r>
              <w:rPr>
                <w:rFonts w:ascii="Calibri" w:hAnsi="Calibri"/>
                <w:b/>
                <w:color w:val="1B2A4A"/>
                <w:sz w:val="20"/>
              </w:rPr>
              <w:t>Aspect</w:t>
            </w:r>
          </w:p>
        </w:tc>
        <w:tc>
          <w:tcPr>
            <w:tcW w:w="8000" w:type="dxa"/>
            <w:shd w:val="clear" w:fill="E8EDF2"/>
          </w:tcPr>
          <w:p>
            <w:pPr>
              <w:spacing w:before="60" w:after="60"/>
              <w:jc w:val="left"/>
            </w:pPr>
            <w:r>
              <w:rPr>
                <w:rFonts w:ascii="Calibri" w:hAnsi="Calibri"/>
                <w:b/>
                <w:color w:val="1B2A4A"/>
                <w:sz w:val="20"/>
              </w:rPr>
              <w:t>Assessment</w:t>
            </w:r>
          </w:p>
        </w:tc>
      </w:tr>
      <w:tr>
        <w:tc>
          <w:tcPr>
            <w:tcW w:w="2000" w:type="dxa"/>
          </w:tcPr>
          <w:p>
            <w:pPr>
              <w:spacing w:before="40" w:after="40"/>
            </w:pPr>
            <w:r>
              <w:rPr>
                <w:rFonts w:ascii="Calibri" w:hAnsi="Calibri"/>
                <w:color w:val="333333"/>
                <w:sz w:val="20"/>
              </w:rPr>
              <w:t>Cost</w:t>
            </w:r>
          </w:p>
        </w:tc>
        <w:tc>
          <w:tcPr>
            <w:tcW w:w="8000" w:type="dxa"/>
          </w:tcPr>
          <w:p>
            <w:pPr>
              <w:spacing w:before="40" w:after="40"/>
            </w:pPr>
            <w:r>
              <w:rPr>
                <w:rFonts w:ascii="Calibri" w:hAnsi="Calibri"/>
                <w:color w:val="333333"/>
                <w:sz w:val="20"/>
              </w:rPr>
              <w:t>Zero (no court fee)</w:t>
            </w:r>
          </w:p>
        </w:tc>
      </w:tr>
      <w:tr>
        <w:tc>
          <w:tcPr>
            <w:tcW w:w="2000" w:type="dxa"/>
          </w:tcPr>
          <w:p>
            <w:pPr>
              <w:spacing w:before="40" w:after="40"/>
            </w:pPr>
            <w:r>
              <w:rPr>
                <w:rFonts w:ascii="Calibri" w:hAnsi="Calibri"/>
                <w:color w:val="333333"/>
                <w:sz w:val="20"/>
              </w:rPr>
              <w:t>Risk</w:t>
            </w:r>
          </w:p>
        </w:tc>
        <w:tc>
          <w:tcPr>
            <w:tcW w:w="8000" w:type="dxa"/>
          </w:tcPr>
          <w:p>
            <w:pPr>
              <w:spacing w:before="40" w:after="40"/>
            </w:pPr>
            <w:r>
              <w:rPr>
                <w:rFonts w:ascii="Calibri" w:hAnsi="Calibri"/>
                <w:color w:val="333333"/>
                <w:sz w:val="20"/>
              </w:rPr>
              <w:t>None — it cannot backfire or be used against the claimant</w:t>
            </w:r>
          </w:p>
        </w:tc>
      </w:tr>
      <w:tr>
        <w:tc>
          <w:tcPr>
            <w:tcW w:w="2000" w:type="dxa"/>
          </w:tcPr>
          <w:p>
            <w:pPr>
              <w:spacing w:before="40" w:after="40"/>
            </w:pPr>
            <w:r>
              <w:rPr>
                <w:rFonts w:ascii="Calibri" w:hAnsi="Calibri"/>
                <w:color w:val="333333"/>
                <w:sz w:val="20"/>
              </w:rPr>
              <w:t>Upside</w:t>
            </w:r>
          </w:p>
        </w:tc>
        <w:tc>
          <w:tcPr>
            <w:tcW w:w="8000" w:type="dxa"/>
          </w:tcPr>
          <w:p>
            <w:pPr>
              <w:spacing w:before="40" w:after="40"/>
            </w:pPr>
            <w:r>
              <w:rPr>
                <w:rFonts w:ascii="Calibri" w:hAnsi="Calibri"/>
                <w:color w:val="333333"/>
                <w:sz w:val="20"/>
              </w:rPr>
              <w:t>Moderate timeline compression + paper trail of urgency</w:t>
            </w:r>
          </w:p>
        </w:tc>
      </w:tr>
      <w:tr>
        <w:tc>
          <w:tcPr>
            <w:tcW w:w="2000" w:type="dxa"/>
          </w:tcPr>
          <w:p>
            <w:pPr>
              <w:spacing w:before="40" w:after="40"/>
            </w:pPr>
            <w:r>
              <w:rPr>
                <w:rFonts w:ascii="Calibri" w:hAnsi="Calibri"/>
                <w:color w:val="333333"/>
                <w:sz w:val="20"/>
              </w:rPr>
              <w:t>Realistic impact at Lublin-Zachód</w:t>
            </w:r>
          </w:p>
        </w:tc>
        <w:tc>
          <w:tcPr>
            <w:tcW w:w="8000" w:type="dxa"/>
          </w:tcPr>
          <w:p>
            <w:pPr>
              <w:spacing w:before="40" w:after="40"/>
            </w:pPr>
            <w:r>
              <w:rPr>
                <w:rFonts w:ascii="Calibri" w:hAnsi="Calibri"/>
                <w:color w:val="333333"/>
                <w:sz w:val="20"/>
              </w:rPr>
              <w:t>The e-Sąd processes ~5,500 nakazy zapłaty daily. The wniosek may flag the case for slightly earlier processing. It is most effective when combined with specific, documented risks.</w:t>
            </w:r>
          </w:p>
        </w:tc>
      </w:tr>
    </w:tbl>
    <w:p>
      <w:pPr>
        <w:spacing w:after="200" w:line="276" w:lineRule="auto"/>
      </w:pPr>
      <w:r>
        <w:rPr>
          <w:rFonts w:ascii="Calibri" w:hAnsi="Calibri"/>
          <w:color w:val="333333"/>
          <w:sz w:val="22"/>
        </w:rPr>
        <w:t>Recommended grounds to cite:</w:t>
      </w:r>
    </w:p>
    <w:p>
      <w:pPr>
        <w:spacing w:after="120" w:line="276" w:lineRule="auto"/>
        <w:ind w:left="720" w:hanging="360"/>
      </w:pPr>
      <w:r>
        <w:rPr>
          <w:rFonts w:ascii="Calibri" w:hAnsi="Calibri"/>
          <w:color w:val="333333"/>
          <w:sz w:val="22"/>
        </w:rPr>
        <w:t>•  Art. 174 § 1 KPC — prawo do rozpoznania sprawy bez nieuzasadnionej zwłoki</w:t>
      </w:r>
    </w:p>
    <w:p>
      <w:pPr>
        <w:spacing w:after="120" w:line="276" w:lineRule="auto"/>
        <w:ind w:left="720" w:hanging="360"/>
      </w:pPr>
      <w:r>
        <w:rPr>
          <w:rFonts w:ascii="Calibri" w:hAnsi="Calibri"/>
          <w:color w:val="333333"/>
          <w:sz w:val="22"/>
        </w:rPr>
        <w:t>•  Asset dissipation risk — debtor resides in the Netherlands and may liquidate or transfer Polish assets</w:t>
      </w:r>
    </w:p>
    <w:p>
      <w:pPr>
        <w:spacing w:after="120" w:line="276" w:lineRule="auto"/>
        <w:ind w:left="720" w:hanging="360"/>
      </w:pPr>
      <w:r>
        <w:rPr>
          <w:rFonts w:ascii="Calibri" w:hAnsi="Calibri"/>
          <w:color w:val="333333"/>
          <w:sz w:val="22"/>
        </w:rPr>
        <w:t>•  Cross-border enforcement complexity — ETE procedures are time-consuming; delays at the civil stage compound with enforcement delays</w:t>
      </w:r>
    </w:p>
    <w:p>
      <w:pPr>
        <w:spacing w:after="120" w:line="276" w:lineRule="auto"/>
        <w:ind w:left="720" w:hanging="360"/>
      </w:pPr>
      <w:r>
        <w:rPr>
          <w:rFonts w:ascii="Calibri" w:hAnsi="Calibri"/>
          <w:color w:val="333333"/>
          <w:sz w:val="22"/>
        </w:rPr>
        <w:t>•  Commercial urgency — 155k PLN debt affects the claimant’s liquidity as a business</w:t>
      </w:r>
    </w:p>
    <w:p>
      <w:pPr>
        <w:spacing w:after="120" w:line="276" w:lineRule="auto"/>
        <w:ind w:left="720" w:hanging="360"/>
      </w:pPr>
      <w:r>
        <w:rPr>
          <w:rFonts w:ascii="Calibri" w:hAnsi="Calibri"/>
          <w:color w:val="333333"/>
          <w:sz w:val="22"/>
        </w:rPr>
        <w:t>•  Clean KRZ first-mover advantage — no prior enforcement marks means the claimant’s execution has real chances of satisfaction if the title is obtained quickly</w:t>
      </w:r>
    </w:p>
    <w:p>
      <w:pPr>
        <w:spacing w:before="120"/>
      </w:pPr>
      <w:r>
        <w:rPr>
          <w:b/>
          <w:color w:val="333333"/>
        </w:rPr>
        <w:t>One caution: </w:t>
      </w:r>
      <w:r>
        <w:rPr>
          <w:i/>
          <w:color w:val="333333"/>
        </w:rPr>
        <w:t>Do NOT mention the planned criminal complaint in the wniosek. Keep it purely civil.</w:t>
      </w:r>
    </w:p>
    <w:p>
      <w:pPr>
        <w:pStyle w:val="Heading2"/>
      </w:pPr>
      <w:r>
        <w:t>4.5 Critical Verification: PESEL Status</w:t>
      </w:r>
    </w:p>
    <w:p>
      <w:pPr>
        <w:spacing w:after="200" w:line="276" w:lineRule="auto"/>
      </w:pPr>
      <w:r>
        <w:rPr>
          <w:rFonts w:ascii="Calibri" w:hAnsi="Calibri"/>
          <w:color w:val="333333"/>
          <w:sz w:val="22"/>
        </w:rPr>
        <w:t>The entire strategy depends on one critical fact: whether Mateusz Szklarski still has an active PESEL meldunek in Poland. Under art. 505[34] § 1 KPC, fikcja doręczenia requires an address in the PESEL register. If the debtor has been wymeldowany (formally deregistered), the fikcja advantage collapses and the strategy must pivot immediately.</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2400"/>
        <w:gridCol w:w="2800"/>
        <w:gridCol w:w="4800"/>
      </w:tblGrid>
      <w:tr>
        <w:trPr>
          <w:tblHeader/>
        </w:trPr>
        <w:tc>
          <w:tcPr>
            <w:tcW w:w="2400" w:type="dxa"/>
            <w:shd w:val="clear" w:fill="E8EDF2"/>
          </w:tcPr>
          <w:p>
            <w:pPr>
              <w:spacing w:before="60" w:after="60"/>
              <w:jc w:val="left"/>
            </w:pPr>
            <w:r>
              <w:rPr>
                <w:rFonts w:ascii="Calibri" w:hAnsi="Calibri"/>
                <w:b/>
                <w:color w:val="1B2A4A"/>
                <w:sz w:val="20"/>
              </w:rPr>
              <w:t>Scenario</w:t>
            </w:r>
          </w:p>
        </w:tc>
        <w:tc>
          <w:tcPr>
            <w:tcW w:w="2800" w:type="dxa"/>
            <w:shd w:val="clear" w:fill="E8EDF2"/>
          </w:tcPr>
          <w:p>
            <w:pPr>
              <w:spacing w:before="60" w:after="60"/>
              <w:jc w:val="left"/>
            </w:pPr>
            <w:r>
              <w:rPr>
                <w:rFonts w:ascii="Calibri" w:hAnsi="Calibri"/>
                <w:b/>
                <w:color w:val="1B2A4A"/>
                <w:sz w:val="20"/>
              </w:rPr>
              <w:t>Status</w:t>
            </w:r>
          </w:p>
        </w:tc>
        <w:tc>
          <w:tcPr>
            <w:tcW w:w="4800" w:type="dxa"/>
            <w:shd w:val="clear" w:fill="E8EDF2"/>
          </w:tcPr>
          <w:p>
            <w:pPr>
              <w:spacing w:before="60" w:after="60"/>
              <w:jc w:val="left"/>
            </w:pPr>
            <w:r>
              <w:rPr>
                <w:rFonts w:ascii="Calibri" w:hAnsi="Calibri"/>
                <w:b/>
                <w:color w:val="1B2A4A"/>
                <w:sz w:val="20"/>
              </w:rPr>
              <w:t>Required Action</w:t>
            </w:r>
          </w:p>
        </w:tc>
      </w:tr>
      <w:tr>
        <w:tc>
          <w:tcPr>
            <w:tcW w:w="2400" w:type="dxa"/>
          </w:tcPr>
          <w:p>
            <w:pPr>
              <w:spacing w:before="40" w:after="40"/>
            </w:pPr>
            <w:r>
              <w:rPr>
                <w:rFonts w:ascii="Calibri" w:hAnsi="Calibri"/>
                <w:color w:val="333333"/>
                <w:sz w:val="20"/>
              </w:rPr>
              <w:t>PESEL active</w:t>
            </w:r>
          </w:p>
        </w:tc>
        <w:tc>
          <w:tcPr>
            <w:tcW w:w="2800" w:type="dxa"/>
          </w:tcPr>
          <w:p>
            <w:pPr>
              <w:spacing w:before="40" w:after="40"/>
            </w:pPr>
            <w:r>
              <w:rPr>
                <w:rFonts w:ascii="Calibri" w:hAnsi="Calibri"/>
                <w:color w:val="333333"/>
                <w:sz w:val="20"/>
              </w:rPr>
              <w:t>Fikcja doręczenia works</w:t>
            </w:r>
          </w:p>
        </w:tc>
        <w:tc>
          <w:tcPr>
            <w:tcW w:w="4800" w:type="dxa"/>
          </w:tcPr>
          <w:p>
            <w:pPr>
              <w:spacing w:before="40" w:after="40"/>
            </w:pPr>
            <w:r>
              <w:rPr>
                <w:rFonts w:ascii="Calibri" w:hAnsi="Calibri"/>
                <w:color w:val="333333"/>
                <w:sz w:val="20"/>
              </w:rPr>
              <w:t>Continue with EPU-first strategy</w:t>
            </w:r>
          </w:p>
        </w:tc>
      </w:tr>
      <w:tr>
        <w:tc>
          <w:tcPr>
            <w:tcW w:w="2400" w:type="dxa"/>
          </w:tcPr>
          <w:p>
            <w:pPr>
              <w:spacing w:before="40" w:after="40"/>
            </w:pPr>
            <w:r>
              <w:rPr>
                <w:rFonts w:ascii="Calibri" w:hAnsi="Calibri"/>
                <w:color w:val="333333"/>
                <w:sz w:val="20"/>
              </w:rPr>
              <w:t>PESEL deregistered (wymeldowany)</w:t>
            </w:r>
          </w:p>
        </w:tc>
        <w:tc>
          <w:tcPr>
            <w:tcW w:w="2800" w:type="dxa"/>
          </w:tcPr>
          <w:p>
            <w:pPr>
              <w:spacing w:before="40" w:after="40"/>
            </w:pPr>
            <w:r>
              <w:rPr>
                <w:rFonts w:ascii="Calibri" w:hAnsi="Calibri"/>
                <w:color w:val="333333"/>
                <w:sz w:val="20"/>
              </w:rPr>
              <w:t>Fikcja unavailable</w:t>
            </w:r>
          </w:p>
        </w:tc>
        <w:tc>
          <w:tcPr>
            <w:tcW w:w="4800" w:type="dxa"/>
          </w:tcPr>
          <w:p>
            <w:pPr>
              <w:spacing w:before="40" w:after="40"/>
            </w:pPr>
            <w:r>
              <w:rPr>
                <w:rFonts w:ascii="Calibri" w:hAnsi="Calibri"/>
                <w:color w:val="333333"/>
                <w:sz w:val="20"/>
              </w:rPr>
              <w:t>Do NOT withdraw EPU (let court decide); prepare ordinary pozew o zapłatę; file criminal complaint immediately; request zabezpieczenie sądowe (art. 730 KPC) in ordinary proceedings</w:t>
            </w:r>
          </w:p>
        </w:tc>
      </w:tr>
    </w:tbl>
    <w:p>
      <w:pPr>
        <w:pStyle w:val="Heading2"/>
      </w:pPr>
      <w:r>
        <w:t>4.6 Summary: Why This Sequencing Works</w:t>
      </w:r>
    </w:p>
    <w:p>
      <w:pPr>
        <w:spacing w:after="200" w:line="276" w:lineRule="auto"/>
      </w:pPr>
      <w:r>
        <w:rPr>
          <w:rFonts w:ascii="Calibri" w:hAnsi="Calibri"/>
          <w:color w:val="333333"/>
          <w:sz w:val="22"/>
        </w:rPr>
        <w:t>The EPU fikcja doręczenia mechanism is an extraordinary procedural weapon against a foreign-domiciled debtor. It compresses what would be a 1-6 month Hague Service Convention timeline into 14 days. This advantage is so valuable that it must be protected at all costs. By completing the civil track before introducing any variable (criminal complaint) that could disrupt it, the claimant:</w:t>
      </w:r>
    </w:p>
    <w:p>
      <w:pPr>
        <w:spacing w:after="120" w:line="276" w:lineRule="auto"/>
        <w:ind w:left="720" w:hanging="360"/>
      </w:pPr>
      <w:r>
        <w:rPr>
          <w:rFonts w:ascii="Calibri" w:hAnsi="Calibri"/>
          <w:color w:val="333333"/>
          <w:sz w:val="22"/>
        </w:rPr>
        <w:t>•  Secures the fastest enforceable title under Polish law</w:t>
      </w:r>
    </w:p>
    <w:p>
      <w:pPr>
        <w:spacing w:after="120" w:line="276" w:lineRule="auto"/>
        <w:ind w:left="720" w:hanging="360"/>
      </w:pPr>
      <w:r>
        <w:rPr>
          <w:rFonts w:ascii="Calibri" w:hAnsi="Calibri"/>
          <w:color w:val="333333"/>
          <w:sz w:val="22"/>
        </w:rPr>
        <w:t>•  Obtains evidence of bezskuteczność that strengthens the criminal complaint</w:t>
      </w:r>
    </w:p>
    <w:p>
      <w:pPr>
        <w:spacing w:after="120" w:line="276" w:lineRule="auto"/>
        <w:ind w:left="720" w:hanging="360"/>
      </w:pPr>
      <w:r>
        <w:rPr>
          <w:rFonts w:ascii="Calibri" w:hAnsi="Calibri"/>
          <w:color w:val="333333"/>
          <w:sz w:val="22"/>
        </w:rPr>
        <w:t>•  Avoids all suspension risk under art. 177 § 1 pkt 4 KPC</w:t>
      </w:r>
    </w:p>
    <w:p>
      <w:pPr>
        <w:spacing w:after="120" w:line="276" w:lineRule="auto"/>
        <w:ind w:left="720" w:hanging="360"/>
      </w:pPr>
      <w:r>
        <w:rPr>
          <w:rFonts w:ascii="Calibri" w:hAnsi="Calibri"/>
          <w:color w:val="333333"/>
          <w:sz w:val="22"/>
        </w:rPr>
        <w:t>•  Preserves full enforcement options abroad (Brussels Ia + ETE)</w:t>
      </w:r>
    </w:p>
    <w:p>
      <w:pPr>
        <w:spacing w:after="120" w:line="276" w:lineRule="auto"/>
        <w:ind w:left="720" w:hanging="360"/>
      </w:pPr>
      <w:r>
        <w:rPr>
          <w:rFonts w:ascii="Calibri" w:hAnsi="Calibri"/>
          <w:color w:val="333333"/>
          <w:sz w:val="22"/>
        </w:rPr>
        <w:t>•  May still obtain an art. 46 KK title if the criminal proceeding concludes before the civil title becomes prawomocny (unlikely but possible)</w:t>
      </w:r>
    </w:p>
    <w:p>
      <w:pPr>
        <w:pStyle w:val="Heading1"/>
      </w:pPr>
      <w:r>
        <w:t>Key Citations</w:t>
      </w:r>
    </w:p>
    <w:tbl>
      <w:tblPr>
        <w:tblW w:w="5000" w:type="pct"/>
        <w:tblBorders>
          <w:top w:val="single" w:color="1B2A4A" w:sz="12"/>
          <w:left w:val="nil"/>
          <w:bottom w:val="single" w:color="1B2A4A" w:sz="12"/>
          <w:right w:val="nil"/>
          <w:insideH w:val="single" w:color="CBD5E0" w:sz="4"/>
          <w:insideV w:val="nil"/>
        </w:tblBorders>
        <w:tblCellMar>
          <w:top w:w="60" w:type="dxa"/>
          <w:left w:w="80" w:type="dxa"/>
          <w:bottom w:w="60" w:type="dxa"/>
          <w:right w:w="80" w:type="dxa"/>
        </w:tblCellMar>
      </w:tblPr>
      <w:tblGrid>
        <w:gridCol w:w="4000"/>
        <w:gridCol w:w="6000"/>
      </w:tblGrid>
      <w:tr>
        <w:trPr>
          <w:tblHeader/>
        </w:trPr>
        <w:tc>
          <w:tcPr>
            <w:tcW w:w="4000" w:type="dxa"/>
            <w:shd w:val="clear" w:fill="E8EDF2"/>
          </w:tcPr>
          <w:p>
            <w:pPr>
              <w:spacing w:before="60" w:after="60"/>
              <w:jc w:val="left"/>
            </w:pPr>
            <w:r>
              <w:rPr>
                <w:rFonts w:ascii="Calibri" w:hAnsi="Calibri"/>
                <w:b/>
                <w:color w:val="1B2A4A"/>
                <w:sz w:val="20"/>
              </w:rPr>
              <w:t>Provision</w:t>
            </w:r>
          </w:p>
        </w:tc>
        <w:tc>
          <w:tcPr>
            <w:tcW w:w="6000" w:type="dxa"/>
            <w:shd w:val="clear" w:fill="E8EDF2"/>
          </w:tcPr>
          <w:p>
            <w:pPr>
              <w:spacing w:before="60" w:after="60"/>
              <w:jc w:val="left"/>
            </w:pPr>
            <w:r>
              <w:rPr>
                <w:rFonts w:ascii="Calibri" w:hAnsi="Calibri"/>
                <w:b/>
                <w:color w:val="1B2A4A"/>
                <w:sz w:val="20"/>
              </w:rPr>
              <w:t>Significance</w:t>
            </w:r>
          </w:p>
        </w:tc>
      </w:tr>
      <w:tr>
        <w:tc>
          <w:tcPr>
            <w:tcW w:w="4000" w:type="dxa"/>
          </w:tcPr>
          <w:p>
            <w:pPr>
              <w:spacing w:before="40" w:after="40"/>
            </w:pPr>
            <w:r>
              <w:rPr>
                <w:rFonts w:ascii="Calibri" w:hAnsi="Calibri"/>
                <w:color w:val="333333"/>
                <w:sz w:val="20"/>
              </w:rPr>
              <w:t>Art. 12 KPC</w:t>
            </w:r>
          </w:p>
        </w:tc>
        <w:tc>
          <w:tcPr>
            <w:tcW w:w="6000" w:type="dxa"/>
          </w:tcPr>
          <w:p>
            <w:pPr>
              <w:spacing w:before="40" w:after="40"/>
            </w:pPr>
            <w:r>
              <w:rPr>
                <w:rFonts w:ascii="Calibri" w:hAnsi="Calibri"/>
                <w:color w:val="333333"/>
                <w:sz w:val="20"/>
              </w:rPr>
              <w:t>Free choice between civil and criminal pursuit of property claims</w:t>
            </w:r>
          </w:p>
        </w:tc>
      </w:tr>
      <w:tr>
        <w:tc>
          <w:tcPr>
            <w:tcW w:w="4000" w:type="dxa"/>
          </w:tcPr>
          <w:p>
            <w:pPr>
              <w:spacing w:before="40" w:after="40"/>
            </w:pPr>
            <w:r>
              <w:rPr>
                <w:rFonts w:ascii="Calibri" w:hAnsi="Calibri"/>
                <w:color w:val="333333"/>
                <w:sz w:val="20"/>
              </w:rPr>
              <w:t>Art. 177 § 1 pkt 4 KPC</w:t>
            </w:r>
          </w:p>
        </w:tc>
        <w:tc>
          <w:tcPr>
            <w:tcW w:w="6000" w:type="dxa"/>
          </w:tcPr>
          <w:p>
            <w:pPr>
              <w:spacing w:before="40" w:after="40"/>
            </w:pPr>
            <w:r>
              <w:rPr>
                <w:rFonts w:ascii="Calibri" w:hAnsi="Calibri"/>
                <w:color w:val="333333"/>
                <w:sz w:val="20"/>
              </w:rPr>
              <w:t>Discretionary suspension of civil proceedings pending criminal case</w:t>
            </w:r>
          </w:p>
        </w:tc>
      </w:tr>
      <w:tr>
        <w:tc>
          <w:tcPr>
            <w:tcW w:w="4000" w:type="dxa"/>
          </w:tcPr>
          <w:p>
            <w:pPr>
              <w:spacing w:before="40" w:after="40"/>
            </w:pPr>
            <w:r>
              <w:rPr>
                <w:rFonts w:ascii="Calibri" w:hAnsi="Calibri"/>
                <w:color w:val="333333"/>
                <w:sz w:val="20"/>
              </w:rPr>
              <w:t>Art. 11 KPC</w:t>
            </w:r>
          </w:p>
        </w:tc>
        <w:tc>
          <w:tcPr>
            <w:tcW w:w="6000" w:type="dxa"/>
          </w:tcPr>
          <w:p>
            <w:pPr>
              <w:spacing w:before="40" w:after="40"/>
            </w:pPr>
            <w:r>
              <w:rPr>
                <w:rFonts w:ascii="Calibri" w:hAnsi="Calibri"/>
                <w:color w:val="333333"/>
                <w:sz w:val="20"/>
              </w:rPr>
              <w:t>Binding effect of criminal convictions on civil courts (one-way)</w:t>
            </w:r>
          </w:p>
        </w:tc>
      </w:tr>
      <w:tr>
        <w:tc>
          <w:tcPr>
            <w:tcW w:w="4000" w:type="dxa"/>
          </w:tcPr>
          <w:p>
            <w:pPr>
              <w:spacing w:before="40" w:after="40"/>
            </w:pPr>
            <w:r>
              <w:rPr>
                <w:rFonts w:ascii="Calibri" w:hAnsi="Calibri"/>
                <w:color w:val="333333"/>
                <w:sz w:val="20"/>
              </w:rPr>
              <w:t>Art. 8 § 1-2 KPK</w:t>
            </w:r>
          </w:p>
        </w:tc>
        <w:tc>
          <w:tcPr>
            <w:tcW w:w="6000" w:type="dxa"/>
          </w:tcPr>
          <w:p>
            <w:pPr>
              <w:spacing w:before="40" w:after="40"/>
            </w:pPr>
            <w:r>
              <w:rPr>
                <w:rFonts w:ascii="Calibri" w:hAnsi="Calibri"/>
                <w:color w:val="333333"/>
                <w:sz w:val="20"/>
              </w:rPr>
              <w:t>Independence of criminal courts; limited binding effect of constitutive civil judgments</w:t>
            </w:r>
          </w:p>
        </w:tc>
      </w:tr>
      <w:tr>
        <w:tc>
          <w:tcPr>
            <w:tcW w:w="4000" w:type="dxa"/>
          </w:tcPr>
          <w:p>
            <w:pPr>
              <w:spacing w:before="40" w:after="40"/>
            </w:pPr>
            <w:r>
              <w:rPr>
                <w:rFonts w:ascii="Calibri" w:hAnsi="Calibri"/>
                <w:color w:val="333333"/>
                <w:sz w:val="20"/>
              </w:rPr>
              <w:t>Art. 46 § 1-3 KK</w:t>
            </w:r>
          </w:p>
        </w:tc>
        <w:tc>
          <w:tcPr>
            <w:tcW w:w="6000" w:type="dxa"/>
          </w:tcPr>
          <w:p>
            <w:pPr>
              <w:spacing w:before="40" w:after="40"/>
            </w:pPr>
            <w:r>
              <w:rPr>
                <w:rFonts w:ascii="Calibri" w:hAnsi="Calibri"/>
                <w:color w:val="333333"/>
                <w:sz w:val="20"/>
              </w:rPr>
              <w:t>Criminal restitution obligation (compensatory measure)</w:t>
            </w:r>
          </w:p>
        </w:tc>
      </w:tr>
      <w:tr>
        <w:tc>
          <w:tcPr>
            <w:tcW w:w="4000" w:type="dxa"/>
          </w:tcPr>
          <w:p>
            <w:pPr>
              <w:spacing w:before="40" w:after="40"/>
            </w:pPr>
            <w:r>
              <w:rPr>
                <w:rFonts w:ascii="Calibri" w:hAnsi="Calibri"/>
                <w:color w:val="333333"/>
                <w:sz w:val="20"/>
              </w:rPr>
              <w:t>Art. 415 § 1 zd. 2 k.p.k.</w:t>
            </w:r>
          </w:p>
        </w:tc>
        <w:tc>
          <w:tcPr>
            <w:tcW w:w="6000" w:type="dxa"/>
          </w:tcPr>
          <w:p>
            <w:pPr>
              <w:spacing w:before="40" w:after="40"/>
            </w:pPr>
            <w:r>
              <w:rPr>
                <w:rFonts w:ascii="Calibri" w:hAnsi="Calibri"/>
                <w:color w:val="333333"/>
                <w:sz w:val="20"/>
              </w:rPr>
              <w:t>Anti-cumulation clause — bars art. 46 KK if civil proceeding pending or finally adjudicated</w:t>
            </w:r>
          </w:p>
        </w:tc>
      </w:tr>
      <w:tr>
        <w:tc>
          <w:tcPr>
            <w:tcW w:w="4000" w:type="dxa"/>
          </w:tcPr>
          <w:p>
            <w:pPr>
              <w:spacing w:before="40" w:after="40"/>
            </w:pPr>
            <w:r>
              <w:rPr>
                <w:rFonts w:ascii="Calibri" w:hAnsi="Calibri"/>
                <w:color w:val="333333"/>
                <w:sz w:val="20"/>
              </w:rPr>
              <w:t>Art. 244c KK</w:t>
            </w:r>
          </w:p>
        </w:tc>
        <w:tc>
          <w:tcPr>
            <w:tcW w:w="6000" w:type="dxa"/>
          </w:tcPr>
          <w:p>
            <w:pPr>
              <w:spacing w:before="40" w:after="40"/>
            </w:pPr>
            <w:r>
              <w:rPr>
                <w:rFonts w:ascii="Calibri" w:hAnsi="Calibri"/>
                <w:color w:val="333333"/>
                <w:sz w:val="20"/>
              </w:rPr>
              <w:t>Imprisonment for evasion of criminal restitution (3 months – 5 years)</w:t>
            </w:r>
          </w:p>
        </w:tc>
      </w:tr>
      <w:tr>
        <w:tc>
          <w:tcPr>
            <w:tcW w:w="4000" w:type="dxa"/>
          </w:tcPr>
          <w:p>
            <w:pPr>
              <w:spacing w:before="40" w:after="40"/>
            </w:pPr>
            <w:r>
              <w:rPr>
                <w:rFonts w:ascii="Calibri" w:hAnsi="Calibri"/>
                <w:color w:val="333333"/>
                <w:sz w:val="20"/>
              </w:rPr>
              <w:t>Art. 491²¹ ust. 2 pkt 3 Prawa upadłościowego</w:t>
            </w:r>
          </w:p>
        </w:tc>
        <w:tc>
          <w:tcPr>
            <w:tcW w:w="6000" w:type="dxa"/>
          </w:tcPr>
          <w:p>
            <w:pPr>
              <w:spacing w:before="40" w:after="40"/>
            </w:pPr>
            <w:r>
              <w:rPr>
                <w:rFonts w:ascii="Calibri" w:hAnsi="Calibri"/>
                <w:color w:val="333333"/>
                <w:sz w:val="20"/>
              </w:rPr>
              <w:t>Non-dischargeability of art. 46 KK obligations in bankruptcy</w:t>
            </w:r>
          </w:p>
        </w:tc>
      </w:tr>
      <w:tr>
        <w:tc>
          <w:tcPr>
            <w:tcW w:w="4000" w:type="dxa"/>
          </w:tcPr>
          <w:p>
            <w:pPr>
              <w:spacing w:before="40" w:after="40"/>
            </w:pPr>
            <w:r>
              <w:rPr>
                <w:rFonts w:ascii="Calibri" w:hAnsi="Calibri"/>
                <w:color w:val="333333"/>
                <w:sz w:val="20"/>
              </w:rPr>
              <w:t>Art. 410 k.c.</w:t>
            </w:r>
          </w:p>
        </w:tc>
        <w:tc>
          <w:tcPr>
            <w:tcW w:w="6000" w:type="dxa"/>
          </w:tcPr>
          <w:p>
            <w:pPr>
              <w:spacing w:before="40" w:after="40"/>
            </w:pPr>
            <w:r>
              <w:rPr>
                <w:rFonts w:ascii="Calibri" w:hAnsi="Calibri"/>
                <w:color w:val="333333"/>
                <w:sz w:val="20"/>
              </w:rPr>
              <w:t>Concursus actionum — prohibition on cumulating claims for same subject matter</w:t>
            </w:r>
          </w:p>
        </w:tc>
      </w:tr>
      <w:tr>
        <w:tc>
          <w:tcPr>
            <w:tcW w:w="4000" w:type="dxa"/>
          </w:tcPr>
          <w:p>
            <w:pPr>
              <w:spacing w:before="40" w:after="40"/>
            </w:pPr>
            <w:r>
              <w:rPr>
                <w:rFonts w:ascii="Calibri" w:hAnsi="Calibri"/>
                <w:color w:val="333333"/>
                <w:sz w:val="20"/>
              </w:rPr>
              <w:t>Art. 405 k.c.</w:t>
            </w:r>
          </w:p>
        </w:tc>
        <w:tc>
          <w:tcPr>
            <w:tcW w:w="6000" w:type="dxa"/>
          </w:tcPr>
          <w:p>
            <w:pPr>
              <w:spacing w:before="40" w:after="40"/>
            </w:pPr>
            <w:r>
              <w:rPr>
                <w:rFonts w:ascii="Calibri" w:hAnsi="Calibri"/>
                <w:color w:val="333333"/>
                <w:sz w:val="20"/>
              </w:rPr>
              <w:t>Unjust enrichment</w:t>
            </w:r>
          </w:p>
        </w:tc>
      </w:tr>
      <w:tr>
        <w:tc>
          <w:tcPr>
            <w:tcW w:w="4000" w:type="dxa"/>
          </w:tcPr>
          <w:p>
            <w:pPr>
              <w:spacing w:before="40" w:after="40"/>
            </w:pPr>
            <w:r>
              <w:rPr>
                <w:rFonts w:ascii="Calibri" w:hAnsi="Calibri"/>
                <w:color w:val="333333"/>
                <w:sz w:val="20"/>
              </w:rPr>
              <w:t>SN IV CSK 377/17 (29.11.2018)</w:t>
            </w:r>
          </w:p>
        </w:tc>
        <w:tc>
          <w:tcPr>
            <w:tcW w:w="6000" w:type="dxa"/>
          </w:tcPr>
          <w:p>
            <w:pPr>
              <w:spacing w:before="40" w:after="40"/>
            </w:pPr>
            <w:r>
              <w:rPr>
                <w:rFonts w:ascii="Calibri" w:hAnsi="Calibri"/>
                <w:color w:val="333333"/>
                <w:sz w:val="20"/>
              </w:rPr>
              <w:t>Landmark two-part test for art. 177 § 1 pkt 4 KPC suspension</w:t>
            </w:r>
          </w:p>
        </w:tc>
      </w:tr>
      <w:tr>
        <w:tc>
          <w:tcPr>
            <w:tcW w:w="4000" w:type="dxa"/>
          </w:tcPr>
          <w:p>
            <w:pPr>
              <w:spacing w:before="40" w:after="40"/>
            </w:pPr>
            <w:r>
              <w:rPr>
                <w:rFonts w:ascii="Calibri" w:hAnsi="Calibri"/>
                <w:color w:val="333333"/>
                <w:sz w:val="20"/>
              </w:rPr>
              <w:t>SN III CZP 84/20 (2021)</w:t>
            </w:r>
          </w:p>
        </w:tc>
        <w:tc>
          <w:tcPr>
            <w:tcW w:w="6000" w:type="dxa"/>
          </w:tcPr>
          <w:p>
            <w:pPr>
              <w:spacing w:before="40" w:after="40"/>
            </w:pPr>
            <w:r>
              <w:rPr>
                <w:rFonts w:ascii="Calibri" w:hAnsi="Calibri"/>
                <w:color w:val="333333"/>
                <w:sz w:val="20"/>
              </w:rPr>
              <w:t>Res judicata of art. 46 KK orders</w:t>
            </w:r>
          </w:p>
        </w:tc>
      </w:tr>
      <w:tr>
        <w:tc>
          <w:tcPr>
            <w:tcW w:w="4000" w:type="dxa"/>
          </w:tcPr>
          <w:p>
            <w:pPr>
              <w:spacing w:before="40" w:after="40"/>
            </w:pPr>
            <w:r>
              <w:rPr>
                <w:rFonts w:ascii="Calibri" w:hAnsi="Calibri"/>
                <w:color w:val="333333"/>
                <w:sz w:val="20"/>
              </w:rPr>
              <w:t>Reg. (EU) 1215/2012 (Brussels Ia)</w:t>
            </w:r>
          </w:p>
        </w:tc>
        <w:tc>
          <w:tcPr>
            <w:tcW w:w="6000" w:type="dxa"/>
          </w:tcPr>
          <w:p>
            <w:pPr>
              <w:spacing w:before="40" w:after="40"/>
            </w:pPr>
            <w:r>
              <w:rPr>
                <w:rFonts w:ascii="Calibri" w:hAnsi="Calibri"/>
                <w:color w:val="333333"/>
                <w:sz w:val="20"/>
              </w:rPr>
              <w:t>Direct enforcement of civil judgments in EU; criminal judgments excluded</w:t>
            </w:r>
          </w:p>
        </w:tc>
      </w:tr>
      <w:tr>
        <w:tc>
          <w:tcPr>
            <w:tcW w:w="4000" w:type="dxa"/>
          </w:tcPr>
          <w:p>
            <w:pPr>
              <w:spacing w:before="40" w:after="40"/>
            </w:pPr>
            <w:r>
              <w:rPr>
                <w:rFonts w:ascii="Calibri" w:hAnsi="Calibri"/>
                <w:color w:val="333333"/>
                <w:sz w:val="20"/>
              </w:rPr>
              <w:t>Art. 505[34] § 1 KPC</w:t>
            </w:r>
          </w:p>
        </w:tc>
        <w:tc>
          <w:tcPr>
            <w:tcW w:w="6000" w:type="dxa"/>
          </w:tcPr>
          <w:p>
            <w:pPr>
              <w:spacing w:before="40" w:after="40"/>
            </w:pPr>
            <w:r>
              <w:rPr>
                <w:rFonts w:ascii="Calibri" w:hAnsi="Calibri"/>
                <w:color w:val="333333"/>
                <w:sz w:val="20"/>
              </w:rPr>
              <w:t>Fikcja doręczenia in EPU proceedings</w:t>
            </w:r>
          </w:p>
        </w:tc>
      </w:tr>
    </w:tbl>
    <w:p>
      <w:pPr>
        <w:spacing w:before="600"/>
      </w:pPr>
    </w:p>
    <w:p>
      <w:pPr>
        <w:pBdr>
          <w:top w:val="single" w:color="CBD5E0" w:sz="6" w:space="8"/>
        </w:pBdr>
      </w:pPr>
      <w:r/>
    </w:p>
    <w:p>
      <w:pPr>
        <w:spacing w:before="200"/>
      </w:pPr>
      <w:r>
        <w:rPr>
          <w:i/>
          <w:color w:val="6B7B8C"/>
          <w:sz w:val="20"/>
        </w:rPr>
        <w:t>This memo is prepared for litigation planning purposes and reflects the Polish legal framework as of June 2026. Specific procedural decisions should be made in consultation with the retained advocate handling the EPU proceedings before Sąd Rejonowy Lublin-Zachód w Lublinie and, for Netherlands enforcement, a Dutch advocaat familiar with Brussels Ia procedures.</w:t>
      </w:r>
    </w:p>
    <w:sectPr>
      <w:headerReference w:type="default" r:id="Rd3c1086a20684449"/>
      <w:footerReference w:type="default" r:id="R0d6ea7e49d77490f"/>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Calibri" w:hAnsi="Calibri"/>
        <w:color w:val="6B7B8C"/>
        <w:sz w:val="18"/>
      </w:rPr>
      <w:fldChar w:fldCharType="begin"/>
    </w:r>
    <w:r>
      <w:rPr>
        <w:rFonts w:ascii="Calibri" w:hAnsi="Calibri"/>
        <w:color w:val="6B7B8C"/>
        <w:sz w:val="18"/>
      </w:rPr>
      <w:instrText xml:space="preserve"> PAGE </w:instrText>
    </w:r>
    <w:r>
      <w:rPr>
        <w:rFonts w:ascii="Calibri" w:hAnsi="Calibri"/>
        <w:color w:val="6B7B8C"/>
        <w:sz w:val="18"/>
      </w:rPr>
      <w:fldChar w:fldCharType="separate"/>
    </w:r>
    <w:r>
      <w:rPr>
        <w:rFonts w:ascii="Calibri" w:hAnsi="Calibri"/>
        <w:color w:val="6B7B8C"/>
        <w:sz w:val="18"/>
      </w:rPr>
      <w:t>1</w:t>
    </w:r>
    <w:r>
      <w:rPr>
        <w:rFonts w:ascii="Calibri" w:hAnsi="Calibri"/>
        <w:color w:val="6B7B8C"/>
        <w:sz w:val="18"/>
      </w:rPr>
      <w:fldChar w:fldCharType="end"/>
    </w:r>
  </w:p>
</w:ftr>
</file>

<file path=word/header1.xml><?xml version="1.0" encoding="utf-8"?>
<w:hdr xmlns:w="http://schemas.openxmlformats.org/wordprocessingml/2006/main">
  <w:p>
    <w:pPr>
      <w:pBdr>
        <w:bottom w:val="single" w:color="CBD5E0" w:sz="4" w:space="1"/>
      </w:pBdr>
      <w:jc w:val="right"/>
    </w:pPr>
    <w:r>
      <w:rPr>
        <w:rFonts w:ascii="Calibri" w:hAnsi="Calibri"/>
        <w:color w:val="6B7B8C"/>
        <w:sz w:val="16"/>
      </w:rPr>
      <w:t>Legal Memo — EPU Nc-e 552126/26 | Parallel Civil-Criminal Proceedings</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color w:val="333333"/>
      <w:sz w:val="22"/>
    </w:rPr>
  </w:style>
  <w:style w:type="paragraph" w:styleId="Heading1">
    <w:name w:val="heading 1"/>
    <w:basedOn w:val="Normal"/>
    <w:pPr>
      <w:keepNext/>
      <w:keepLines/>
      <w:pageBreakBefore/>
      <w:spacing w:before="400" w:after="240"/>
      <w:outlineLvl w:val="0"/>
    </w:pPr>
    <w:rPr>
      <w:rFonts w:ascii="Calibri" w:hAnsi="Calibri"/>
      <w:b/>
      <w:color w:val="1B2A4A"/>
      <w:sz w:val="32"/>
    </w:rPr>
  </w:style>
  <w:style w:type="paragraph" w:styleId="Heading2">
    <w:name w:val="heading 2"/>
    <w:basedOn w:val="Normal"/>
    <w:pPr>
      <w:keepNext/>
      <w:keepLines/>
      <w:spacing w:before="320" w:after="160"/>
      <w:outlineLvl w:val="1"/>
    </w:pPr>
    <w:rPr>
      <w:rFonts w:ascii="Calibri" w:hAnsi="Calibri"/>
      <w:b/>
      <w:color w:val="2C5282"/>
      <w:sz w:val="26"/>
    </w:rPr>
  </w:style>
  <w:style w:type="paragraph" w:styleId="Heading3">
    <w:name w:val="heading 3"/>
    <w:basedOn w:val="Normal"/>
    <w:pPr>
      <w:keepNext/>
      <w:keepLines/>
      <w:spacing w:before="240" w:after="120"/>
      <w:outlineLvl w:val="2"/>
    </w:pPr>
    <w:rPr>
      <w:rFonts w:ascii="Calibri" w:hAnsi="Calibri"/>
      <w:b/>
      <w:color w:val="333333"/>
      <w:sz w:val="24"/>
    </w:rPr>
  </w:style>
  <w:style w:type="paragraph" w:styleId="TOC1">
    <w:name w:val="toc 1"/>
    <w:basedOn w:val="Normal"/>
    <w:pPr>
      <w:tabs>
        <w:tab w:val="right" w:leader="dot" w:pos="9350"/>
      </w:tabs>
      <w:spacing w:before="120" w:after="60"/>
    </w:pPr>
    <w:rPr>
      <w:b/>
      <w:color w:val="333333"/>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20"/>
      <w:ind w:left="720"/>
    </w:pPr>
    <w:rPr>
      <w:color w:val="6B7B8C"/>
    </w:rPr>
  </w:style>
  <w:style w:type="paragraph" w:styleId="Caption">
    <w:name w:val="Caption"/>
    <w:basedOn w:val="Normal"/>
    <w:pPr>
      <w:spacing w:before="60" w:after="240"/>
      <w:jc w:val="center"/>
    </w:pPr>
    <w:rPr>
      <w:i/>
      <w:color w:val="6B7B8C"/>
      <w:sz w:val="20"/>
    </w:rPr>
  </w:style>
</w:styles>
</file>

<file path=word/_rels/document.xml.rels><?xml version='1.0' encoding='UTF-8'?>
<Relationships xmlns="http://schemas.openxmlformats.org/package/2006/relationships"><Relationship Type="http://schemas.openxmlformats.org/officeDocument/2006/relationships/styles" Target="styles.xml" Id="R75cbdda7cfe04e2a" /><Relationship Type="http://schemas.openxmlformats.org/officeDocument/2006/relationships/header" Target="header1.xml" Id="Rd3c1086a20684449" /><Relationship Type="http://schemas.openxmlformats.org/officeDocument/2006/relationships/footer" Target="footer1.xml" Id="R0d6ea7e49d77490f" /><Relationship Type="http://schemas.openxmlformats.org/officeDocument/2006/relationships/settings" Target="settings.xml" Id="R27ff102cc7d2493e" /></Relationships>
</file>