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746366ca73b10a1c9965b3d87ead5c07568ca3b"/>
    <w:p>
      <w:pPr>
        <w:pStyle w:val="Heading1"/>
      </w:pPr>
      <w:r>
        <w:t xml:space="preserve">Enforcement Guide: GPUcomputer / Mateusz Szklarski — EPU Title Execution &amp; Empty-Account Scenarios</w:t>
      </w:r>
    </w:p>
    <w:p>
      <w:pPr>
        <w:pStyle w:val="FirstParagraph"/>
      </w:pPr>
      <w:r>
        <w:rPr>
          <w:iCs/>
          <w:i/>
        </w:rPr>
        <w:t xml:space="preserve">Case: EPU Claim Nc-e 552126/26 | Amount: 155,000 PLN + interest | Debtor: Mateusz Szklarski, sole proprietor (JDG) GPUcomputer | Status: Expected final enforceable title with klauzula wykonalności</w:t>
      </w:r>
    </w:p>
    <w:p>
      <w:r>
        <w:pict>
          <v:rect style="width:0;height:1.5pt" o:hralign="center" o:hrstd="t" o:hr="t"/>
        </w:pict>
      </w:r>
    </w:p>
    <w:bookmarkStart w:id="35" w:name="step-by-step-enforcement-procedure"/>
    <w:p>
      <w:pPr>
        <w:pStyle w:val="Heading2"/>
      </w:pPr>
      <w:r>
        <w:t xml:space="preserve">1. Step-by-Step Enforcement Procedure</w:t>
      </w:r>
    </w:p>
    <w:p>
      <w:pPr>
        <w:pStyle w:val="FirstParagraph"/>
      </w:pPr>
      <w:r>
        <w:t xml:space="preserve">Initiating enforcement in Poland following an Electronic Payment Order (</w:t>
      </w:r>
      <w:r>
        <w:rPr>
          <w:iCs/>
          <w:i/>
        </w:rPr>
        <w:t xml:space="preserve">nakaz zapłaty w postępowaniu upominawczym</w:t>
      </w:r>
      <w:r>
        <w:t xml:space="preserve">, EPU) involves a discrete sequence: converting the electronic judgment into an enforceable title, selecting the</w:t>
      </w:r>
      <w:r>
        <w:t xml:space="preserve"> </w:t>
      </w:r>
      <w:r>
        <w:rPr>
          <w:iCs/>
          <w:i/>
        </w:rPr>
        <w:t xml:space="preserve">komornik</w:t>
      </w:r>
      <w:r>
        <w:t xml:space="preserve"> </w:t>
      </w:r>
      <w:r>
        <w:t xml:space="preserve">(bailiff), filing the</w:t>
      </w:r>
      <w:r>
        <w:t xml:space="preserve"> </w:t>
      </w:r>
      <w:r>
        <w:rPr>
          <w:iCs/>
          <w:i/>
        </w:rPr>
        <w:t xml:space="preserve">wniosek egzekucyjny</w:t>
      </w:r>
      <w:r>
        <w:t xml:space="preserve"> </w:t>
      </w:r>
      <w:r>
        <w:t xml:space="preserve">(enforcement application), covering the upfront costs, and waiting for the first seizure action. For the creditor holding a 155,000 zł claim against Mateusz Szklarski / GPUcomputer — a debtor whose assets are likely concentrated abroad in the Netherlands — understanding each step matters because the Polish enforcement proceeding will almost certainly end in a finding of ineffectiveness (</w:t>
      </w:r>
      <w:r>
        <w:rPr>
          <w:iCs/>
          <w:i/>
        </w:rPr>
        <w:t xml:space="preserve">bezskuteczność</w:t>
      </w:r>
      <w:r>
        <w:t xml:space="preserve">). The manner in which that conclusion is reached, however, determines the creditor’s out-of-pocket exposure and the continuing legal value of the claim.</w:t>
      </w:r>
    </w:p>
    <w:bookmarkStart w:id="21" w:name="obtaining-the-tytuł-wykonawczy"/>
    <w:p>
      <w:pPr>
        <w:pStyle w:val="Heading3"/>
      </w:pPr>
      <w:r>
        <w:t xml:space="preserve">1.1 Obtaining the Tytuł Wykonawczy</w:t>
      </w:r>
    </w:p>
    <w:bookmarkStart w:id="20" w:name="electronic-title-under-art.-783-4-kpc"/>
    <w:p>
      <w:pPr>
        <w:pStyle w:val="Heading4"/>
      </w:pPr>
      <w:r>
        <w:t xml:space="preserve">1.1.1 Electronic Title Under art. 783 § 4 KPC</w:t>
      </w:r>
    </w:p>
    <w:p>
      <w:pPr>
        <w:pStyle w:val="FirstParagraph"/>
      </w:pPr>
      <w:r>
        <w:t xml:space="preserve">An EPU</w:t>
      </w:r>
      <w:r>
        <w:t xml:space="preserve"> </w:t>
      </w:r>
      <w:r>
        <w:rPr>
          <w:iCs/>
          <w:i/>
        </w:rPr>
        <w:t xml:space="preserve">nakaz zapłaty</w:t>
      </w:r>
      <w:r>
        <w:t xml:space="preserve"> </w:t>
      </w:r>
      <w:r>
        <w:t xml:space="preserve">that has become final (</w:t>
      </w:r>
      <w:r>
        <w:rPr>
          <w:iCs/>
          <w:i/>
        </w:rPr>
        <w:t xml:space="preserve">prawomocny</w:t>
      </w:r>
      <w:r>
        <w:t xml:space="preserve">) constitutes a</w:t>
      </w:r>
      <w:r>
        <w:t xml:space="preserve"> </w:t>
      </w:r>
      <w:r>
        <w:rPr>
          <w:iCs/>
          <w:i/>
        </w:rPr>
        <w:t xml:space="preserve">tytuł egzekucyjny</w:t>
      </w:r>
      <w:r>
        <w:t xml:space="preserve"> </w:t>
      </w:r>
      <w:r>
        <w:t xml:space="preserve">under art. 777 § 1 pkt 2 KPC.</w:t>
      </w:r>
      <w:r>
        <w:rPr>
          <w:vertAlign w:val="superscript"/>
        </w:rPr>
        <w:footnoteReference w:id="1"/>
      </w:r>
      <w:r>
        <w:t xml:space="preserve">Because the EPU proceeding is conducted entirely through the</w:t>
      </w:r>
      <w:r>
        <w:t xml:space="preserve"> </w:t>
      </w:r>
      <w:r>
        <w:rPr>
          <w:iCs/>
          <w:i/>
        </w:rPr>
        <w:t xml:space="preserve">system teleinformatyczny</w:t>
      </w:r>
      <w:r>
        <w:t xml:space="preserve"> </w:t>
      </w:r>
      <w:r>
        <w:t xml:space="preserve">(ST, the e-Sąd portal), the judgment exists only in electronic form — no paper document is ever issued to the creditor.</w:t>
      </w:r>
      <w:r>
        <w:rPr>
          <w:vertAlign w:val="superscript"/>
        </w:rPr>
        <w:footnoteReference w:id="2"/>
      </w:r>
      <w:r>
        <w:t xml:space="preserve">Under art. 783 § 4 KPC, the</w:t>
      </w:r>
      <w:r>
        <w:t xml:space="preserve"> </w:t>
      </w:r>
      <w:r>
        <w:rPr>
          <w:iCs/>
          <w:i/>
        </w:rPr>
        <w:t xml:space="preserve">postanowienie o nadaniu klauzuli wykonalności</w:t>
      </w:r>
      <w:r>
        <w:t xml:space="preserve"> </w:t>
      </w:r>
      <w:r>
        <w:t xml:space="preserve">is left exclusively in the ST system.</w:t>
      </w:r>
      <w:r>
        <w:rPr>
          <w:vertAlign w:val="superscript"/>
        </w:rPr>
        <w:footnoteReference w:id="3"/>
      </w:r>
      <w:r>
        <w:t xml:space="preserve">Every subsequent procedural reference to the title — whether to the</w:t>
      </w:r>
      <w:r>
        <w:t xml:space="preserve"> </w:t>
      </w:r>
      <w:r>
        <w:rPr>
          <w:iCs/>
          <w:i/>
        </w:rPr>
        <w:t xml:space="preserve">komornik</w:t>
      </w:r>
      <w:r>
        <w:t xml:space="preserve">, a court, or a foreign enforcement authority — requires accessing the ST system. The creditor obtains a 20-character unique verification code printed on the</w:t>
      </w:r>
      <w:r>
        <w:t xml:space="preserve"> </w:t>
      </w:r>
      <w:r>
        <w:rPr>
          <w:iCs/>
          <w:i/>
        </w:rPr>
        <w:t xml:space="preserve">wydruk weryfikacyjny</w:t>
      </w:r>
      <w:r>
        <w:t xml:space="preserve"> </w:t>
      </w:r>
      <w:r>
        <w:t xml:space="preserve">(verification printout), which serves as the functional equivalent of a paper title for any non-electronic submission.</w:t>
      </w:r>
      <w:r>
        <w:rPr>
          <w:vertAlign w:val="superscript"/>
        </w:rPr>
        <w:footnoteReference w:id="4"/>
      </w:r>
      <w:r>
        <w:t xml:space="preserve">#### 1.1.2 Klauzula Wykonalności Granted Electronically</w:t>
      </w:r>
    </w:p>
    <w:p>
      <w:pPr>
        <w:pStyle w:val="BodyText"/>
      </w:pPr>
      <w:r>
        <w:t xml:space="preserve">The</w:t>
      </w:r>
      <w:r>
        <w:t xml:space="preserve"> </w:t>
      </w:r>
      <w:r>
        <w:rPr>
          <w:iCs/>
          <w:i/>
        </w:rPr>
        <w:t xml:space="preserve">klauzula wykonalności</w:t>
      </w:r>
      <w:r>
        <w:t xml:space="preserve"> </w:t>
      </w:r>
      <w:r>
        <w:t xml:space="preserve">is granted</w:t>
      </w:r>
      <w:r>
        <w:t xml:space="preserve"> </w:t>
      </w:r>
      <w:r>
        <w:rPr>
          <w:iCs/>
          <w:i/>
        </w:rPr>
        <w:t xml:space="preserve">z urzędu</w:t>
      </w:r>
      <w:r>
        <w:t xml:space="preserve"> </w:t>
      </w:r>
      <w:r>
        <w:t xml:space="preserve">(ex officio) by the EPU court once the</w:t>
      </w:r>
      <w:r>
        <w:t xml:space="preserve"> </w:t>
      </w:r>
      <w:r>
        <w:rPr>
          <w:iCs/>
          <w:i/>
        </w:rPr>
        <w:t xml:space="preserve">nakaz zapłaty</w:t>
      </w:r>
      <w:r>
        <w:t xml:space="preserve"> </w:t>
      </w:r>
      <w:r>
        <w:t xml:space="preserve">becomes final and no</w:t>
      </w:r>
      <w:r>
        <w:t xml:space="preserve"> </w:t>
      </w:r>
      <w:r>
        <w:rPr>
          <w:iCs/>
          <w:i/>
        </w:rPr>
        <w:t xml:space="preserve">sprzeciw</w:t>
      </w:r>
      <w:r>
        <w:t xml:space="preserve"> </w:t>
      </w:r>
      <w:r>
        <w:t xml:space="preserve">(objection) has been filed.</w:t>
      </w:r>
      <w:r>
        <w:rPr>
          <w:vertAlign w:val="superscript"/>
        </w:rPr>
        <w:footnoteReference w:id="5"/>
      </w:r>
      <w:r>
        <w:t xml:space="preserve">The court places the enforcement clause into the ST system and signs it with a qualified electronic signature under art. 783 § 3¹ KPC.</w:t>
      </w:r>
      <w:r>
        <w:rPr>
          <w:vertAlign w:val="superscript"/>
        </w:rPr>
        <w:footnoteReference w:id="6"/>
      </w:r>
      <w:r>
        <w:t xml:space="preserve">The creditor verifies its existence by logging into</w:t>
      </w:r>
      <w:r>
        <w:t xml:space="preserve"> </w:t>
      </w:r>
      <w:r>
        <w:rPr>
          <w:iCs/>
          <w:i/>
        </w:rPr>
        <w:t xml:space="preserve">e-sad.gov.pl</w:t>
      </w:r>
      <w:r>
        <w:t xml:space="preserve"> </w:t>
      </w:r>
      <w:r>
        <w:t xml:space="preserve">and checking whether the</w:t>
      </w:r>
      <w:r>
        <w:t xml:space="preserve"> </w:t>
      </w:r>
      <w:r>
        <w:rPr>
          <w:iCs/>
          <w:i/>
        </w:rPr>
        <w:t xml:space="preserve">nakaz</w:t>
      </w:r>
      <w:r>
        <w:t xml:space="preserve"> </w:t>
      </w:r>
      <w:r>
        <w:t xml:space="preserve">displays the</w:t>
      </w:r>
      <w:r>
        <w:t xml:space="preserve"> </w:t>
      </w:r>
      <w:r>
        <w:rPr>
          <w:iCs/>
          <w:i/>
        </w:rPr>
        <w:t xml:space="preserve">klauzula</w:t>
      </w:r>
      <w:r>
        <w:t xml:space="preserve"> </w:t>
      </w:r>
      <w:r>
        <w:t xml:space="preserve">annotation. No separate court notification is sent — the creditor must proactively confirm this status before filing the</w:t>
      </w:r>
      <w:r>
        <w:t xml:space="preserve"> </w:t>
      </w:r>
      <w:r>
        <w:rPr>
          <w:iCs/>
          <w:i/>
        </w:rPr>
        <w:t xml:space="preserve">wniosek egzekucyjny</w:t>
      </w:r>
      <w:r>
        <w:t xml:space="preserve">.</w:t>
      </w:r>
    </w:p>
    <w:p>
      <w:pPr>
        <w:pStyle w:val="BodyText"/>
      </w:pPr>
      <w:r>
        <w:t xml:space="preserve">For cross-border purposes, the creditor should note that the underlying</w:t>
      </w:r>
      <w:r>
        <w:t xml:space="preserve"> </w:t>
      </w:r>
      <w:r>
        <w:rPr>
          <w:iCs/>
          <w:i/>
        </w:rPr>
        <w:t xml:space="preserve">nakaz zapłaty</w:t>
      </w:r>
      <w:r>
        <w:t xml:space="preserve"> </w:t>
      </w:r>
      <w:r>
        <w:t xml:space="preserve">with</w:t>
      </w:r>
      <w:r>
        <w:t xml:space="preserve"> </w:t>
      </w:r>
      <w:r>
        <w:rPr>
          <w:iCs/>
          <w:i/>
        </w:rPr>
        <w:t xml:space="preserve">klauzula wykonalności</w:t>
      </w:r>
      <w:r>
        <w:t xml:space="preserve"> </w:t>
      </w:r>
      <w:r>
        <w:t xml:space="preserve">qualifies for a European Enforcement Order (EEO) certificate under Regulation 805/2004, obtainable from the e-Sąd system for a nominal fee of approximately 50 zł.</w:t>
      </w:r>
      <w:r>
        <w:rPr>
          <w:vertAlign w:val="superscript"/>
        </w:rPr>
        <w:footnoteReference w:id="7"/>
      </w:r>
      <w:r>
        <w:t xml:space="preserve">Although this chapter focuses on domestic Polish enforcement, the EEO certificate is the single most important document for any subsequent Dutch enforcement action (discussed in Chapter 4).</w:t>
      </w:r>
    </w:p>
    <w:bookmarkEnd w:id="20"/>
    <w:bookmarkEnd w:id="21"/>
    <w:bookmarkStart w:id="24" w:name="choosing-and-instructing-the-komornik"/>
    <w:p>
      <w:pPr>
        <w:pStyle w:val="Heading3"/>
      </w:pPr>
      <w:r>
        <w:t xml:space="preserve">1.2 Choosing and Instructing the Komornik</w:t>
      </w:r>
    </w:p>
    <w:bookmarkStart w:id="22" w:name="prawo-wyboru-under-art.-10-u.k.k."/>
    <w:p>
      <w:pPr>
        <w:pStyle w:val="Heading4"/>
      </w:pPr>
      <w:r>
        <w:t xml:space="preserve">1.2.1 Prawo Wyboru Under art. 10 u.k.k.</w:t>
      </w:r>
    </w:p>
    <w:p>
      <w:pPr>
        <w:pStyle w:val="FirstParagraph"/>
      </w:pPr>
      <w:r>
        <w:t xml:space="preserve">The creditor enjoys the</w:t>
      </w:r>
      <w:r>
        <w:t xml:space="preserve"> </w:t>
      </w:r>
      <w:r>
        <w:rPr>
          <w:iCs/>
          <w:i/>
        </w:rPr>
        <w:t xml:space="preserve">prawo wyboru komornika</w:t>
      </w:r>
      <w:r>
        <w:t xml:space="preserve"> </w:t>
      </w:r>
      <w:r>
        <w:t xml:space="preserve">under art. 10 ust. 1 ustawy o komornikach sądowych (u.k.k.).</w:t>
      </w:r>
      <w:r>
        <w:rPr>
          <w:vertAlign w:val="superscript"/>
        </w:rPr>
        <w:footnoteReference w:id="8"/>
      </w:r>
      <w:r>
        <w:t xml:space="preserve">This right is bounded: the creditor may select any</w:t>
      </w:r>
      <w:r>
        <w:t xml:space="preserve"> </w:t>
      </w:r>
      <w:r>
        <w:rPr>
          <w:iCs/>
          <w:i/>
        </w:rPr>
        <w:t xml:space="preserve">komornik</w:t>
      </w:r>
      <w:r>
        <w:t xml:space="preserve"> </w:t>
      </w:r>
      <w:r>
        <w:t xml:space="preserve">operating within the territorial jurisdiction of the same</w:t>
      </w:r>
      <w:r>
        <w:t xml:space="preserve"> </w:t>
      </w:r>
      <w:r>
        <w:rPr>
          <w:iCs/>
          <w:i/>
        </w:rPr>
        <w:t xml:space="preserve">Sąd Apelacyjny</w:t>
      </w:r>
      <w:r>
        <w:t xml:space="preserve"> </w:t>
      </w:r>
      <w:r>
        <w:t xml:space="preserve">(Court of Appeal) to which the debtor’s competent</w:t>
      </w:r>
      <w:r>
        <w:t xml:space="preserve"> </w:t>
      </w:r>
      <w:r>
        <w:rPr>
          <w:iCs/>
          <w:i/>
        </w:rPr>
        <w:t xml:space="preserve">komornik</w:t>
      </w:r>
      <w:r>
        <w:t xml:space="preserve"> </w:t>
      </w:r>
      <w:r>
        <w:t xml:space="preserve">belongs — not any</w:t>
      </w:r>
      <w:r>
        <w:t xml:space="preserve"> </w:t>
      </w:r>
      <w:r>
        <w:rPr>
          <w:iCs/>
          <w:i/>
        </w:rPr>
        <w:t xml:space="preserve">komornik</w:t>
      </w:r>
      <w:r>
        <w:t xml:space="preserve"> </w:t>
      </w:r>
      <w:r>
        <w:t xml:space="preserve">in Poland.</w:t>
      </w:r>
      <w:r>
        <w:rPr>
          <w:vertAlign w:val="superscript"/>
        </w:rPr>
        <w:footnoteReference w:id="9"/>
      </w:r>
      <w:r>
        <w:t xml:space="preserve">For instance, if the debtor’s last known Polish address falls within the jurisdiction of</w:t>
      </w:r>
      <w:r>
        <w:t xml:space="preserve"> </w:t>
      </w:r>
      <w:r>
        <w:rPr>
          <w:iCs/>
          <w:i/>
        </w:rPr>
        <w:t xml:space="preserve">Sąd Rejonowy w Gnieźnie</w:t>
      </w:r>
      <w:r>
        <w:t xml:space="preserve"> </w:t>
      </w:r>
      <w:r>
        <w:t xml:space="preserve">(under</w:t>
      </w:r>
      <w:r>
        <w:t xml:space="preserve"> </w:t>
      </w:r>
      <w:r>
        <w:rPr>
          <w:iCs/>
          <w:i/>
        </w:rPr>
        <w:t xml:space="preserve">Sąd Apelacyjny w Poznaniu</w:t>
      </w:r>
      <w:r>
        <w:t xml:space="preserve">), the creditor may choose any</w:t>
      </w:r>
      <w:r>
        <w:t xml:space="preserve"> </w:t>
      </w:r>
      <w:r>
        <w:rPr>
          <w:iCs/>
          <w:i/>
        </w:rPr>
        <w:t xml:space="preserve">komornik</w:t>
      </w:r>
      <w:r>
        <w:t xml:space="preserve"> </w:t>
      </w:r>
      <w:r>
        <w:t xml:space="preserve">under that</w:t>
      </w:r>
      <w:r>
        <w:t xml:space="preserve"> </w:t>
      </w:r>
      <w:r>
        <w:rPr>
          <w:iCs/>
          <w:i/>
        </w:rPr>
        <w:t xml:space="preserve">Sąd Apelacyjny</w:t>
      </w:r>
      <w:r>
        <w:t xml:space="preserve"> </w:t>
      </w:r>
      <w:r>
        <w:t xml:space="preserve">— from Poznań or Konin — but not a</w:t>
      </w:r>
      <w:r>
        <w:t xml:space="preserve"> </w:t>
      </w:r>
      <w:r>
        <w:rPr>
          <w:iCs/>
          <w:i/>
        </w:rPr>
        <w:t xml:space="preserve">komornik</w:t>
      </w:r>
      <w:r>
        <w:t xml:space="preserve"> </w:t>
      </w:r>
      <w:r>
        <w:t xml:space="preserve">from Warsaw, which falls under a different</w:t>
      </w:r>
      <w:r>
        <w:t xml:space="preserve"> </w:t>
      </w:r>
      <w:r>
        <w:rPr>
          <w:iCs/>
          <w:i/>
        </w:rPr>
        <w:t xml:space="preserve">Sąd Apelacyjny</w:t>
      </w:r>
      <w:r>
        <w:t xml:space="preserve">.</w:t>
      </w:r>
      <w:r>
        <w:rPr>
          <w:vertAlign w:val="superscript"/>
        </w:rPr>
        <w:footnoteReference w:id="10"/>
      </w:r>
      <w:r>
        <w:t xml:space="preserve">For the GPUcomputer case, the creditor should determine which</w:t>
      </w:r>
      <w:r>
        <w:t xml:space="preserve"> </w:t>
      </w:r>
      <w:r>
        <w:rPr>
          <w:iCs/>
          <w:i/>
        </w:rPr>
        <w:t xml:space="preserve">Sąd Apelacyjny</w:t>
      </w:r>
      <w:r>
        <w:t xml:space="preserve"> </w:t>
      </w:r>
      <w:r>
        <w:t xml:space="preserve">district encompasses Szklarski’s last known Polish address and select a</w:t>
      </w:r>
      <w:r>
        <w:t xml:space="preserve"> </w:t>
      </w:r>
      <w:r>
        <w:rPr>
          <w:iCs/>
          <w:i/>
        </w:rPr>
        <w:t xml:space="preserve">komornik</w:t>
      </w:r>
      <w:r>
        <w:t xml:space="preserve"> </w:t>
      </w:r>
      <w:r>
        <w:t xml:space="preserve">within that district based on workload and responsiveness. The right of choice does not apply to enforcement against real property (</w:t>
      </w:r>
      <w:r>
        <w:rPr>
          <w:iCs/>
          <w:i/>
        </w:rPr>
        <w:t xml:space="preserve">egzekucja z nieruchomości</w:t>
      </w:r>
      <w:r>
        <w:t xml:space="preserve">), delivery of premises, or eviction (art. 10 ust. 1 u.k.k.).</w:t>
      </w:r>
      <w:r>
        <w:rPr>
          <w:vertAlign w:val="superscript"/>
        </w:rPr>
        <w:footnoteReference w:id="11"/>
      </w:r>
      <w:r>
        <w:t xml:space="preserve">#### 1.2.2 Written Declaration and Travel Costs</w:t>
      </w:r>
    </w:p>
    <w:p>
      <w:pPr>
        <w:pStyle w:val="BodyText"/>
      </w:pPr>
      <w:r>
        <w:t xml:space="preserve">When exercising the right to choose a</w:t>
      </w:r>
      <w:r>
        <w:t xml:space="preserve"> </w:t>
      </w:r>
      <w:r>
        <w:rPr>
          <w:iCs/>
          <w:i/>
        </w:rPr>
        <w:t xml:space="preserve">komornik</w:t>
      </w:r>
      <w:r>
        <w:t xml:space="preserve"> </w:t>
      </w:r>
      <w:r>
        <w:t xml:space="preserve">outside the debtor’s</w:t>
      </w:r>
      <w:r>
        <w:t xml:space="preserve"> </w:t>
      </w:r>
      <w:r>
        <w:rPr>
          <w:iCs/>
          <w:i/>
        </w:rPr>
        <w:t xml:space="preserve">rewir</w:t>
      </w:r>
      <w:r>
        <w:t xml:space="preserve"> </w:t>
      </w:r>
      <w:r>
        <w:t xml:space="preserve">(assigned district), the creditor must submit a written declaration (</w:t>
      </w:r>
      <w:r>
        <w:rPr>
          <w:iCs/>
          <w:i/>
        </w:rPr>
        <w:t xml:space="preserve">pisemne oświadczenie</w:t>
      </w:r>
      <w:r>
        <w:t xml:space="preserve">) with the</w:t>
      </w:r>
      <w:r>
        <w:t xml:space="preserve"> </w:t>
      </w:r>
      <w:r>
        <w:rPr>
          <w:iCs/>
          <w:i/>
        </w:rPr>
        <w:t xml:space="preserve">wniosek egzekucyjny</w:t>
      </w:r>
      <w:r>
        <w:t xml:space="preserve"> </w:t>
      </w:r>
      <w:r>
        <w:t xml:space="preserve">stating that they are exercising the right of selection (art. 10 ust. 3 u.k.k.).</w:t>
      </w:r>
      <w:r>
        <w:rPr>
          <w:vertAlign w:val="superscript"/>
        </w:rPr>
        <w:footnoteReference w:id="12"/>
      </w:r>
      <w:r>
        <w:t xml:space="preserve">A simple sentence —</w:t>
      </w:r>
      <w:r>
        <w:t xml:space="preserve"> </w:t>
      </w:r>
      <w:r>
        <w:t xml:space="preserve">“</w:t>
      </w:r>
      <w:r>
        <w:rPr>
          <w:iCs/>
          <w:i/>
        </w:rPr>
        <w:t xml:space="preserve">Wierzyciel korzysta z prawa wyboru komornika</w:t>
      </w:r>
      <w:r>
        <w:t xml:space="preserve">”</w:t>
      </w:r>
      <w:r>
        <w:t xml:space="preserve"> </w:t>
      </w:r>
      <w:r>
        <w:t xml:space="preserve">— appended to the application suffices.</w:t>
      </w:r>
    </w:p>
    <w:p>
      <w:pPr>
        <w:pStyle w:val="BodyText"/>
      </w:pPr>
      <w:r>
        <w:t xml:space="preserve">When the chosen</w:t>
      </w:r>
      <w:r>
        <w:t xml:space="preserve"> </w:t>
      </w:r>
      <w:r>
        <w:rPr>
          <w:iCs/>
          <w:i/>
        </w:rPr>
        <w:t xml:space="preserve">komornik</w:t>
      </w:r>
      <w:r>
        <w:t xml:space="preserve"> </w:t>
      </w:r>
      <w:r>
        <w:t xml:space="preserve">undertakes activities outside their</w:t>
      </w:r>
      <w:r>
        <w:t xml:space="preserve"> </w:t>
      </w:r>
      <w:r>
        <w:rPr>
          <w:iCs/>
          <w:i/>
        </w:rPr>
        <w:t xml:space="preserve">rewir</w:t>
      </w:r>
      <w:r>
        <w:t xml:space="preserve">, travel expenses (diets, transport, accommodation) are borne by the</w:t>
      </w:r>
      <w:r>
        <w:t xml:space="preserve"> </w:t>
      </w:r>
      <w:r>
        <w:rPr>
          <w:bCs/>
          <w:b/>
        </w:rPr>
        <w:t xml:space="preserve">creditor</w:t>
      </w:r>
      <w:r>
        <w:t xml:space="preserve">, not the debtor, and are not recoverable as enforcement costs (art. 6 ust. 9 ustawy o kosztach komorniczych).</w:t>
      </w:r>
      <w:r>
        <w:rPr>
          <w:vertAlign w:val="superscript"/>
        </w:rPr>
        <w:footnoteReference w:id="13"/>
      </w:r>
      <w:r>
        <w:t xml:space="preserve">For a debtor residing in the Netherlands, the creditor should select a</w:t>
      </w:r>
      <w:r>
        <w:t xml:space="preserve"> </w:t>
      </w:r>
      <w:r>
        <w:rPr>
          <w:iCs/>
          <w:i/>
        </w:rPr>
        <w:t xml:space="preserve">komornik</w:t>
      </w:r>
      <w:r>
        <w:t xml:space="preserve"> </w:t>
      </w:r>
      <w:r>
        <w:t xml:space="preserve">whose</w:t>
      </w:r>
      <w:r>
        <w:t xml:space="preserve"> </w:t>
      </w:r>
      <w:r>
        <w:rPr>
          <w:iCs/>
          <w:i/>
        </w:rPr>
        <w:t xml:space="preserve">rewir</w:t>
      </w:r>
      <w:r>
        <w:t xml:space="preserve"> </w:t>
      </w:r>
      <w:r>
        <w:t xml:space="preserve">aligns with expected activity locations (the debtor’s last Polish address or known Polish assets) to avoid unnecessary travel charges.</w:t>
      </w:r>
    </w:p>
    <w:bookmarkEnd w:id="22"/>
    <w:bookmarkStart w:id="23" w:name="grounds-for-komornik-refusal"/>
    <w:p>
      <w:pPr>
        <w:pStyle w:val="Heading4"/>
      </w:pPr>
      <w:r>
        <w:t xml:space="preserve">1.2.3 Grounds for Komornik Refusal</w:t>
      </w:r>
    </w:p>
    <w:p>
      <w:pPr>
        <w:pStyle w:val="FirstParagraph"/>
      </w:pPr>
      <w:r>
        <w:t xml:space="preserve">A</w:t>
      </w:r>
      <w:r>
        <w:t xml:space="preserve"> </w:t>
      </w:r>
      <w:r>
        <w:rPr>
          <w:iCs/>
          <w:i/>
        </w:rPr>
        <w:t xml:space="preserve">komornik</w:t>
      </w:r>
      <w:r>
        <w:t xml:space="preserve"> </w:t>
      </w:r>
      <w:r>
        <w:t xml:space="preserve">chosen by the creditor</w:t>
      </w:r>
      <w:r>
        <w:t xml:space="preserve"> </w:t>
      </w:r>
      <w:r>
        <w:rPr>
          <w:bCs/>
          <w:b/>
        </w:rPr>
        <w:t xml:space="preserve">may refuse</w:t>
      </w:r>
      <w:r>
        <w:t xml:space="preserve"> </w:t>
      </w:r>
      <w:r>
        <w:t xml:space="preserve">to initiate enforcement if any statutory condition is met (art. 10 ust. 4 u.k.k.):</w:t>
      </w:r>
      <w:r>
        <w:rPr>
          <w:vertAlign w:val="superscript"/>
        </w:rPr>
        <w:footnoteReference w:id="14"/>
      </w:r>
      <w:r>
        <w:t xml:space="preserve">backlog exceeding 6 months (unless ≤1,000 cases handled in the prior year); effectiveness below 35% combined with annual intake exceeding 2,500 cases; or annual intake exceeding 5,000 cases regardless of effectiveness. A</w:t>
      </w:r>
      <w:r>
        <w:t xml:space="preserve"> </w:t>
      </w:r>
      <w:r>
        <w:rPr>
          <w:iCs/>
          <w:i/>
        </w:rPr>
        <w:t xml:space="preserve">komornik</w:t>
      </w:r>
      <w:r>
        <w:t xml:space="preserve"> </w:t>
      </w:r>
      <w:r>
        <w:t xml:space="preserve">may also refuse a creditor who submitted more than 100 cases in a given year (art. 10 ust. 8 u.k.k.).</w:t>
      </w:r>
      <w:r>
        <w:rPr>
          <w:vertAlign w:val="superscript"/>
        </w:rPr>
        <w:footnoteReference w:id="15"/>
      </w:r>
      <w:r>
        <w:t xml:space="preserve">The refusal takes the form of a</w:t>
      </w:r>
      <w:r>
        <w:t xml:space="preserve"> </w:t>
      </w:r>
      <w:r>
        <w:rPr>
          <w:iCs/>
          <w:i/>
        </w:rPr>
        <w:t xml:space="preserve">postanowienie</w:t>
      </w:r>
      <w:r>
        <w:t xml:space="preserve">, and against refusals under art. 10 ust. 4 or ust. 8, the creditor has</w:t>
      </w:r>
      <w:r>
        <w:t xml:space="preserve"> </w:t>
      </w:r>
      <w:r>
        <w:rPr>
          <w:bCs/>
          <w:b/>
        </w:rPr>
        <w:t xml:space="preserve">no right of appeal</w:t>
      </w:r>
      <w:r>
        <w:t xml:space="preserve"> </w:t>
      </w:r>
      <w:r>
        <w:t xml:space="preserve">under art. 10 ust. 12 u.k.k.</w:t>
      </w:r>
      <w:r>
        <w:rPr>
          <w:vertAlign w:val="superscript"/>
        </w:rPr>
        <w:footnoteReference w:id="16"/>
      </w:r>
      <w:r>
        <w:t xml:space="preserve">If, after initiating enforcement, the</w:t>
      </w:r>
      <w:r>
        <w:t xml:space="preserve"> </w:t>
      </w:r>
      <w:r>
        <w:rPr>
          <w:iCs/>
          <w:i/>
        </w:rPr>
        <w:t xml:space="preserve">komornik</w:t>
      </w:r>
      <w:r>
        <w:t xml:space="preserve"> </w:t>
      </w:r>
      <w:r>
        <w:t xml:space="preserve">discovers that the debtor resided outside the</w:t>
      </w:r>
      <w:r>
        <w:t xml:space="preserve"> </w:t>
      </w:r>
      <w:r>
        <w:rPr>
          <w:iCs/>
          <w:i/>
        </w:rPr>
        <w:t xml:space="preserve">rewir</w:t>
      </w:r>
      <w:r>
        <w:t xml:space="preserve"> </w:t>
      </w:r>
      <w:r>
        <w:t xml:space="preserve">at the time of filing and refusal grounds existed, the</w:t>
      </w:r>
      <w:r>
        <w:t xml:space="preserve"> </w:t>
      </w:r>
      <w:r>
        <w:rPr>
          <w:iCs/>
          <w:i/>
        </w:rPr>
        <w:t xml:space="preserve">komornik</w:t>
      </w:r>
      <w:r>
        <w:t xml:space="preserve"> </w:t>
      </w:r>
      <w:r>
        <w:t xml:space="preserve">must transfer the case to a</w:t>
      </w:r>
      <w:r>
        <w:t xml:space="preserve"> </w:t>
      </w:r>
      <w:r>
        <w:rPr>
          <w:iCs/>
          <w:i/>
        </w:rPr>
        <w:t xml:space="preserve">komornik</w:t>
      </w:r>
      <w:r>
        <w:t xml:space="preserve"> </w:t>
      </w:r>
      <w:r>
        <w:t xml:space="preserve">in the debtor’s</w:t>
      </w:r>
      <w:r>
        <w:t xml:space="preserve"> </w:t>
      </w:r>
      <w:r>
        <w:rPr>
          <w:iCs/>
          <w:i/>
        </w:rPr>
        <w:t xml:space="preserve">właściwość ogólna</w:t>
      </w:r>
      <w:r>
        <w:t xml:space="preserve">, giving the creditor 7 days to designate one (art. 10 ust. 10 u.k.k.).</w:t>
      </w:r>
      <w:r>
        <w:rPr>
          <w:vertAlign w:val="superscript"/>
        </w:rPr>
        <w:footnoteReference w:id="17"/>
      </w:r>
      <w:r>
        <w:t xml:space="preserve">In practice, the creditor should contact the</w:t>
      </w:r>
      <w:r>
        <w:t xml:space="preserve"> </w:t>
      </w:r>
      <w:r>
        <w:rPr>
          <w:iCs/>
          <w:i/>
        </w:rPr>
        <w:t xml:space="preserve">kancelaria</w:t>
      </w:r>
      <w:r>
        <w:t xml:space="preserve"> </w:t>
      </w:r>
      <w:r>
        <w:t xml:space="preserve">before filing to confirm willingness to accept the case.</w:t>
      </w:r>
    </w:p>
    <w:bookmarkEnd w:id="23"/>
    <w:bookmarkEnd w:id="24"/>
    <w:bookmarkStart w:id="28" w:name="the-wniosek-egzekucyjny"/>
    <w:p>
      <w:pPr>
        <w:pStyle w:val="Heading3"/>
      </w:pPr>
      <w:r>
        <w:t xml:space="preserve">1.3 The Wniosek Egzekucyjny</w:t>
      </w:r>
    </w:p>
    <w:bookmarkStart w:id="25" w:name="required-contents"/>
    <w:p>
      <w:pPr>
        <w:pStyle w:val="Heading4"/>
      </w:pPr>
      <w:r>
        <w:t xml:space="preserve">1.3.1 Required Contents</w:t>
      </w:r>
    </w:p>
    <w:p>
      <w:pPr>
        <w:pStyle w:val="FirstParagraph"/>
      </w:pPr>
      <w:r>
        <w:t xml:space="preserve">The</w:t>
      </w:r>
      <w:r>
        <w:t xml:space="preserve"> </w:t>
      </w:r>
      <w:r>
        <w:rPr>
          <w:iCs/>
          <w:i/>
        </w:rPr>
        <w:t xml:space="preserve">wniosek egzekucyjny</w:t>
      </w:r>
      <w:r>
        <w:t xml:space="preserve"> </w:t>
      </w:r>
      <w:r>
        <w:t xml:space="preserve">must satisfy the general requirements for process letters under art. 126 KPC and, under art. 797 § 1 KPC, indicate: (1) the</w:t>
      </w:r>
      <w:r>
        <w:t xml:space="preserve"> </w:t>
      </w:r>
      <w:r>
        <w:rPr>
          <w:iCs/>
          <w:i/>
        </w:rPr>
        <w:t xml:space="preserve">świadczenie</w:t>
      </w:r>
      <w:r>
        <w:t xml:space="preserve"> </w:t>
      </w:r>
      <w:r>
        <w:t xml:space="preserve">(obligation) to be fulfilled; and (2) the method(s) of enforcement (</w:t>
      </w:r>
      <w:r>
        <w:rPr>
          <w:iCs/>
          <w:i/>
        </w:rPr>
        <w:t xml:space="preserve">sposoby egzekucji</w:t>
      </w:r>
      <w:r>
        <w:t xml:space="preserve">).</w:t>
      </w:r>
      <w:r>
        <w:rPr>
          <w:vertAlign w:val="superscript"/>
        </w:rPr>
        <w:footnoteReference w:id="18"/>
      </w:r>
      <w:r>
        <w:t xml:space="preserve">The</w:t>
      </w:r>
      <w:r>
        <w:t xml:space="preserve"> </w:t>
      </w:r>
      <w:r>
        <w:rPr>
          <w:iCs/>
          <w:i/>
        </w:rPr>
        <w:t xml:space="preserve">tytuł wykonawczy</w:t>
      </w:r>
      <w:r>
        <w:t xml:space="preserve"> </w:t>
      </w:r>
      <w:r>
        <w:t xml:space="preserve">must accompany the application.</w:t>
      </w:r>
      <w:r>
        <w:rPr>
          <w:vertAlign w:val="superscript"/>
        </w:rPr>
        <w:footnoteReference w:id="19"/>
      </w:r>
      <w:r>
        <w:t xml:space="preserve">According to established commentary, the written application should contain: designation of the enforcement organ; names and addresses of the creditor, debtor, and any participants; the substantive content (</w:t>
      </w:r>
      <w:r>
        <w:rPr>
          <w:iCs/>
          <w:i/>
        </w:rPr>
        <w:t xml:space="preserve">osnowa</w:t>
      </w:r>
      <w:r>
        <w:t xml:space="preserve">); the creditor’s signature; and a</w:t>
      </w:r>
      <w:r>
        <w:t xml:space="preserve"> </w:t>
      </w:r>
      <w:r>
        <w:rPr>
          <w:iCs/>
          <w:i/>
        </w:rPr>
        <w:t xml:space="preserve">pełnomocnictwo</w:t>
      </w:r>
      <w:r>
        <w:t xml:space="preserve"> </w:t>
      </w:r>
      <w:r>
        <w:t xml:space="preserve">if representation is used.</w:t>
      </w:r>
      <w:r>
        <w:rPr>
          <w:vertAlign w:val="superscript"/>
        </w:rPr>
        <w:footnoteReference w:id="20"/>
      </w:r>
      <w:r>
        <w:t xml:space="preserve">Under art. 799 § 1 KPC, the creditor</w:t>
      </w:r>
      <w:r>
        <w:t xml:space="preserve"> </w:t>
      </w:r>
      <w:r>
        <w:rPr>
          <w:bCs/>
          <w:b/>
        </w:rPr>
        <w:t xml:space="preserve">may</w:t>
      </w:r>
      <w:r>
        <w:t xml:space="preserve"> </w:t>
      </w:r>
      <w:r>
        <w:t xml:space="preserve">indicate chosen enforcement methods. If no method is indicated, the</w:t>
      </w:r>
      <w:r>
        <w:t xml:space="preserve"> </w:t>
      </w:r>
      <w:r>
        <w:rPr>
          <w:iCs/>
          <w:i/>
        </w:rPr>
        <w:t xml:space="preserve">wniosek</w:t>
      </w:r>
      <w:r>
        <w:t xml:space="preserve"> </w:t>
      </w:r>
      <w:r>
        <w:t xml:space="preserve">authorizes the</w:t>
      </w:r>
      <w:r>
        <w:t xml:space="preserve"> </w:t>
      </w:r>
      <w:r>
        <w:rPr>
          <w:iCs/>
          <w:i/>
        </w:rPr>
        <w:t xml:space="preserve">komornik</w:t>
      </w:r>
      <w:r>
        <w:t xml:space="preserve"> </w:t>
      </w:r>
      <w:r>
        <w:t xml:space="preserve">to use</w:t>
      </w:r>
      <w:r>
        <w:t xml:space="preserve"> </w:t>
      </w:r>
      <w:r>
        <w:rPr>
          <w:bCs/>
          <w:b/>
        </w:rPr>
        <w:t xml:space="preserve">all permissible methods</w:t>
      </w:r>
      <w:r>
        <w:t xml:space="preserve"> </w:t>
      </w:r>
      <w:r>
        <w:t xml:space="preserve">except</w:t>
      </w:r>
      <w:r>
        <w:t xml:space="preserve"> </w:t>
      </w:r>
      <w:r>
        <w:rPr>
          <w:iCs/>
          <w:i/>
        </w:rPr>
        <w:t xml:space="preserve">egzekucja z nieruchomości</w:t>
      </w:r>
      <w:r>
        <w:t xml:space="preserve">, which requires an explicit request.</w:t>
      </w:r>
      <w:r>
        <w:rPr>
          <w:vertAlign w:val="superscript"/>
        </w:rPr>
        <w:footnoteReference w:id="21"/>
      </w:r>
      <w:r>
        <w:t xml:space="preserve">If specific methods are indicated, the</w:t>
      </w:r>
      <w:r>
        <w:t xml:space="preserve"> </w:t>
      </w:r>
      <w:r>
        <w:rPr>
          <w:iCs/>
          <w:i/>
        </w:rPr>
        <w:t xml:space="preserve">komornik</w:t>
      </w:r>
      <w:r>
        <w:t xml:space="preserve"> </w:t>
      </w:r>
      <w:r>
        <w:t xml:space="preserve">is</w:t>
      </w:r>
      <w:r>
        <w:t xml:space="preserve"> </w:t>
      </w:r>
      <w:r>
        <w:rPr>
          <w:bCs/>
          <w:b/>
        </w:rPr>
        <w:t xml:space="preserve">bound by that choice</w:t>
      </w:r>
      <w:r>
        <w:t xml:space="preserve"> </w:t>
      </w:r>
      <w:r>
        <w:t xml:space="preserve">(the principle of</w:t>
      </w:r>
      <w:r>
        <w:t xml:space="preserve"> </w:t>
      </w:r>
      <w:r>
        <w:rPr>
          <w:iCs/>
          <w:i/>
        </w:rPr>
        <w:t xml:space="preserve">dyspozycyjność</w:t>
      </w:r>
      <w:r>
        <w:t xml:space="preserve">).</w:t>
      </w:r>
      <w:r>
        <w:rPr>
          <w:vertAlign w:val="superscript"/>
        </w:rPr>
        <w:footnoteReference w:id="22"/>
      </w:r>
      <w:r>
        <w:t xml:space="preserve">For the GPUcomputer case, indicating only bank account seizure accelerates the proceeding if funds exist but yields a quick</w:t>
      </w:r>
      <w:r>
        <w:t xml:space="preserve"> </w:t>
      </w:r>
      <w:r>
        <w:rPr>
          <w:iCs/>
          <w:i/>
        </w:rPr>
        <w:t xml:space="preserve">umorzenie</w:t>
      </w:r>
      <w:r>
        <w:t xml:space="preserve"> </w:t>
      </w:r>
      <w:r>
        <w:t xml:space="preserve">if the account is empty. Leaving the methods open allows broader</w:t>
      </w:r>
      <w:r>
        <w:t xml:space="preserve"> </w:t>
      </w:r>
      <w:r>
        <w:rPr>
          <w:iCs/>
          <w:i/>
        </w:rPr>
        <w:t xml:space="preserve">poszukiwanie majątku</w:t>
      </w:r>
      <w:r>
        <w:t xml:space="preserve"> </w:t>
      </w:r>
      <w:r>
        <w:t xml:space="preserve">(asset searches), extending the timeline but maximizing information for cross-border enforcement. An open-ended application is the more prudent course.</w:t>
      </w:r>
    </w:p>
    <w:bookmarkEnd w:id="25"/>
    <w:bookmarkStart w:id="26" w:name="electronic-submission-vs.-paper"/>
    <w:p>
      <w:pPr>
        <w:pStyle w:val="Heading4"/>
      </w:pPr>
      <w:r>
        <w:t xml:space="preserve">1.3.2 Electronic Submission vs. Paper</w:t>
      </w:r>
    </w:p>
    <w:p>
      <w:pPr>
        <w:pStyle w:val="FirstParagraph"/>
      </w:pPr>
      <w:r>
        <w:t xml:space="preserve">The</w:t>
      </w:r>
      <w:r>
        <w:t xml:space="preserve"> </w:t>
      </w:r>
      <w:r>
        <w:rPr>
          <w:iCs/>
          <w:i/>
        </w:rPr>
        <w:t xml:space="preserve">wniosek</w:t>
      </w:r>
      <w:r>
        <w:t xml:space="preserve"> </w:t>
      </w:r>
      <w:r>
        <w:t xml:space="preserve">based on an electronic</w:t>
      </w:r>
      <w:r>
        <w:t xml:space="preserve"> </w:t>
      </w:r>
      <w:r>
        <w:rPr>
          <w:iCs/>
          <w:i/>
        </w:rPr>
        <w:t xml:space="preserve">tytuł wykonawczy</w:t>
      </w:r>
      <w:r>
        <w:t xml:space="preserve"> </w:t>
      </w:r>
      <w:r>
        <w:t xml:space="preserve">may be submitted via the ST system under art. 797 § 2 KPC.</w:t>
      </w:r>
      <w:r>
        <w:rPr>
          <w:vertAlign w:val="superscript"/>
        </w:rPr>
        <w:footnoteReference w:id="23"/>
      </w:r>
      <w:r>
        <w:t xml:space="preserve">The creditor logs into</w:t>
      </w:r>
      <w:r>
        <w:t xml:space="preserve"> </w:t>
      </w:r>
      <w:r>
        <w:rPr>
          <w:iCs/>
          <w:i/>
        </w:rPr>
        <w:t xml:space="preserve">e-sad.gov.pl</w:t>
      </w:r>
      <w:r>
        <w:t xml:space="preserve">, selects the</w:t>
      </w:r>
      <w:r>
        <w:t xml:space="preserve"> </w:t>
      </w:r>
      <w:r>
        <w:rPr>
          <w:iCs/>
          <w:i/>
        </w:rPr>
        <w:t xml:space="preserve">nakaz zapłaty</w:t>
      </w:r>
      <w:r>
        <w:t xml:space="preserve"> </w:t>
      </w:r>
      <w:r>
        <w:t xml:space="preserve">with</w:t>
      </w:r>
      <w:r>
        <w:t xml:space="preserve"> </w:t>
      </w:r>
      <w:r>
        <w:rPr>
          <w:iCs/>
          <w:i/>
        </w:rPr>
        <w:t xml:space="preserve">klauzula wykonalności</w:t>
      </w:r>
      <w:r>
        <w:t xml:space="preserve"> </w:t>
      </w:r>
      <w:r>
        <w:t xml:space="preserve">from</w:t>
      </w:r>
      <w:r>
        <w:t xml:space="preserve"> </w:t>
      </w:r>
      <w:r>
        <w:t xml:space="preserve">“</w:t>
      </w:r>
      <w:r>
        <w:t xml:space="preserve">Moje nakazy,</w:t>
      </w:r>
      <w:r>
        <w:t xml:space="preserve">”</w:t>
      </w:r>
      <w:r>
        <w:t xml:space="preserve"> </w:t>
      </w:r>
      <w:r>
        <w:t xml:space="preserve">selects the</w:t>
      </w:r>
      <w:r>
        <w:t xml:space="preserve"> </w:t>
      </w:r>
      <w:r>
        <w:rPr>
          <w:iCs/>
          <w:i/>
        </w:rPr>
        <w:t xml:space="preserve">komornik</w:t>
      </w:r>
      <w:r>
        <w:t xml:space="preserve"> </w:t>
      </w:r>
      <w:r>
        <w:t xml:space="preserve">from a pre-populated list, and completes the electronic form.</w:t>
      </w:r>
      <w:r>
        <w:rPr>
          <w:vertAlign w:val="superscript"/>
        </w:rPr>
        <w:footnoteReference w:id="24"/>
      </w:r>
      <w:r>
        <w:t xml:space="preserve">The system pre-populates creditor and debtor data from the EPU proceeding.</w:t>
      </w:r>
    </w:p>
    <w:p>
      <w:pPr>
        <w:pStyle w:val="BodyText"/>
      </w:pPr>
      <w:r>
        <w:t xml:space="preserve">Alternatively, the creditor may submit a paper</w:t>
      </w:r>
      <w:r>
        <w:t xml:space="preserve"> </w:t>
      </w:r>
      <w:r>
        <w:rPr>
          <w:iCs/>
          <w:i/>
        </w:rPr>
        <w:t xml:space="preserve">wniosek</w:t>
      </w:r>
      <w:r>
        <w:t xml:space="preserve"> </w:t>
      </w:r>
      <w:r>
        <w:t xml:space="preserve">by mail or in person, attaching the</w:t>
      </w:r>
      <w:r>
        <w:t xml:space="preserve"> </w:t>
      </w:r>
      <w:r>
        <w:rPr>
          <w:iCs/>
          <w:i/>
        </w:rPr>
        <w:t xml:space="preserve">wydruk weryfikacyjny</w:t>
      </w:r>
      <w:r>
        <w:t xml:space="preserve"> </w:t>
      </w:r>
      <w:r>
        <w:t xml:space="preserve">obtained from the</w:t>
      </w:r>
      <w:r>
        <w:t xml:space="preserve"> </w:t>
      </w:r>
      <w:r>
        <w:rPr>
          <w:iCs/>
          <w:i/>
        </w:rPr>
        <w:t xml:space="preserve">e-sad.gov.pl</w:t>
      </w:r>
      <w:r>
        <w:t xml:space="preserve"> </w:t>
      </w:r>
      <w:r>
        <w:t xml:space="preserve">system using the 20-character unique code.</w:t>
      </w:r>
      <w:r>
        <w:rPr>
          <w:vertAlign w:val="superscript"/>
        </w:rPr>
        <w:footnoteReference w:id="25"/>
      </w:r>
      <w:r>
        <w:t xml:space="preserve">The</w:t>
      </w:r>
      <w:r>
        <w:t xml:space="preserve"> </w:t>
      </w:r>
      <w:r>
        <w:rPr>
          <w:iCs/>
          <w:i/>
        </w:rPr>
        <w:t xml:space="preserve">komornik</w:t>
      </w:r>
      <w:r>
        <w:t xml:space="preserve"> </w:t>
      </w:r>
      <w:r>
        <w:t xml:space="preserve">must then verify the document against the ST system and mark that enforcement has commenced (art. 797 § 4 KPC).</w:t>
      </w:r>
      <w:r>
        <w:rPr>
          <w:vertAlign w:val="superscript"/>
        </w:rPr>
        <w:footnoteReference w:id="26"/>
      </w:r>
      <w:r>
        <w:t xml:space="preserve">Ordinary e-mail submission is</w:t>
      </w:r>
      <w:r>
        <w:t xml:space="preserve"> </w:t>
      </w:r>
      <w:r>
        <w:rPr>
          <w:bCs/>
          <w:b/>
        </w:rPr>
        <w:t xml:space="preserve">not</w:t>
      </w:r>
      <w:r>
        <w:t xml:space="preserve"> </w:t>
      </w:r>
      <w:r>
        <w:t xml:space="preserve">permitted.</w:t>
      </w:r>
      <w:r>
        <w:rPr>
          <w:vertAlign w:val="superscript"/>
        </w:rPr>
        <w:footnoteReference w:id="27"/>
      </w:r>
      <w:r>
        <w:t xml:space="preserve">Once the</w:t>
      </w:r>
      <w:r>
        <w:t xml:space="preserve"> </w:t>
      </w:r>
      <w:r>
        <w:rPr>
          <w:iCs/>
          <w:i/>
        </w:rPr>
        <w:t xml:space="preserve">wniosek</w:t>
      </w:r>
      <w:r>
        <w:t xml:space="preserve"> </w:t>
      </w:r>
      <w:r>
        <w:t xml:space="preserve">is accepted, all subsequent correspondence takes place</w:t>
      </w:r>
      <w:r>
        <w:t xml:space="preserve"> </w:t>
      </w:r>
      <w:r>
        <w:rPr>
          <w:bCs/>
          <w:b/>
        </w:rPr>
        <w:t xml:space="preserve">outside the ST system</w:t>
      </w:r>
      <w:r>
        <w:t xml:space="preserve"> </w:t>
      </w:r>
      <w:r>
        <w:t xml:space="preserve">through traditional means.</w:t>
      </w:r>
      <w:r>
        <w:rPr>
          <w:vertAlign w:val="superscript"/>
        </w:rPr>
        <w:footnoteReference w:id="28"/>
      </w:r>
      <w:r>
        <w:t xml:space="preserve">The electronic efficiency gain is limited to the submission stage only.</w:t>
      </w:r>
    </w:p>
    <w:bookmarkEnd w:id="26"/>
    <w:bookmarkStart w:id="27" w:name="binding-effect-of-indicated-methods"/>
    <w:p>
      <w:pPr>
        <w:pStyle w:val="Heading4"/>
      </w:pPr>
      <w:r>
        <w:t xml:space="preserve">1.3.3 Binding Effect of Indicated Methods</w:t>
      </w:r>
    </w:p>
    <w:p>
      <w:pPr>
        <w:pStyle w:val="FirstParagraph"/>
      </w:pPr>
      <w:r>
        <w:t xml:space="preserve">The indication of enforcement methods is facultative but binding. A creditor who specifies</w:t>
      </w:r>
      <w:r>
        <w:t xml:space="preserve"> </w:t>
      </w:r>
      <w:r>
        <w:rPr>
          <w:iCs/>
          <w:i/>
        </w:rPr>
        <w:t xml:space="preserve">egzekucja z rachunku bankowego</w:t>
      </w:r>
      <w:r>
        <w:t xml:space="preserve"> </w:t>
      </w:r>
      <w:r>
        <w:t xml:space="preserve">cannot later demand seizure of movable property without an amended application. If no methods are indicated, the</w:t>
      </w:r>
      <w:r>
        <w:t xml:space="preserve"> </w:t>
      </w:r>
      <w:r>
        <w:rPr>
          <w:iCs/>
          <w:i/>
        </w:rPr>
        <w:t xml:space="preserve">komornik</w:t>
      </w:r>
      <w:r>
        <w:t xml:space="preserve"> </w:t>
      </w:r>
      <w:r>
        <w:t xml:space="preserve">applies the method</w:t>
      </w:r>
      <w:r>
        <w:t xml:space="preserve"> </w:t>
      </w:r>
      <w:r>
        <w:t xml:space="preserve">“</w:t>
      </w:r>
      <w:r>
        <w:t xml:space="preserve">least burdensome to the debtor</w:t>
      </w:r>
      <w:r>
        <w:t xml:space="preserve">”</w:t>
      </w:r>
      <w:r>
        <w:t xml:space="preserve"> </w:t>
      </w:r>
      <w:r>
        <w:t xml:space="preserve">under art. 799 § 1 zdanie drugie KPC.</w:t>
      </w:r>
      <w:r>
        <w:rPr>
          <w:vertAlign w:val="superscript"/>
        </w:rPr>
        <w:footnoteReference w:id="29"/>
      </w:r>
      <w:r>
        <w:t xml:space="preserve">In practice, this typically means bank account seizure via OGNIVO first, followed by salary seizure if banking data is discovered.</w:t>
      </w:r>
    </w:p>
    <w:bookmarkEnd w:id="27"/>
    <w:bookmarkEnd w:id="28"/>
    <w:bookmarkStart w:id="31" w:name="upfront-costs-and-fee-structure"/>
    <w:p>
      <w:pPr>
        <w:pStyle w:val="Heading3"/>
      </w:pPr>
      <w:r>
        <w:t xml:space="preserve">1.4 Upfront Costs and Fee Structure</w:t>
      </w:r>
    </w:p>
    <w:bookmarkStart w:id="29" w:name="zaliczki-the-creditors-initial-outlay"/>
    <w:p>
      <w:pPr>
        <w:pStyle w:val="Heading4"/>
      </w:pPr>
      <w:r>
        <w:t xml:space="preserve">1.4.1 Zaliczki: The Creditor’s Initial Outlay</w:t>
      </w:r>
    </w:p>
    <w:p>
      <w:pPr>
        <w:pStyle w:val="FirstParagraph"/>
      </w:pPr>
      <w:r>
        <w:t xml:space="preserve">The</w:t>
      </w:r>
      <w:r>
        <w:t xml:space="preserve"> </w:t>
      </w:r>
      <w:r>
        <w:rPr>
          <w:iCs/>
          <w:i/>
        </w:rPr>
        <w:t xml:space="preserve">komornik</w:t>
      </w:r>
      <w:r>
        <w:t xml:space="preserve"> </w:t>
      </w:r>
      <w:r>
        <w:t xml:space="preserve">conditions expense-generating actions on the creditor paying</w:t>
      </w:r>
      <w:r>
        <w:t xml:space="preserve"> </w:t>
      </w:r>
      <w:r>
        <w:rPr>
          <w:iCs/>
          <w:i/>
        </w:rPr>
        <w:t xml:space="preserve">zaliczki</w:t>
      </w:r>
      <w:r>
        <w:t xml:space="preserve"> </w:t>
      </w:r>
      <w:r>
        <w:t xml:space="preserve">(deposits) under art. 7 u.k.k.</w:t>
      </w:r>
      <w:r>
        <w:rPr>
          <w:vertAlign w:val="superscript"/>
        </w:rPr>
        <w:footnoteReference w:id="30"/>
      </w:r>
      <w:r>
        <w:t xml:space="preserve">The typical upfront deposits are: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Deposit Category</w:t>
            </w:r>
          </w:p>
        </w:tc>
        <w:tc>
          <w:tcPr/>
          <w:p>
            <w:pPr>
              <w:pStyle w:val="Compact"/>
              <w:jc w:val="left"/>
            </w:pPr>
            <w:r>
              <w:t xml:space="preserve">Amount</w:t>
            </w:r>
          </w:p>
        </w:tc>
        <w:tc>
          <w:tcPr/>
          <w:p>
            <w:pPr>
              <w:pStyle w:val="Compact"/>
              <w:jc w:val="left"/>
            </w:pPr>
            <w:r>
              <w:t xml:space="preserve">Legal Basis</w:t>
            </w:r>
          </w:p>
        </w:tc>
      </w:tr>
      <w:tr>
        <w:tc>
          <w:tcPr/>
          <w:p>
            <w:pPr>
              <w:pStyle w:val="Compact"/>
              <w:jc w:val="left"/>
            </w:pPr>
            <w:r>
              <w:t xml:space="preserve">Correspondence deposit (</w:t>
            </w:r>
            <w:r>
              <w:rPr>
                <w:iCs/>
                <w:i/>
              </w:rPr>
              <w:t xml:space="preserve">korespondencja</w:t>
            </w:r>
            <w:r>
              <w:t xml:space="preserve">)</w:t>
            </w:r>
          </w:p>
        </w:tc>
        <w:tc>
          <w:tcPr/>
          <w:p>
            <w:pPr>
              <w:pStyle w:val="Compact"/>
              <w:jc w:val="left"/>
            </w:pPr>
            <w:r>
              <w:t xml:space="preserve">30–60 zł</w:t>
            </w:r>
          </w:p>
        </w:tc>
        <w:tc>
          <w:tcPr/>
          <w:p>
            <w:pPr>
              <w:pStyle w:val="Compact"/>
              <w:jc w:val="left"/>
            </w:pPr>
            <w:r>
              <w:t xml:space="preserve">Art. 7 ust. 2 u.k.k.</w:t>
            </w:r>
          </w:p>
        </w:tc>
      </w:tr>
      <w:tr>
        <w:tc>
          <w:tcPr/>
          <w:p>
            <w:pPr>
              <w:pStyle w:val="Compact"/>
              <w:jc w:val="left"/>
            </w:pPr>
            <w:r>
              <w:t xml:space="preserve">ZUS (social insurance) query</w:t>
            </w:r>
          </w:p>
        </w:tc>
        <w:tc>
          <w:tcPr/>
          <w:p>
            <w:pPr>
              <w:pStyle w:val="Compact"/>
              <w:jc w:val="left"/>
            </w:pPr>
            <w:r>
              <w:t xml:space="preserve">52.44 zł</w:t>
            </w:r>
          </w:p>
        </w:tc>
        <w:tc>
          <w:tcPr/>
          <w:p>
            <w:pPr>
              <w:pStyle w:val="Compact"/>
              <w:jc w:val="left"/>
            </w:pPr>
            <w:r>
              <w:t xml:space="preserve">Current administrative fee</w:t>
            </w:r>
          </w:p>
        </w:tc>
      </w:tr>
      <w:tr>
        <w:tc>
          <w:tcPr/>
          <w:p>
            <w:pPr>
              <w:pStyle w:val="Compact"/>
              <w:jc w:val="left"/>
            </w:pPr>
            <w:r>
              <w:t xml:space="preserve">US (tax office) query</w:t>
            </w:r>
          </w:p>
        </w:tc>
        <w:tc>
          <w:tcPr/>
          <w:p>
            <w:pPr>
              <w:pStyle w:val="Compact"/>
              <w:jc w:val="left"/>
            </w:pPr>
            <w:r>
              <w:t xml:space="preserve">50.00 zł</w:t>
            </w:r>
          </w:p>
        </w:tc>
        <w:tc>
          <w:tcPr/>
          <w:p>
            <w:pPr>
              <w:pStyle w:val="Compact"/>
              <w:jc w:val="left"/>
            </w:pPr>
            <w:r>
              <w:t xml:space="preserve">Current administrative fee</w:t>
            </w:r>
          </w:p>
        </w:tc>
      </w:tr>
      <w:tr>
        <w:tc>
          <w:tcPr/>
          <w:p>
            <w:pPr>
              <w:pStyle w:val="Compact"/>
              <w:jc w:val="left"/>
            </w:pPr>
            <w:r>
              <w:t xml:space="preserve">EKW (land register) query</w:t>
            </w:r>
          </w:p>
        </w:tc>
        <w:tc>
          <w:tcPr/>
          <w:p>
            <w:pPr>
              <w:pStyle w:val="Compact"/>
              <w:jc w:val="left"/>
            </w:pPr>
            <w:r>
              <w:t xml:space="preserve">20.00 zł</w:t>
            </w:r>
          </w:p>
        </w:tc>
        <w:tc>
          <w:tcPr/>
          <w:p>
            <w:pPr>
              <w:pStyle w:val="Compact"/>
              <w:jc w:val="left"/>
            </w:pPr>
            <w:r>
              <w:t xml:space="preserve">Current administrative fee</w:t>
            </w:r>
          </w:p>
        </w:tc>
      </w:tr>
      <w:tr>
        <w:tc>
          <w:tcPr/>
          <w:p>
            <w:pPr>
              <w:pStyle w:val="Compact"/>
              <w:jc w:val="left"/>
            </w:pPr>
            <w:r>
              <w:rPr>
                <w:bCs/>
                <w:b/>
              </w:rPr>
              <w:t xml:space="preserve">Total typical upfront</w:t>
            </w:r>
          </w:p>
        </w:tc>
        <w:tc>
          <w:tcPr/>
          <w:p>
            <w:pPr>
              <w:pStyle w:val="Compact"/>
              <w:jc w:val="left"/>
            </w:pPr>
            <w:r>
              <w:rPr>
                <w:bCs/>
                <w:b/>
              </w:rPr>
              <w:t xml:space="preserve">~100–150 zł</w:t>
            </w:r>
          </w:p>
        </w:tc>
        <w:tc>
          <w:tcPr/>
          <w:p>
            <w:pPr>
              <w:pStyle w:val="Compact"/>
              <w:jc w:val="left"/>
            </w:pPr>
            <w:r>
              <w:t xml:space="preserve">—</w:t>
            </w:r>
          </w:p>
        </w:tc>
      </w:tr>
    </w:tbl>
    <w:p>
      <w:pPr>
        <w:pStyle w:val="BodyText"/>
      </w:pPr>
      <w:r>
        <w:t xml:space="preserve">The correspondence deposit is capped at 60 zł per case unless higher expenses are anticipated (art. 7 ust. 2 u.k.k.).</w:t>
      </w:r>
      <w:r>
        <w:rPr>
          <w:vertAlign w:val="superscript"/>
        </w:rPr>
        <w:footnoteReference w:id="31"/>
      </w:r>
      <w:r>
        <w:t xml:space="preserve">In a typical simple case without expert opinions or travel, total upfront cash expenses should not exceed approximately 200 zł.</w:t>
      </w:r>
      <w:r>
        <w:rPr>
          <w:vertAlign w:val="superscript"/>
        </w:rPr>
        <w:footnoteReference w:id="32"/>
      </w:r>
      <w:r>
        <w:t xml:space="preserve">If the creditor fails to pay the</w:t>
      </w:r>
      <w:r>
        <w:t xml:space="preserve"> </w:t>
      </w:r>
      <w:r>
        <w:rPr>
          <w:iCs/>
          <w:i/>
        </w:rPr>
        <w:t xml:space="preserve">zaliczka</w:t>
      </w:r>
      <w:r>
        <w:t xml:space="preserve"> </w:t>
      </w:r>
      <w:r>
        <w:t xml:space="preserve">within 7 days (or 1 month if abroad), the</w:t>
      </w:r>
      <w:r>
        <w:t xml:space="preserve"> </w:t>
      </w:r>
      <w:r>
        <w:rPr>
          <w:iCs/>
          <w:i/>
        </w:rPr>
        <w:t xml:space="preserve">komornik</w:t>
      </w:r>
      <w:r>
        <w:t xml:space="preserve"> </w:t>
      </w:r>
      <w:r>
        <w:t xml:space="preserve">will not perform the action. If unpaid for 6 months, the</w:t>
      </w:r>
      <w:r>
        <w:t xml:space="preserve"> </w:t>
      </w:r>
      <w:r>
        <w:rPr>
          <w:iCs/>
          <w:i/>
        </w:rPr>
        <w:t xml:space="preserve">komornik</w:t>
      </w:r>
      <w:r>
        <w:t xml:space="preserve"> </w:t>
      </w:r>
      <w:r>
        <w:t xml:space="preserve">may discontinue the proceeding due to creditor inactivity under art. 824 § 1 pkt 4 KPC and charge a 5% fee.</w:t>
      </w:r>
      <w:r>
        <w:rPr>
          <w:vertAlign w:val="superscript"/>
        </w:rPr>
        <w:footnoteReference w:id="33"/>
      </w:r>
      <w:r>
        <w:t xml:space="preserve">If enforcement succeeds, the debtor reimburses the</w:t>
      </w:r>
      <w:r>
        <w:t xml:space="preserve"> </w:t>
      </w:r>
      <w:r>
        <w:rPr>
          <w:iCs/>
          <w:i/>
        </w:rPr>
        <w:t xml:space="preserve">zaliczki</w:t>
      </w:r>
      <w:r>
        <w:t xml:space="preserve"> </w:t>
      </w:r>
      <w:r>
        <w:t xml:space="preserve">under art. 770 § 1 KPC.</w:t>
      </w:r>
      <w:r>
        <w:rPr>
          <w:vertAlign w:val="superscript"/>
        </w:rPr>
        <w:footnoteReference w:id="34"/>
      </w:r>
      <w:r>
        <w:t xml:space="preserve">If enforcement fails, the creditor loses the</w:t>
      </w:r>
      <w:r>
        <w:t xml:space="preserve"> </w:t>
      </w:r>
      <w:r>
        <w:rPr>
          <w:iCs/>
          <w:i/>
        </w:rPr>
        <w:t xml:space="preserve">zaliczki</w:t>
      </w:r>
      <w:r>
        <w:t xml:space="preserve"> </w:t>
      </w:r>
      <w:r>
        <w:t xml:space="preserve">and may owe additional uncovered expenses (art. 7 ust. 6 u.k.k.).</w:t>
      </w:r>
      <w:r>
        <w:rPr>
          <w:vertAlign w:val="superscript"/>
        </w:rPr>
        <w:footnoteReference w:id="35"/>
      </w:r>
      <w:r>
        <w:t xml:space="preserve">#### 1.4.2 Opłata Stosunkowa: Fee Scenarios</w:t>
      </w:r>
    </w:p>
    <w:p>
      <w:pPr>
        <w:pStyle w:val="BodyText"/>
      </w:pPr>
      <w:r>
        <w:t xml:space="preserve">The</w:t>
      </w:r>
      <w:r>
        <w:t xml:space="preserve"> </w:t>
      </w:r>
      <w:r>
        <w:rPr>
          <w:iCs/>
          <w:i/>
        </w:rPr>
        <w:t xml:space="preserve">opłata stosunkowa</w:t>
      </w:r>
      <w:r>
        <w:t xml:space="preserve"> </w:t>
      </w:r>
      <w:r>
        <w:t xml:space="preserve">(percentage-based enforcement fee) is charged to the</w:t>
      </w:r>
      <w:r>
        <w:t xml:space="preserve"> </w:t>
      </w:r>
      <w:r>
        <w:rPr>
          <w:bCs/>
          <w:b/>
        </w:rPr>
        <w:t xml:space="preserve">debtor</w:t>
      </w:r>
      <w:r>
        <w:t xml:space="preserve"> </w:t>
      </w:r>
      <w:r>
        <w:t xml:space="preserve">upon successful recovery but shifts to the</w:t>
      </w:r>
      <w:r>
        <w:t xml:space="preserve"> </w:t>
      </w:r>
      <w:r>
        <w:rPr>
          <w:bCs/>
          <w:b/>
        </w:rPr>
        <w:t xml:space="preserve">creditor</w:t>
      </w:r>
      <w:r>
        <w:t xml:space="preserve"> </w:t>
      </w:r>
      <w:r>
        <w:t xml:space="preserve">in specific termination scenarios. The applicable rate depends entirely on how the proceeding ends.</w:t>
      </w:r>
    </w:p>
    <w:p>
      <w:pPr>
        <w:pStyle w:val="BodyText"/>
      </w:pPr>
      <w:r>
        <w:rPr>
          <w:bCs/>
          <w:b/>
        </w:rPr>
        <w:t xml:space="preserve">Table 1: Opłata Stosunkowa — All Scenarios for a 155,000 zł Claim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Fee Rate</w:t>
            </w:r>
          </w:p>
        </w:tc>
        <w:tc>
          <w:tcPr/>
          <w:p>
            <w:pPr>
              <w:pStyle w:val="Compact"/>
              <w:jc w:val="left"/>
            </w:pPr>
            <w:r>
              <w:t xml:space="preserve">Amount (on 155,000 zł)</w:t>
            </w:r>
          </w:p>
        </w:tc>
        <w:tc>
          <w:tcPr/>
          <w:p>
            <w:pPr>
              <w:pStyle w:val="Compact"/>
              <w:jc w:val="left"/>
            </w:pPr>
            <w:r>
              <w:t xml:space="preserve">Charged To</w:t>
            </w:r>
          </w:p>
        </w:tc>
        <w:tc>
          <w:tcPr/>
          <w:p>
            <w:pPr>
              <w:pStyle w:val="Compact"/>
              <w:jc w:val="left"/>
            </w:pPr>
            <w:r>
              <w:t xml:space="preserve">Legal Basis</w:t>
            </w:r>
          </w:p>
        </w:tc>
      </w:tr>
      <w:tr>
        <w:tc>
          <w:tcPr/>
          <w:p>
            <w:pPr>
              <w:pStyle w:val="Compact"/>
              <w:jc w:val="left"/>
            </w:pPr>
            <w:r>
              <w:t xml:space="preserve">Standard recovery</w:t>
            </w:r>
          </w:p>
        </w:tc>
        <w:tc>
          <w:tcPr/>
          <w:p>
            <w:pPr>
              <w:pStyle w:val="Compact"/>
              <w:jc w:val="left"/>
            </w:pPr>
            <w:r>
              <w:t xml:space="preserve">10%</w:t>
            </w:r>
          </w:p>
        </w:tc>
        <w:tc>
          <w:tcPr/>
          <w:p>
            <w:pPr>
              <w:pStyle w:val="Compact"/>
              <w:jc w:val="left"/>
            </w:pPr>
            <w:r>
              <w:t xml:space="preserve">15,500 zł</w:t>
            </w:r>
          </w:p>
        </w:tc>
        <w:tc>
          <w:tcPr/>
          <w:p>
            <w:pPr>
              <w:pStyle w:val="Compact"/>
              <w:jc w:val="left"/>
            </w:pPr>
            <w:r>
              <w:t xml:space="preserve">Debtor</w:t>
            </w:r>
          </w:p>
        </w:tc>
        <w:tc>
          <w:tcPr/>
          <w:p>
            <w:pPr>
              <w:pStyle w:val="Compact"/>
              <w:jc w:val="left"/>
            </w:pPr>
            <w:r>
              <w:t xml:space="preserve">Art. 27 ust. 1 u.k.k.</w:t>
            </w:r>
          </w:p>
        </w:tc>
      </w:tr>
      <w:tr>
        <w:tc>
          <w:tcPr/>
          <w:p>
            <w:pPr>
              <w:pStyle w:val="Compact"/>
              <w:jc w:val="left"/>
            </w:pPr>
            <w:r>
              <w:t xml:space="preserve">Voluntary payment within 1 month</w:t>
            </w:r>
          </w:p>
        </w:tc>
        <w:tc>
          <w:tcPr/>
          <w:p>
            <w:pPr>
              <w:pStyle w:val="Compact"/>
              <w:jc w:val="left"/>
            </w:pPr>
            <w:r>
              <w:t xml:space="preserve">3%</w:t>
            </w:r>
          </w:p>
        </w:tc>
        <w:tc>
          <w:tcPr/>
          <w:p>
            <w:pPr>
              <w:pStyle w:val="Compact"/>
              <w:jc w:val="left"/>
            </w:pPr>
            <w:r>
              <w:t xml:space="preserve">4,650 zł</w:t>
            </w:r>
          </w:p>
        </w:tc>
        <w:tc>
          <w:tcPr/>
          <w:p>
            <w:pPr>
              <w:pStyle w:val="Compact"/>
              <w:jc w:val="left"/>
            </w:pPr>
            <w:r>
              <w:t xml:space="preserve">Debtor</w:t>
            </w:r>
          </w:p>
        </w:tc>
        <w:tc>
          <w:tcPr/>
          <w:p>
            <w:pPr>
              <w:pStyle w:val="Compact"/>
              <w:jc w:val="left"/>
            </w:pPr>
            <w:r>
              <w:t xml:space="preserve">Art. 27 ust. 2 u.k.k.</w:t>
            </w:r>
          </w:p>
        </w:tc>
      </w:tr>
      <w:tr>
        <w:tc>
          <w:tcPr/>
          <w:p>
            <w:pPr>
              <w:pStyle w:val="Compact"/>
              <w:jc w:val="left"/>
            </w:pPr>
            <w:r>
              <w:t xml:space="preserve">Creditor withdraws before</w:t>
            </w:r>
            <w:r>
              <w:t xml:space="preserve"> </w:t>
            </w:r>
            <w:r>
              <w:rPr>
                <w:iCs/>
                <w:i/>
              </w:rPr>
              <w:t xml:space="preserve">zawiadomienie</w:t>
            </w:r>
          </w:p>
        </w:tc>
        <w:tc>
          <w:tcPr/>
          <w:p>
            <w:pPr>
              <w:pStyle w:val="Compact"/>
              <w:jc w:val="left"/>
            </w:pPr>
            <w:r>
              <w:t xml:space="preserve">100 zł fixed</w:t>
            </w:r>
          </w:p>
        </w:tc>
        <w:tc>
          <w:tcPr/>
          <w:p>
            <w:pPr>
              <w:pStyle w:val="Compact"/>
              <w:jc w:val="left"/>
            </w:pPr>
            <w:r>
              <w:t xml:space="preserve">100 zł</w:t>
            </w:r>
          </w:p>
        </w:tc>
        <w:tc>
          <w:tcPr/>
          <w:p>
            <w:pPr>
              <w:pStyle w:val="Compact"/>
              <w:jc w:val="left"/>
            </w:pPr>
            <w:r>
              <w:t xml:space="preserve">Creditor</w:t>
            </w:r>
          </w:p>
        </w:tc>
        <w:tc>
          <w:tcPr/>
          <w:p>
            <w:pPr>
              <w:pStyle w:val="Compact"/>
              <w:jc w:val="left"/>
            </w:pPr>
            <w:r>
              <w:t xml:space="preserve">Art. 29 ust. 2 u.k.k.</w:t>
            </w:r>
          </w:p>
        </w:tc>
      </w:tr>
      <w:tr>
        <w:tc>
          <w:tcPr/>
          <w:p>
            <w:pPr>
              <w:pStyle w:val="Compact"/>
              <w:jc w:val="left"/>
            </w:pPr>
            <w:r>
              <w:t xml:space="preserve">Creditor withdraws after</w:t>
            </w:r>
            <w:r>
              <w:t xml:space="preserve"> </w:t>
            </w:r>
            <w:r>
              <w:rPr>
                <w:iCs/>
                <w:i/>
              </w:rPr>
              <w:t xml:space="preserve">zawiadomienie</w:t>
            </w:r>
          </w:p>
        </w:tc>
        <w:tc>
          <w:tcPr/>
          <w:p>
            <w:pPr>
              <w:pStyle w:val="Compact"/>
              <w:jc w:val="left"/>
            </w:pPr>
            <w:r>
              <w:t xml:space="preserve">5% of remaining</w:t>
            </w:r>
          </w:p>
        </w:tc>
        <w:tc>
          <w:tcPr/>
          <w:p>
            <w:pPr>
              <w:pStyle w:val="Compact"/>
              <w:jc w:val="left"/>
            </w:pPr>
            <w:r>
              <w:t xml:space="preserve">7,750 zł</w:t>
            </w:r>
          </w:p>
        </w:tc>
        <w:tc>
          <w:tcPr/>
          <w:p>
            <w:pPr>
              <w:pStyle w:val="Compact"/>
              <w:jc w:val="left"/>
            </w:pPr>
            <w:r>
              <w:t xml:space="preserve">Creditor</w:t>
            </w:r>
          </w:p>
        </w:tc>
        <w:tc>
          <w:tcPr/>
          <w:p>
            <w:pPr>
              <w:pStyle w:val="Compact"/>
              <w:jc w:val="left"/>
            </w:pPr>
            <w:r>
              <w:t xml:space="preserve">Art. 29 ust. 1 u.k.k.</w:t>
            </w:r>
          </w:p>
        </w:tc>
      </w:tr>
      <w:tr>
        <w:tc>
          <w:tcPr/>
          <w:p>
            <w:pPr>
              <w:pStyle w:val="Compact"/>
              <w:jc w:val="left"/>
            </w:pPr>
            <w:r>
              <w:t xml:space="preserve">Creditor inactive 6+ months</w:t>
            </w:r>
          </w:p>
        </w:tc>
        <w:tc>
          <w:tcPr/>
          <w:p>
            <w:pPr>
              <w:pStyle w:val="Compact"/>
              <w:jc w:val="left"/>
            </w:pPr>
            <w:r>
              <w:t xml:space="preserve">5% of remaining</w:t>
            </w:r>
          </w:p>
        </w:tc>
        <w:tc>
          <w:tcPr/>
          <w:p>
            <w:pPr>
              <w:pStyle w:val="Compact"/>
              <w:jc w:val="left"/>
            </w:pPr>
            <w:r>
              <w:t xml:space="preserve">7,750 zł</w:t>
            </w:r>
          </w:p>
        </w:tc>
        <w:tc>
          <w:tcPr/>
          <w:p>
            <w:pPr>
              <w:pStyle w:val="Compact"/>
              <w:jc w:val="left"/>
            </w:pPr>
            <w:r>
              <w:t xml:space="preserve">Creditor</w:t>
            </w:r>
          </w:p>
        </w:tc>
        <w:tc>
          <w:tcPr/>
          <w:p>
            <w:pPr>
              <w:pStyle w:val="Compact"/>
              <w:jc w:val="left"/>
            </w:pPr>
            <w:r>
              <w:t xml:space="preserve">Art. 29 ust. 1 u.k.k.</w:t>
            </w:r>
          </w:p>
        </w:tc>
      </w:tr>
      <w:tr>
        <w:tc>
          <w:tcPr/>
          <w:p>
            <w:pPr>
              <w:pStyle w:val="Compact"/>
              <w:jc w:val="left"/>
            </w:pPr>
            <w:r>
              <w:t xml:space="preserve">Umorzenie —</w:t>
            </w:r>
            <w:r>
              <w:t xml:space="preserve"> </w:t>
            </w:r>
            <w:r>
              <w:rPr>
                <w:iCs/>
                <w:i/>
              </w:rPr>
              <w:t xml:space="preserve">bezskuteczność</w:t>
            </w:r>
            <w:r>
              <w:t xml:space="preserve"> </w:t>
            </w:r>
            <w:r>
              <w:t xml:space="preserve">(no assets)</w:t>
            </w:r>
          </w:p>
        </w:tc>
        <w:tc>
          <w:tcPr/>
          <w:p>
            <w:pPr>
              <w:pStyle w:val="Compact"/>
              <w:jc w:val="left"/>
            </w:pPr>
            <w:r>
              <w:t xml:space="preserve">150 zł fixed</w:t>
            </w:r>
          </w:p>
        </w:tc>
        <w:tc>
          <w:tcPr/>
          <w:p>
            <w:pPr>
              <w:pStyle w:val="Compact"/>
              <w:jc w:val="left"/>
            </w:pPr>
            <w:r>
              <w:t xml:space="preserve">150 zł</w:t>
            </w:r>
          </w:p>
        </w:tc>
        <w:tc>
          <w:tcPr/>
          <w:p>
            <w:pPr>
              <w:pStyle w:val="Compact"/>
              <w:jc w:val="left"/>
            </w:pPr>
            <w:r>
              <w:t xml:space="preserve">Creditor</w:t>
            </w:r>
          </w:p>
        </w:tc>
        <w:tc>
          <w:tcPr/>
          <w:p>
            <w:pPr>
              <w:pStyle w:val="Compact"/>
              <w:jc w:val="left"/>
            </w:pPr>
            <w:r>
              <w:t xml:space="preserve">Art. 29 ust. 4 u.k.k.</w:t>
            </w:r>
          </w:p>
        </w:tc>
      </w:tr>
      <w:tr>
        <w:tc>
          <w:tcPr/>
          <w:p>
            <w:pPr>
              <w:pStyle w:val="Compact"/>
              <w:jc w:val="left"/>
            </w:pPr>
            <w:r>
              <w:t xml:space="preserve">Obviously pointless initiation (</w:t>
            </w:r>
            <w:r>
              <w:rPr>
                <w:iCs/>
                <w:i/>
              </w:rPr>
              <w:t xml:space="preserve">niecelowość</w:t>
            </w:r>
            <w:r>
              <w:t xml:space="preserve">)</w:t>
            </w:r>
          </w:p>
        </w:tc>
        <w:tc>
          <w:tcPr/>
          <w:p>
            <w:pPr>
              <w:pStyle w:val="Compact"/>
              <w:jc w:val="left"/>
            </w:pPr>
            <w:r>
              <w:t xml:space="preserve">10% of full claim</w:t>
            </w:r>
          </w:p>
        </w:tc>
        <w:tc>
          <w:tcPr/>
          <w:p>
            <w:pPr>
              <w:pStyle w:val="Compact"/>
              <w:jc w:val="left"/>
            </w:pPr>
            <w:r>
              <w:t xml:space="preserve">15,500 zł</w:t>
            </w:r>
          </w:p>
        </w:tc>
        <w:tc>
          <w:tcPr/>
          <w:p>
            <w:pPr>
              <w:pStyle w:val="Compact"/>
              <w:jc w:val="left"/>
            </w:pPr>
            <w:r>
              <w:t xml:space="preserve">Creditor</w:t>
            </w:r>
          </w:p>
        </w:tc>
        <w:tc>
          <w:tcPr/>
          <w:p>
            <w:pPr>
              <w:pStyle w:val="Compact"/>
              <w:jc w:val="left"/>
            </w:pPr>
            <w:r>
              <w:t xml:space="preserve">Art. 30 u.k.k.</w:t>
            </w:r>
          </w:p>
        </w:tc>
      </w:tr>
    </w:tbl>
    <w:p>
      <w:pPr>
        <w:pStyle w:val="BodyText"/>
      </w:pPr>
      <w:r>
        <w:t xml:space="preserve">Minimum fees under art. 28 u.k.k. are 150 zł (voluntary payment), 200 zł (bank/salary seizure), and 300 zł (other methods).</w:t>
      </w:r>
      <w:r>
        <w:rPr>
          <w:vertAlign w:val="superscript"/>
        </w:rPr>
        <w:footnoteReference w:id="36"/>
      </w:r>
      <w:r>
        <w:t xml:space="preserve">The maximum fee cap is 50,000 zł per case (art. 25 ust. 1 u.k.k.).</w:t>
      </w:r>
      <w:r>
        <w:rPr>
          <w:vertAlign w:val="superscript"/>
        </w:rPr>
        <w:footnoteReference w:id="37"/>
      </w:r>
      <w:r>
        <w:t xml:space="preserve">For a 155,000 zł claim, the 10% standard fee of 15,500 zł falls well below this cap.</w:t>
      </w:r>
    </w:p>
    <w:p>
      <w:pPr>
        <w:pStyle w:val="BodyText"/>
      </w:pPr>
      <w:r>
        <w:t xml:space="preserve">The distinction between the 5% creditor-withdrawal fee (art. 29 ust. 1) and the 150 zł</w:t>
      </w:r>
      <w:r>
        <w:t xml:space="preserve"> </w:t>
      </w:r>
      <w:r>
        <w:rPr>
          <w:iCs/>
          <w:i/>
        </w:rPr>
        <w:t xml:space="preserve">bezskuteczność</w:t>
      </w:r>
      <w:r>
        <w:t xml:space="preserve"> </w:t>
      </w:r>
      <w:r>
        <w:t xml:space="preserve">fee (art. 29 ust. 4) is operationally critical. The 5% rate applies when the</w:t>
      </w:r>
      <w:r>
        <w:t xml:space="preserve"> </w:t>
      </w:r>
      <w:r>
        <w:rPr>
          <w:bCs/>
          <w:b/>
        </w:rPr>
        <w:t xml:space="preserve">creditor</w:t>
      </w:r>
      <w:r>
        <w:t xml:space="preserve"> </w:t>
      </w:r>
      <w:r>
        <w:t xml:space="preserve">terminates the proceeding or allows 6 months of inactivity. The 150 zł rate applies when the</w:t>
      </w:r>
      <w:r>
        <w:t xml:space="preserve"> </w:t>
      </w:r>
      <w:r>
        <w:rPr>
          <w:iCs/>
          <w:i/>
        </w:rPr>
        <w:t xml:space="preserve">komornik</w:t>
      </w:r>
      <w:r>
        <w:t xml:space="preserve"> </w:t>
      </w:r>
      <w:r>
        <w:t xml:space="preserve">terminates because the debtor has</w:t>
      </w:r>
      <w:r>
        <w:t xml:space="preserve"> </w:t>
      </w:r>
      <w:r>
        <w:rPr>
          <w:bCs/>
          <w:b/>
        </w:rPr>
        <w:t xml:space="preserve">no attachable assets</w:t>
      </w:r>
      <w:r>
        <w:t xml:space="preserve">.</w:t>
      </w:r>
      <w:r>
        <w:rPr>
          <w:vertAlign w:val="superscript"/>
        </w:rPr>
        <w:footnoteReference w:id="38"/>
      </w:r>
      <w:r>
        <w:t xml:space="preserve">For the GPUcomputer case — a debtor abroad with a likely empty Polish account — the expected outcome is</w:t>
      </w:r>
      <w:r>
        <w:t xml:space="preserve"> </w:t>
      </w:r>
      <w:r>
        <w:rPr>
          <w:iCs/>
          <w:i/>
        </w:rPr>
        <w:t xml:space="preserve">umorzenie</w:t>
      </w:r>
      <w:r>
        <w:t xml:space="preserve"> </w:t>
      </w:r>
      <w:r>
        <w:t xml:space="preserve">under art. 824 § 1 pkt 3 KPC, triggering the 150 zł fee.</w:t>
      </w:r>
    </w:p>
    <w:p>
      <w:pPr>
        <w:pStyle w:val="BodyText"/>
      </w:pPr>
      <w:r>
        <w:t xml:space="preserve">The 10%</w:t>
      </w:r>
      <w:r>
        <w:t xml:space="preserve"> </w:t>
      </w:r>
      <w:r>
        <w:t xml:space="preserve">“</w:t>
      </w:r>
      <w:r>
        <w:t xml:space="preserve">obviously pointless</w:t>
      </w:r>
      <w:r>
        <w:t xml:space="preserve">”</w:t>
      </w:r>
      <w:r>
        <w:t xml:space="preserve"> </w:t>
      </w:r>
      <w:r>
        <w:t xml:space="preserve">fee under art. 30 u.k.k. applies when the creditor filed against a person who is not the debtor, or when enforcement was</w:t>
      </w:r>
      <w:r>
        <w:t xml:space="preserve"> </w:t>
      </w:r>
      <w:r>
        <w:rPr>
          <w:iCs/>
          <w:i/>
        </w:rPr>
        <w:t xml:space="preserve">oczywiście niecelowa</w:t>
      </w:r>
      <w:r>
        <w:t xml:space="preserve"> </w:t>
      </w:r>
      <w:r>
        <w:t xml:space="preserve">— for instance, filing against a deceased debtor whom the creditor knew or should have known was dead.</w:t>
      </w:r>
      <w:r>
        <w:rPr>
          <w:vertAlign w:val="superscript"/>
        </w:rPr>
        <w:footnoteReference w:id="39"/>
      </w:r>
      <w:r>
        <w:t xml:space="preserve">The Supreme Court has held that this assessment is case-specific (uchwała SN, sygn. III CZP 6/23).</w:t>
      </w:r>
      <w:r>
        <w:rPr>
          <w:vertAlign w:val="superscript"/>
        </w:rPr>
        <w:footnoteReference w:id="40"/>
      </w:r>
      <w:r>
        <w:t xml:space="preserve">For a living debtor with a valid title, this scenario is not a material risk.</w:t>
      </w:r>
    </w:p>
    <w:bookmarkEnd w:id="29"/>
    <w:bookmarkStart w:id="30" w:name="cost-scenarios-for-155000-zł"/>
    <w:p>
      <w:pPr>
        <w:pStyle w:val="Heading4"/>
      </w:pPr>
      <w:r>
        <w:t xml:space="preserve">1.4.3 Cost Scenarios for 155,000 zł</w:t>
      </w:r>
    </w:p>
    <w:p>
      <w:pPr>
        <w:pStyle w:val="FirstParagraph"/>
      </w:pPr>
      <w:r>
        <w:t xml:space="preserve">Synthesizing the</w:t>
      </w:r>
      <w:r>
        <w:t xml:space="preserve"> </w:t>
      </w:r>
      <w:r>
        <w:rPr>
          <w:iCs/>
          <w:i/>
        </w:rPr>
        <w:t xml:space="preserve">zaliczki</w:t>
      </w:r>
      <w:r>
        <w:t xml:space="preserve"> </w:t>
      </w:r>
      <w:r>
        <w:t xml:space="preserve">and</w:t>
      </w:r>
      <w:r>
        <w:t xml:space="preserve"> </w:t>
      </w:r>
      <w:r>
        <w:rPr>
          <w:iCs/>
          <w:i/>
        </w:rPr>
        <w:t xml:space="preserve">opłata stosunkowa</w:t>
      </w:r>
      <w:r>
        <w:t xml:space="preserve">, the creditor’s total financial exposure falls into three bands:</w:t>
      </w:r>
    </w:p>
    <w:p>
      <w:pPr>
        <w:pStyle w:val="BodyText"/>
      </w:pPr>
      <w:r>
        <w:rPr>
          <w:bCs/>
          <w:b/>
        </w:rPr>
        <w:t xml:space="preserve">Best case (successful enforcement):</w:t>
      </w:r>
      <w:r>
        <w:t xml:space="preserve"> </w:t>
      </w:r>
      <w:r>
        <w:t xml:space="preserve">The creditor pays ~150 zł in</w:t>
      </w:r>
      <w:r>
        <w:t xml:space="preserve"> </w:t>
      </w:r>
      <w:r>
        <w:rPr>
          <w:iCs/>
          <w:i/>
        </w:rPr>
        <w:t xml:space="preserve">zaliczki</w:t>
      </w:r>
      <w:r>
        <w:t xml:space="preserve"> </w:t>
      </w:r>
      <w:r>
        <w:t xml:space="preserve">upfront and is fully reimbursed. The debtor bears the 10% fee (15,500 zł). Net creditor cost approaches zero.</w:t>
      </w:r>
    </w:p>
    <w:p>
      <w:pPr>
        <w:pStyle w:val="BodyText"/>
      </w:pPr>
      <w:r>
        <w:rPr>
          <w:bCs/>
          <w:b/>
        </w:rPr>
        <w:t xml:space="preserve">Expected case (empty account,</w:t>
      </w:r>
      <w:r>
        <w:rPr>
          <w:bCs/>
          <w:b/>
        </w:rPr>
        <w:t xml:space="preserve"> </w:t>
      </w:r>
      <w:r>
        <w:rPr>
          <w:iCs/>
          <w:i/>
          <w:bCs/>
          <w:b/>
        </w:rPr>
        <w:t xml:space="preserve">umorzenie</w:t>
      </w:r>
      <w:r>
        <w:rPr>
          <w:bCs/>
          <w:b/>
        </w:rPr>
        <w:t xml:space="preserve"> </w:t>
      </w:r>
      <w:r>
        <w:rPr>
          <w:bCs/>
          <w:b/>
        </w:rPr>
        <w:t xml:space="preserve">due to</w:t>
      </w:r>
      <w:r>
        <w:rPr>
          <w:bCs/>
          <w:b/>
        </w:rPr>
        <w:t xml:space="preserve"> </w:t>
      </w:r>
      <w:r>
        <w:rPr>
          <w:iCs/>
          <w:i/>
          <w:bCs/>
          <w:b/>
        </w:rPr>
        <w:t xml:space="preserve">bezskuteczność</w:t>
      </w:r>
      <w:r>
        <w:rPr>
          <w:bCs/>
          <w:b/>
        </w:rPr>
        <w:t xml:space="preserve">):</w:t>
      </w:r>
      <w:r>
        <w:t xml:space="preserve"> </w:t>
      </w:r>
      <w:r>
        <w:t xml:space="preserve">The creditor loses ~150 zł in</w:t>
      </w:r>
      <w:r>
        <w:t xml:space="preserve"> </w:t>
      </w:r>
      <w:r>
        <w:rPr>
          <w:iCs/>
          <w:i/>
        </w:rPr>
        <w:t xml:space="preserve">zaliczki</w:t>
      </w:r>
      <w:r>
        <w:t xml:space="preserve">, pays 150 zł under art. 29 ust. 4, and may owe ~100 zł in uncovered expenses. Total exposure:</w:t>
      </w:r>
      <w:r>
        <w:t xml:space="preserve"> </w:t>
      </w:r>
      <w:r>
        <w:rPr>
          <w:bCs/>
          <w:b/>
        </w:rPr>
        <w:t xml:space="preserve">~300–400 zł</w:t>
      </w:r>
      <w:r>
        <w:t xml:space="preserve">.</w:t>
      </w:r>
      <w:r>
        <w:rPr>
          <w:vertAlign w:val="superscript"/>
        </w:rPr>
        <w:footnoteReference w:id="41"/>
      </w:r>
      <w:r>
        <w:rPr>
          <w:bCs/>
          <w:b/>
        </w:rPr>
        <w:t xml:space="preserve">Worst case (obviously pointless initiation):</w:t>
      </w:r>
      <w:r>
        <w:t xml:space="preserve"> </w:t>
      </w:r>
      <w:r>
        <w:t xml:space="preserve">The creditor pays 10% of 155,000 zł = 15,500 zł, plus lost</w:t>
      </w:r>
      <w:r>
        <w:t xml:space="preserve"> </w:t>
      </w:r>
      <w:r>
        <w:rPr>
          <w:iCs/>
          <w:i/>
        </w:rPr>
        <w:t xml:space="preserve">zaliczki</w:t>
      </w:r>
      <w:r>
        <w:t xml:space="preserve"> </w:t>
      </w:r>
      <w:r>
        <w:t xml:space="preserve">(~150 zł) and uncovered expenses (~100–200 zł). Total:</w:t>
      </w:r>
      <w:r>
        <w:t xml:space="preserve"> </w:t>
      </w:r>
      <w:r>
        <w:rPr>
          <w:bCs/>
          <w:b/>
        </w:rPr>
        <w:t xml:space="preserve">~15,800 zł</w:t>
      </w:r>
      <w:r>
        <w:t xml:space="preserve">.</w:t>
      </w:r>
      <w:r>
        <w:rPr>
          <w:vertAlign w:val="superscript"/>
        </w:rPr>
        <w:footnoteReference w:id="42"/>
      </w:r>
      <w:r>
        <w:t xml:space="preserve">This is avoidable through basic due diligence — confirming the debtor’s identity and the title’s validity before filing.</w:t>
      </w:r>
    </w:p>
    <w:bookmarkEnd w:id="30"/>
    <w:bookmarkEnd w:id="31"/>
    <w:bookmarkStart w:id="34" w:name="timeline-from-wniosek-to-first-action"/>
    <w:p>
      <w:pPr>
        <w:pStyle w:val="Heading3"/>
      </w:pPr>
      <w:r>
        <w:t xml:space="preserve">1.5 Timeline from Wniosek to First Action</w:t>
      </w:r>
    </w:p>
    <w:bookmarkStart w:id="32" w:name="no-statutory-deadline"/>
    <w:p>
      <w:pPr>
        <w:pStyle w:val="Heading4"/>
      </w:pPr>
      <w:r>
        <w:t xml:space="preserve">1.5.1 No Statutory Deadline</w:t>
      </w:r>
    </w:p>
    <w:p>
      <w:pPr>
        <w:pStyle w:val="FirstParagraph"/>
      </w:pPr>
      <w:r>
        <w:t xml:space="preserve">Polish law imposes no strict statutory deadline for the</w:t>
      </w:r>
      <w:r>
        <w:t xml:space="preserve"> </w:t>
      </w:r>
      <w:r>
        <w:rPr>
          <w:iCs/>
          <w:i/>
        </w:rPr>
        <w:t xml:space="preserve">komornik</w:t>
      </w:r>
      <w:r>
        <w:t xml:space="preserve"> </w:t>
      </w:r>
      <w:r>
        <w:t xml:space="preserve">to take the first enforcement action. The</w:t>
      </w:r>
      <w:r>
        <w:t xml:space="preserve"> </w:t>
      </w:r>
      <w:r>
        <w:rPr>
          <w:iCs/>
          <w:i/>
        </w:rPr>
        <w:t xml:space="preserve">komornik</w:t>
      </w:r>
      <w:r>
        <w:t xml:space="preserve"> </w:t>
      </w:r>
      <w:r>
        <w:t xml:space="preserve">must act</w:t>
      </w:r>
      <w:r>
        <w:t xml:space="preserve"> </w:t>
      </w:r>
      <w:r>
        <w:rPr>
          <w:iCs/>
          <w:i/>
        </w:rPr>
        <w:t xml:space="preserve">niezwłocznie</w:t>
      </w:r>
      <w:r>
        <w:t xml:space="preserve"> </w:t>
      </w:r>
      <w:r>
        <w:t xml:space="preserve">(without delay), but this elastic standard depends on</w:t>
      </w:r>
      <w:r>
        <w:t xml:space="preserve"> </w:t>
      </w:r>
      <w:r>
        <w:rPr>
          <w:iCs/>
          <w:i/>
        </w:rPr>
        <w:t xml:space="preserve">kancelaria</w:t>
      </w:r>
      <w:r>
        <w:t xml:space="preserve"> </w:t>
      </w:r>
      <w:r>
        <w:t xml:space="preserve">workload,</w:t>
      </w:r>
      <w:r>
        <w:t xml:space="preserve"> </w:t>
      </w:r>
      <w:r>
        <w:rPr>
          <w:iCs/>
          <w:i/>
        </w:rPr>
        <w:t xml:space="preserve">wniosek</w:t>
      </w:r>
      <w:r>
        <w:t xml:space="preserve"> </w:t>
      </w:r>
      <w:r>
        <w:t xml:space="preserve">completeness,</w:t>
      </w:r>
      <w:r>
        <w:t xml:space="preserve"> </w:t>
      </w:r>
      <w:r>
        <w:rPr>
          <w:iCs/>
          <w:i/>
        </w:rPr>
        <w:t xml:space="preserve">zaliczka</w:t>
      </w:r>
      <w:r>
        <w:t xml:space="preserve"> </w:t>
      </w:r>
      <w:r>
        <w:t xml:space="preserve">status, and whether the creditor indicated specific assets.</w:t>
      </w:r>
      <w:r>
        <w:rPr>
          <w:vertAlign w:val="superscript"/>
        </w:rPr>
        <w:footnoteReference w:id="43"/>
      </w:r>
      <w:r>
        <w:t xml:space="preserve">In practice, the period from submission to the first action ranges from several days to approximately two weeks.</w:t>
      </w:r>
    </w:p>
    <w:p>
      <w:pPr>
        <w:pStyle w:val="BodyText"/>
      </w:pPr>
      <w:r>
        <w:t xml:space="preserve">At the first enforcement action (</w:t>
      </w:r>
      <w:r>
        <w:rPr>
          <w:iCs/>
          <w:i/>
        </w:rPr>
        <w:t xml:space="preserve">pierwsza czynność egzekucyjna</w:t>
      </w:r>
      <w:r>
        <w:t xml:space="preserve">), the</w:t>
      </w:r>
      <w:r>
        <w:t xml:space="preserve"> </w:t>
      </w:r>
      <w:r>
        <w:rPr>
          <w:iCs/>
          <w:i/>
        </w:rPr>
        <w:t xml:space="preserve">komornik</w:t>
      </w:r>
      <w:r>
        <w:t xml:space="preserve"> </w:t>
      </w:r>
      <w:r>
        <w:t xml:space="preserve">must serve the debtor with a</w:t>
      </w:r>
      <w:r>
        <w:t xml:space="preserve"> </w:t>
      </w:r>
      <w:r>
        <w:rPr>
          <w:iCs/>
          <w:i/>
        </w:rPr>
        <w:t xml:space="preserve">zawiadomienie o wszczęciu egzekucji</w:t>
      </w:r>
      <w:r>
        <w:t xml:space="preserve"> </w:t>
      </w:r>
      <w:r>
        <w:t xml:space="preserve">under art. 805 § 1 KPC, including the</w:t>
      </w:r>
      <w:r>
        <w:t xml:space="preserve"> </w:t>
      </w:r>
      <w:r>
        <w:rPr>
          <w:iCs/>
          <w:i/>
        </w:rPr>
        <w:t xml:space="preserve">tytuł wykonawczy</w:t>
      </w:r>
      <w:r>
        <w:t xml:space="preserve"> </w:t>
      </w:r>
      <w:r>
        <w:t xml:space="preserve">content, indicated methods, and</w:t>
      </w:r>
      <w:r>
        <w:t xml:space="preserve"> </w:t>
      </w:r>
      <w:r>
        <w:rPr>
          <w:iCs/>
          <w:i/>
        </w:rPr>
        <w:t xml:space="preserve">pouczenie</w:t>
      </w:r>
      <w:r>
        <w:t xml:space="preserve"> </w:t>
      </w:r>
      <w:r>
        <w:t xml:space="preserve">on challenging the</w:t>
      </w:r>
      <w:r>
        <w:t xml:space="preserve"> </w:t>
      </w:r>
      <w:r>
        <w:rPr>
          <w:iCs/>
          <w:i/>
        </w:rPr>
        <w:t xml:space="preserve">klauzula wykonalności</w:t>
      </w:r>
      <w:r>
        <w:t xml:space="preserve">.</w:t>
      </w:r>
      <w:r>
        <w:rPr>
          <w:vertAlign w:val="superscript"/>
        </w:rPr>
        <w:footnoteReference w:id="44"/>
      </w:r>
      <w:r>
        <w:t xml:space="preserve">For a debtor in the Netherlands, service is effected through the EU Service Regulation, adding typically 4–8 weeks.</w:t>
      </w:r>
      <w:r>
        <w:rPr>
          <w:vertAlign w:val="superscript"/>
        </w:rPr>
        <w:footnoteReference w:id="45"/>
      </w:r>
      <w:r>
        <w:t xml:space="preserve">#### 1.5.2 Bank Account Seizure via OGNIVO</w:t>
      </w:r>
    </w:p>
    <w:p>
      <w:pPr>
        <w:pStyle w:val="BodyText"/>
      </w:pPr>
      <w:r>
        <w:t xml:space="preserve">Bank account seizure is the fastest enforcement method. The</w:t>
      </w:r>
      <w:r>
        <w:t xml:space="preserve"> </w:t>
      </w:r>
      <w:r>
        <w:rPr>
          <w:iCs/>
          <w:i/>
        </w:rPr>
        <w:t xml:space="preserve">komornik</w:t>
      </w:r>
      <w:r>
        <w:t xml:space="preserve"> </w:t>
      </w:r>
      <w:r>
        <w:t xml:space="preserve">initiates an OGNIVO query through the Krajowa Izba Rozliczeniowej (KIR), reaching all 554 Polish banks simultaneously.</w:t>
      </w:r>
      <w:r>
        <w:rPr>
          <w:vertAlign w:val="superscript"/>
        </w:rPr>
        <w:footnoteReference w:id="46"/>
      </w:r>
      <w:r>
        <w:t xml:space="preserve">The response is</w:t>
      </w:r>
      <w:r>
        <w:t xml:space="preserve"> </w:t>
      </w:r>
      <w:r>
        <w:rPr>
          <w:bCs/>
          <w:b/>
        </w:rPr>
        <w:t xml:space="preserve">binary yes/no</w:t>
      </w:r>
      <w:r>
        <w:t xml:space="preserve"> </w:t>
      </w:r>
      <w:r>
        <w:t xml:space="preserve">— it does</w:t>
      </w:r>
      <w:r>
        <w:t xml:space="preserve"> </w:t>
      </w:r>
      <w:r>
        <w:rPr>
          <w:bCs/>
          <w:b/>
        </w:rPr>
        <w:t xml:space="preserve">not</w:t>
      </w:r>
      <w:r>
        <w:t xml:space="preserve"> </w:t>
      </w:r>
      <w:r>
        <w:t xml:space="preserve">reveal balances.</w:t>
      </w:r>
      <w:r>
        <w:rPr>
          <w:vertAlign w:val="superscript"/>
        </w:rPr>
        <w:footnoteReference w:id="47"/>
      </w:r>
      <w:r>
        <w:t xml:space="preserve">If accounts are identified, the</w:t>
      </w:r>
      <w:r>
        <w:t xml:space="preserve"> </w:t>
      </w:r>
      <w:r>
        <w:rPr>
          <w:iCs/>
          <w:i/>
        </w:rPr>
        <w:t xml:space="preserve">komornik</w:t>
      </w:r>
      <w:r>
        <w:t xml:space="preserve"> </w:t>
      </w:r>
      <w:r>
        <w:t xml:space="preserve">sends a seizure notification electronically in real time; the bank must block the account immediately.</w:t>
      </w:r>
    </w:p>
    <w:p>
      <w:pPr>
        <w:pStyle w:val="BodyText"/>
      </w:pPr>
      <w:r>
        <w:t xml:space="preserve">Since a July 2024 amendment to art. 889[2] KPC, banks must transfer seized funds to the</w:t>
      </w:r>
      <w:r>
        <w:t xml:space="preserve"> </w:t>
      </w:r>
      <w:r>
        <w:rPr>
          <w:iCs/>
          <w:i/>
        </w:rPr>
        <w:t xml:space="preserve">komornik</w:t>
      </w:r>
      <w:r>
        <w:t xml:space="preserve"> </w:t>
      </w:r>
      <w:r>
        <w:rPr>
          <w:iCs/>
          <w:i/>
        </w:rPr>
        <w:t xml:space="preserve">bezzwłocznie</w:t>
      </w:r>
      <w:r>
        <w:t xml:space="preserve"> </w:t>
      </w:r>
      <w:r>
        <w:t xml:space="preserve">(immediately), eliminating the prior 7-day bank holding period.</w:t>
      </w:r>
      <w:r>
        <w:rPr>
          <w:vertAlign w:val="superscript"/>
        </w:rPr>
        <w:footnoteReference w:id="48"/>
      </w:r>
      <w:r>
        <w:t xml:space="preserve">The</w:t>
      </w:r>
      <w:r>
        <w:t xml:space="preserve"> </w:t>
      </w:r>
      <w:r>
        <w:rPr>
          <w:iCs/>
          <w:i/>
        </w:rPr>
        <w:t xml:space="preserve">komornik</w:t>
      </w:r>
      <w:r>
        <w:t xml:space="preserve"> </w:t>
      </w:r>
      <w:r>
        <w:t xml:space="preserve">must still hold funds for 7 days before payout to the creditor, giving the debtor time to challenge.</w:t>
      </w:r>
      <w:r>
        <w:rPr>
          <w:vertAlign w:val="superscript"/>
        </w:rPr>
        <w:footnoteReference w:id="49"/>
      </w:r>
      <w:r>
        <w:t xml:space="preserve">From</w:t>
      </w:r>
      <w:r>
        <w:t xml:space="preserve"> </w:t>
      </w:r>
      <w:r>
        <w:rPr>
          <w:iCs/>
          <w:i/>
        </w:rPr>
        <w:t xml:space="preserve">wniosek</w:t>
      </w:r>
      <w:r>
        <w:t xml:space="preserve"> </w:t>
      </w:r>
      <w:r>
        <w:t xml:space="preserve">to potential recovery, the process takes approximately 7–14 days for electronic EPU submissions and 10–21 days for paper submissions.</w:t>
      </w:r>
      <w:r>
        <w:rPr>
          <w:vertAlign w:val="superscript"/>
        </w:rPr>
        <w:footnoteReference w:id="50"/>
      </w:r>
      <w:r>
        <w:t xml:space="preserve">For the GPUcomputer case, the creditor should expect OGNIVO to return positive on the Alior Bank business account (PL84 2490 0005 0000 4530 9127 6540) but with a zero or negligible balance. Business accounts have</w:t>
      </w:r>
      <w:r>
        <w:t xml:space="preserve"> </w:t>
      </w:r>
      <w:r>
        <w:rPr>
          <w:bCs/>
          <w:b/>
        </w:rPr>
        <w:t xml:space="preserve">no</w:t>
      </w:r>
      <w:r>
        <w:t xml:space="preserve"> </w:t>
      </w:r>
      <w:r>
        <w:rPr>
          <w:iCs/>
          <w:i/>
        </w:rPr>
        <w:t xml:space="preserve">kwota wolna</w:t>
      </w:r>
      <w:r>
        <w:t xml:space="preserve"> </w:t>
      </w:r>
      <w:r>
        <w:t xml:space="preserve">protection — unlike personal accounts, shielded up to approximately 3,500 zł monthly (75% of the minimum wage).</w:t>
      </w:r>
      <w:r>
        <w:rPr>
          <w:vertAlign w:val="superscript"/>
        </w:rPr>
        <w:footnoteReference w:id="51"/>
      </w:r>
      <w:r>
        <w:t xml:space="preserve">If any funds are present, the</w:t>
      </w:r>
      <w:r>
        <w:t xml:space="preserve"> </w:t>
      </w:r>
      <w:r>
        <w:rPr>
          <w:iCs/>
          <w:i/>
        </w:rPr>
        <w:t xml:space="preserve">komornik</w:t>
      </w:r>
      <w:r>
        <w:t xml:space="preserve"> </w:t>
      </w:r>
      <w:r>
        <w:t xml:space="preserve">can seize 100% of the business account balance.</w:t>
      </w:r>
    </w:p>
    <w:bookmarkEnd w:id="32"/>
    <w:bookmarkStart w:id="33" w:name="total-estimated-timeline"/>
    <w:p>
      <w:pPr>
        <w:pStyle w:val="Heading4"/>
      </w:pPr>
      <w:r>
        <w:t xml:space="preserve">1.5.3 Total Estimated Timeline</w:t>
      </w:r>
    </w:p>
    <w:p>
      <w:pPr>
        <w:pStyle w:val="FirstParagraph"/>
      </w:pPr>
      <w:r>
        <w:rPr>
          <w:bCs/>
          <w:b/>
        </w:rPr>
        <w:t xml:space="preserve">Table 2: Timeline Comparison — Electronic EPU vs. Paper Submission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Electronic via ST</w:t>
            </w:r>
          </w:p>
        </w:tc>
        <w:tc>
          <w:tcPr/>
          <w:p>
            <w:pPr>
              <w:pStyle w:val="Compact"/>
              <w:jc w:val="left"/>
            </w:pPr>
            <w:r>
              <w:t xml:space="preserve">Traditional Paper</w:t>
            </w:r>
          </w:p>
        </w:tc>
      </w:tr>
      <w:tr>
        <w:tc>
          <w:tcPr/>
          <w:p>
            <w:pPr>
              <w:pStyle w:val="Compact"/>
              <w:jc w:val="left"/>
            </w:pPr>
            <w:r>
              <w:rPr>
                <w:iCs/>
                <w:i/>
              </w:rPr>
              <w:t xml:space="preserve">Wniosek</w:t>
            </w:r>
            <w:r>
              <w:t xml:space="preserve"> </w:t>
            </w:r>
            <w:r>
              <w:t xml:space="preserve">submission</w:t>
            </w:r>
          </w:p>
        </w:tc>
        <w:tc>
          <w:tcPr/>
          <w:p>
            <w:pPr>
              <w:pStyle w:val="Compact"/>
              <w:jc w:val="left"/>
            </w:pPr>
            <w:r>
              <w:t xml:space="preserve">Immediate via</w:t>
            </w:r>
            <w:r>
              <w:t xml:space="preserve"> </w:t>
            </w:r>
            <w:r>
              <w:rPr>
                <w:iCs/>
                <w:i/>
              </w:rPr>
              <w:t xml:space="preserve">e-sad.gov.pl</w:t>
            </w:r>
          </w:p>
        </w:tc>
        <w:tc>
          <w:tcPr/>
          <w:p>
            <w:pPr>
              <w:pStyle w:val="Compact"/>
              <w:jc w:val="left"/>
            </w:pPr>
            <w:r>
              <w:t xml:space="preserve">Postal delivery (1–7 days)</w:t>
            </w:r>
          </w:p>
        </w:tc>
      </w:tr>
      <w:tr>
        <w:tc>
          <w:tcPr/>
          <w:p>
            <w:pPr>
              <w:pStyle w:val="Compact"/>
              <w:jc w:val="left"/>
            </w:pPr>
            <w:r>
              <w:rPr>
                <w:iCs/>
                <w:i/>
              </w:rPr>
              <w:t xml:space="preserve">Komornik</w:t>
            </w:r>
            <w:r>
              <w:t xml:space="preserve"> </w:t>
            </w:r>
            <w:r>
              <w:t xml:space="preserve">registration and review</w:t>
            </w:r>
          </w:p>
        </w:tc>
        <w:tc>
          <w:tcPr/>
          <w:p>
            <w:pPr>
              <w:pStyle w:val="Compact"/>
              <w:jc w:val="left"/>
            </w:pPr>
            <w:r>
              <w:t xml:space="preserve">1–3 business days</w:t>
            </w:r>
          </w:p>
        </w:tc>
        <w:tc>
          <w:tcPr/>
          <w:p>
            <w:pPr>
              <w:pStyle w:val="Compact"/>
              <w:jc w:val="left"/>
            </w:pPr>
            <w:r>
              <w:t xml:space="preserve">1–5 business days after receipt</w:t>
            </w:r>
          </w:p>
        </w:tc>
      </w:tr>
      <w:tr>
        <w:tc>
          <w:tcPr/>
          <w:p>
            <w:pPr>
              <w:pStyle w:val="Compact"/>
              <w:jc w:val="left"/>
            </w:pPr>
            <w:r>
              <w:t xml:space="preserve">OGNIVO query</w:t>
            </w:r>
          </w:p>
        </w:tc>
        <w:tc>
          <w:tcPr/>
          <w:p>
            <w:pPr>
              <w:pStyle w:val="Compact"/>
              <w:jc w:val="left"/>
            </w:pPr>
            <w:r>
              <w:t xml:space="preserve">Same day or next business day</w:t>
            </w:r>
          </w:p>
        </w:tc>
        <w:tc>
          <w:tcPr/>
          <w:p>
            <w:pPr>
              <w:pStyle w:val="Compact"/>
              <w:jc w:val="left"/>
            </w:pPr>
            <w:r>
              <w:t xml:space="preserve">Same day or next business day</w:t>
            </w:r>
          </w:p>
        </w:tc>
      </w:tr>
      <w:tr>
        <w:tc>
          <w:tcPr/>
          <w:p>
            <w:pPr>
              <w:pStyle w:val="Compact"/>
              <w:jc w:val="left"/>
            </w:pPr>
            <w:r>
              <w:t xml:space="preserve">Bank account block</w:t>
            </w:r>
          </w:p>
        </w:tc>
        <w:tc>
          <w:tcPr/>
          <w:p>
            <w:pPr>
              <w:pStyle w:val="Compact"/>
              <w:jc w:val="left"/>
            </w:pPr>
            <w:r>
              <w:t xml:space="preserve">Real-time upon notification</w:t>
            </w:r>
          </w:p>
        </w:tc>
        <w:tc>
          <w:tcPr/>
          <w:p>
            <w:pPr>
              <w:pStyle w:val="Compact"/>
              <w:jc w:val="left"/>
            </w:pPr>
            <w:r>
              <w:t xml:space="preserve">Real-time upon notification</w:t>
            </w:r>
          </w:p>
        </w:tc>
      </w:tr>
      <w:tr>
        <w:tc>
          <w:tcPr/>
          <w:p>
            <w:pPr>
              <w:pStyle w:val="Compact"/>
              <w:jc w:val="left"/>
            </w:pPr>
            <w:r>
              <w:rPr>
                <w:iCs/>
                <w:i/>
              </w:rPr>
              <w:t xml:space="preserve">Zawiadomienie o wszczęciu</w:t>
            </w:r>
            <w:r>
              <w:t xml:space="preserve"> </w:t>
            </w:r>
            <w:r>
              <w:t xml:space="preserve">to debtor</w:t>
            </w:r>
          </w:p>
        </w:tc>
        <w:tc>
          <w:tcPr/>
          <w:p>
            <w:pPr>
              <w:pStyle w:val="Compact"/>
              <w:jc w:val="left"/>
            </w:pPr>
            <w:r>
              <w:t xml:space="preserve">Within days (mailed)</w:t>
            </w:r>
          </w:p>
        </w:tc>
        <w:tc>
          <w:tcPr/>
          <w:p>
            <w:pPr>
              <w:pStyle w:val="Compact"/>
              <w:jc w:val="left"/>
            </w:pPr>
            <w:r>
              <w:t xml:space="preserve">Within days (mailed)</w:t>
            </w:r>
          </w:p>
        </w:tc>
      </w:tr>
      <w:tr>
        <w:tc>
          <w:tcPr/>
          <w:p>
            <w:pPr>
              <w:pStyle w:val="Compact"/>
              <w:jc w:val="left"/>
            </w:pPr>
            <w:r>
              <w:t xml:space="preserve">International service to Netherlands</w:t>
            </w:r>
          </w:p>
        </w:tc>
        <w:tc>
          <w:tcPr/>
          <w:p>
            <w:pPr>
              <w:pStyle w:val="Compact"/>
              <w:jc w:val="left"/>
            </w:pPr>
            <w:r>
              <w:t xml:space="preserve">+4–8 weeks</w:t>
            </w:r>
          </w:p>
        </w:tc>
        <w:tc>
          <w:tcPr/>
          <w:p>
            <w:pPr>
              <w:pStyle w:val="Compact"/>
              <w:jc w:val="left"/>
            </w:pPr>
            <w:r>
              <w:t xml:space="preserve">+4–8 weeks</w:t>
            </w:r>
          </w:p>
        </w:tc>
      </w:tr>
      <w:tr>
        <w:tc>
          <w:tcPr/>
          <w:p>
            <w:pPr>
              <w:pStyle w:val="Compact"/>
              <w:jc w:val="left"/>
            </w:pPr>
            <w:r>
              <w:t xml:space="preserve">Bank transfer of seized funds</w:t>
            </w:r>
          </w:p>
        </w:tc>
        <w:tc>
          <w:tcPr/>
          <w:p>
            <w:pPr>
              <w:pStyle w:val="Compact"/>
              <w:jc w:val="left"/>
            </w:pPr>
            <w:r>
              <w:rPr>
                <w:iCs/>
                <w:i/>
              </w:rPr>
              <w:t xml:space="preserve">Bezzwłocznie</w:t>
            </w:r>
            <w:r>
              <w:t xml:space="preserve"> </w:t>
            </w:r>
            <w:r>
              <w:t xml:space="preserve">(since July 2024)</w:t>
            </w:r>
          </w:p>
        </w:tc>
        <w:tc>
          <w:tcPr/>
          <w:p>
            <w:pPr>
              <w:pStyle w:val="Compact"/>
              <w:jc w:val="left"/>
            </w:pPr>
            <w:r>
              <w:rPr>
                <w:iCs/>
                <w:i/>
              </w:rPr>
              <w:t xml:space="preserve">Bezzwłocznie</w:t>
            </w:r>
            <w:r>
              <w:t xml:space="preserve"> </w:t>
            </w:r>
            <w:r>
              <w:t xml:space="preserve">(since July 2024)</w:t>
            </w:r>
          </w:p>
        </w:tc>
      </w:tr>
      <w:tr>
        <w:tc>
          <w:tcPr/>
          <w:p>
            <w:pPr>
              <w:pStyle w:val="Compact"/>
              <w:jc w:val="left"/>
            </w:pPr>
            <w:r>
              <w:rPr>
                <w:iCs/>
                <w:i/>
              </w:rPr>
              <w:t xml:space="preserve">Komornik</w:t>
            </w:r>
            <w:r>
              <w:t xml:space="preserve"> </w:t>
            </w:r>
            <w:r>
              <w:t xml:space="preserve">holds funds before payout</w:t>
            </w:r>
          </w:p>
        </w:tc>
        <w:tc>
          <w:tcPr/>
          <w:p>
            <w:pPr>
              <w:pStyle w:val="Compact"/>
              <w:jc w:val="left"/>
            </w:pPr>
            <w:r>
              <w:t xml:space="preserve">7 days (statutory)</w:t>
            </w:r>
          </w:p>
        </w:tc>
        <w:tc>
          <w:tcPr/>
          <w:p>
            <w:pPr>
              <w:pStyle w:val="Compact"/>
              <w:jc w:val="left"/>
            </w:pPr>
            <w:r>
              <w:t xml:space="preserve">7 days (statutory)</w:t>
            </w:r>
          </w:p>
        </w:tc>
      </w:tr>
      <w:tr>
        <w:tc>
          <w:tcPr/>
          <w:p>
            <w:pPr>
              <w:pStyle w:val="Compact"/>
              <w:jc w:val="left"/>
            </w:pPr>
            <w:r>
              <w:rPr>
                <w:bCs/>
                <w:b/>
              </w:rPr>
              <w:t xml:space="preserve">Total:</w:t>
            </w:r>
            <w:r>
              <w:rPr>
                <w:bCs/>
                <w:b/>
              </w:rPr>
              <w:t xml:space="preserve"> </w:t>
            </w:r>
            <w:r>
              <w:rPr>
                <w:iCs/>
                <w:i/>
                <w:bCs/>
                <w:b/>
              </w:rPr>
              <w:t xml:space="preserve">wniosek</w:t>
            </w:r>
            <w:r>
              <w:rPr>
                <w:bCs/>
                <w:b/>
              </w:rPr>
              <w:t xml:space="preserve"> </w:t>
            </w:r>
            <w:r>
              <w:rPr>
                <w:bCs/>
                <w:b/>
              </w:rPr>
              <w:t xml:space="preserve">to funds available</w:t>
            </w:r>
          </w:p>
        </w:tc>
        <w:tc>
          <w:tcPr/>
          <w:p>
            <w:pPr>
              <w:pStyle w:val="Compact"/>
              <w:jc w:val="left"/>
            </w:pPr>
            <w:r>
              <w:rPr>
                <w:bCs/>
                <w:b/>
              </w:rPr>
              <w:t xml:space="preserve">~7–14 days</w:t>
            </w:r>
            <w:r>
              <w:t xml:space="preserve"> </w:t>
            </w:r>
            <w:r>
              <w:t xml:space="preserve">(if funded)</w:t>
            </w:r>
          </w:p>
        </w:tc>
        <w:tc>
          <w:tcPr/>
          <w:p>
            <w:pPr>
              <w:pStyle w:val="Compact"/>
              <w:jc w:val="left"/>
            </w:pPr>
            <w:r>
              <w:rPr>
                <w:bCs/>
                <w:b/>
              </w:rPr>
              <w:t xml:space="preserve">~10–21 days</w:t>
            </w:r>
            <w:r>
              <w:t xml:space="preserve"> </w:t>
            </w:r>
            <w:r>
              <w:t xml:space="preserve">(if funded)</w:t>
            </w:r>
          </w:p>
        </w:tc>
      </w:tr>
      <w:tr>
        <w:tc>
          <w:tcPr/>
          <w:p>
            <w:pPr>
              <w:pStyle w:val="Compact"/>
              <w:jc w:val="left"/>
            </w:pPr>
            <w:r>
              <w:rPr>
                <w:bCs/>
                <w:b/>
              </w:rPr>
              <w:t xml:space="preserve">Total with international service</w:t>
            </w:r>
          </w:p>
        </w:tc>
        <w:tc>
          <w:tcPr/>
          <w:p>
            <w:pPr>
              <w:pStyle w:val="Compact"/>
              <w:jc w:val="left"/>
            </w:pPr>
            <w:r>
              <w:rPr>
                <w:bCs/>
                <w:b/>
              </w:rPr>
              <w:t xml:space="preserve">~5–10 weeks</w:t>
            </w:r>
          </w:p>
        </w:tc>
        <w:tc>
          <w:tcPr/>
          <w:p>
            <w:pPr>
              <w:pStyle w:val="Compact"/>
              <w:jc w:val="left"/>
            </w:pPr>
            <w:r>
              <w:rPr>
                <w:bCs/>
                <w:b/>
              </w:rPr>
              <w:t xml:space="preserve">~6–11 weeks</w:t>
            </w:r>
          </w:p>
        </w:tc>
      </w:tr>
    </w:tbl>
    <w:p>
      <w:pPr>
        <w:pStyle w:val="BodyText"/>
      </w:pPr>
      <w:r>
        <w:t xml:space="preserve">For the GPUcomputer claim, the 7–14 day domestic timeline is largely theoretical. With the debtor in the Netherlands and the Polish account likely empty, the meaningful timeline is the one to</w:t>
      </w:r>
      <w:r>
        <w:t xml:space="preserve"> </w:t>
      </w:r>
      <w:r>
        <w:rPr>
          <w:iCs/>
          <w:i/>
        </w:rPr>
        <w:t xml:space="preserve">umorzenie postępowania</w:t>
      </w:r>
      <w:r>
        <w:t xml:space="preserve"> </w:t>
      </w:r>
      <w:r>
        <w:t xml:space="preserve">— not to recovery. The</w:t>
      </w:r>
      <w:r>
        <w:t xml:space="preserve"> </w:t>
      </w:r>
      <w:r>
        <w:rPr>
          <w:iCs/>
          <w:i/>
        </w:rPr>
        <w:t xml:space="preserve">komornik</w:t>
      </w:r>
      <w:r>
        <w:t xml:space="preserve"> </w:t>
      </w:r>
      <w:r>
        <w:t xml:space="preserve">must conduct asset searches, request a</w:t>
      </w:r>
      <w:r>
        <w:t xml:space="preserve"> </w:t>
      </w:r>
      <w:r>
        <w:rPr>
          <w:iCs/>
          <w:i/>
        </w:rPr>
        <w:t xml:space="preserve">wykaz majątku</w:t>
      </w:r>
      <w:r>
        <w:t xml:space="preserve"> </w:t>
      </w:r>
      <w:r>
        <w:t xml:space="preserve">(asset declaration) from the debtor, and await response before issuing the</w:t>
      </w:r>
      <w:r>
        <w:t xml:space="preserve"> </w:t>
      </w:r>
      <w:r>
        <w:rPr>
          <w:iCs/>
          <w:i/>
        </w:rPr>
        <w:t xml:space="preserve">postanowienie o umorzeniu</w:t>
      </w:r>
      <w:r>
        <w:t xml:space="preserve">. This typically extends the proceeding to</w:t>
      </w:r>
      <w:r>
        <w:t xml:space="preserve"> </w:t>
      </w:r>
      <w:r>
        <w:rPr>
          <w:bCs/>
          <w:b/>
        </w:rPr>
        <w:t xml:space="preserve">12–24 months</w:t>
      </w:r>
      <w:r>
        <w:t xml:space="preserve">, depending on caseload and debtor cooperation.</w:t>
      </w:r>
      <w:r>
        <w:rPr>
          <w:vertAlign w:val="superscript"/>
        </w:rPr>
        <w:footnoteReference w:id="52"/>
      </w:r>
      <w:r>
        <w:t xml:space="preserve">The creditor should view this extended timeline not as a delay but as a necessary procedural path: the</w:t>
      </w:r>
      <w:r>
        <w:t xml:space="preserve"> </w:t>
      </w:r>
      <w:r>
        <w:rPr>
          <w:iCs/>
          <w:i/>
        </w:rPr>
        <w:t xml:space="preserve">postanowienie o umorzeniu</w:t>
      </w:r>
      <w:r>
        <w:t xml:space="preserve"> </w:t>
      </w:r>
      <w:r>
        <w:t xml:space="preserve">preserves the claim’s limitation period and triggers the creditor’s tax deduction rights — both discussed in Chapters 3 and 5.</w:t>
      </w:r>
    </w:p>
    <w:p>
      <w:r>
        <w:pict>
          <v:rect style="width:0;height:1.5pt" o:hralign="center" o:hrstd="t" o:hr="t"/>
        </w:pict>
      </w:r>
    </w:p>
    <w:bookmarkEnd w:id="33"/>
    <w:bookmarkEnd w:id="34"/>
    <w:bookmarkEnd w:id="35"/>
    <w:bookmarkStart w:id="53" w:name="X7f51e002366e66919096e3cc89275d0d0e34fae"/>
    <w:p>
      <w:pPr>
        <w:pStyle w:val="Heading2"/>
      </w:pPr>
      <w:r>
        <w:t xml:space="preserve">2. What the Komornik Can Search and Seize in Poland</w:t>
      </w:r>
    </w:p>
    <w:p>
      <w:pPr>
        <w:pStyle w:val="FirstParagraph"/>
      </w:pPr>
      <w:r>
        <w:t xml:space="preserve">A Polish komornik sądowy does not begin enforcement blind. Since the 2010s, the Polish enforcement system has been progressively digitised, giving bailiffs electronic access to most asset registers that matter in a typical enforcement case. The creditor’s task is to understand the scope of these registers, their cost, speed, and — most importantly — their practical value when the debtor is a dormant jednoosobowa działalność gospodarcza (JDG, sole proprietorship) with its operator residing abroad.</w:t>
      </w:r>
    </w:p>
    <w:p>
      <w:pPr>
        <w:pStyle w:val="BodyText"/>
      </w:pPr>
      <w:r>
        <w:t xml:space="preserve">This chapter examines each major search channel available to the komornik: OGNIVO for bank accounts, CEPiK for vehicles, EKW/CBDKW for real estate, ZUS and the tax office (US) for employment and tax data, and the receivables seizure procedure. It concludes with the special rules governing JDG enforcement — the absence of any corporate shield and the broad asset exposure that results.</w:t>
      </w:r>
    </w:p>
    <w:bookmarkStart w:id="39" w:name="ognivo-bank-account-discovery"/>
    <w:p>
      <w:pPr>
        <w:pStyle w:val="Heading3"/>
      </w:pPr>
      <w:r>
        <w:t xml:space="preserve">2.1 OGNIVO — Bank Account Discovery</w:t>
      </w:r>
    </w:p>
    <w:bookmarkStart w:id="36" w:name="system-scope-and-coverage"/>
    <w:p>
      <w:pPr>
        <w:pStyle w:val="Heading4"/>
      </w:pPr>
      <w:r>
        <w:t xml:space="preserve">2.1.1 System Scope and Coverage</w:t>
      </w:r>
    </w:p>
    <w:p>
      <w:pPr>
        <w:pStyle w:val="FirstParagraph"/>
      </w:pPr>
      <w:r>
        <w:t xml:space="preserve">OGNIVO is a fully automated electronic platform operated by Krajowa Izba Rozliczeniowa (KIR) that enables a komornik to query all Polish-licensed banks simultaneously through a single digital request. A single query reaches approximately 39 commercial banks, 492 cooperative banks, and 23 spółdzielcze kasy oszczędziowo-kredytowe (SKOKs) — roughly 554 entities in total — in real time.</w:t>
      </w:r>
      <w:fldSimple w:instr="NOTEREF _Ref_Footnote_1 \h \f">
        <w:r>
          <w:rPr>
            <w:vertAlign w:val="superscript"/>
          </w:rPr>
          <w:t>1</w:t>
        </w:r>
      </w:fldSimple>
      <w:r>
        <w:t xml:space="preserve">The system has been mandatory for komornik use since 2016 under art. 896 § 1 KPC, which requires all bank account seizure notifications to be transmitted electronically.</w:t>
      </w:r>
      <w:fldSimple w:instr="NOTEREF _Ref_Footnote_2 \h \f">
        <w:r>
          <w:rPr>
            <w:vertAlign w:val="superscript"/>
          </w:rPr>
          <w:t>2</w:t>
        </w:r>
      </w:fldSimple>
      <w:r>
        <w:t xml:space="preserve">The coverage is comprehensive for the Polish banking sector but has a notable gap: foreign-licensed fintechs operating in Poland — such as Revolut, ZEN, Dipocket, and Wise — are not integrated into OGNIVO.</w:t>
      </w:r>
      <w:fldSimple w:instr="NOTEREF _Ref_Footnote_3 \h \f">
        <w:r>
          <w:rPr>
            <w:vertAlign w:val="superscript"/>
          </w:rPr>
          <w:t>3</w:t>
        </w:r>
      </w:fldSimple>
      <w:r>
        <w:t xml:space="preserve">These institutions do, however, generally cooperate with Polish enforcement organs upon direct inquiry, meaning the komornik can still reach them through conventional correspondence, albeit more slowly.</w:t>
      </w:r>
    </w:p>
    <w:bookmarkEnd w:id="36"/>
    <w:bookmarkStart w:id="37" w:name="what-ognivo-reveals-and-what-it-does-not"/>
    <w:p>
      <w:pPr>
        <w:pStyle w:val="Heading4"/>
      </w:pPr>
      <w:r>
        <w:t xml:space="preserve">2.1.2 What OGNIVO Reveals (and What It Does Not)</w:t>
      </w:r>
    </w:p>
    <w:p>
      <w:pPr>
        <w:pStyle w:val="FirstParagraph"/>
      </w:pPr>
      <w:r>
        <w:t xml:space="preserve">The OGNIVO query response is binary: the bank answers only</w:t>
      </w:r>
      <w:r>
        <w:t xml:space="preserve"> </w:t>
      </w:r>
      <w:r>
        <w:t xml:space="preserve">“</w:t>
      </w:r>
      <w:r>
        <w:t xml:space="preserve">yes</w:t>
      </w:r>
      <w:r>
        <w:t xml:space="preserve">”</w:t>
      </w:r>
      <w:r>
        <w:t xml:space="preserve"> </w:t>
      </w:r>
      <w:r>
        <w:t xml:space="preserve">(account exists) or</w:t>
      </w:r>
      <w:r>
        <w:t xml:space="preserve"> </w:t>
      </w:r>
      <w:r>
        <w:t xml:space="preserve">“</w:t>
      </w:r>
      <w:r>
        <w:t xml:space="preserve">no</w:t>
      </w:r>
      <w:r>
        <w:t xml:space="preserve">”</w:t>
      </w:r>
      <w:r>
        <w:t xml:space="preserve"> </w:t>
      </w:r>
      <w:r>
        <w:t xml:space="preserve">(no account).</w:t>
      </w:r>
      <w:fldSimple w:instr="NOTEREF _Ref_Footnote_4 \h \f">
        <w:r>
          <w:rPr>
            <w:vertAlign w:val="superscript"/>
          </w:rPr>
          <w:t>4</w:t>
        </w:r>
      </w:fldSimple>
      <w:r>
        <w:t xml:space="preserve">The komornik does</w:t>
      </w:r>
      <w:r>
        <w:t xml:space="preserve"> </w:t>
      </w:r>
      <w:r>
        <w:rPr>
          <w:bCs/>
          <w:b/>
        </w:rPr>
        <w:t xml:space="preserve">not</w:t>
      </w:r>
      <w:r>
        <w:t xml:space="preserve"> </w:t>
      </w:r>
      <w:r>
        <w:t xml:space="preserve">receive account numbers, balances, transaction history, or any other account details in the initial query response. Only after receiving a positive response does the komornik send a second electronic message — a seizure notice (</w:t>
      </w:r>
      <w:r>
        <w:rPr>
          <w:iCs/>
          <w:i/>
        </w:rPr>
        <w:t xml:space="preserve">zawiadomienie o zajęciu</w:t>
      </w:r>
      <w:r>
        <w:t xml:space="preserve">) — to the specific bank, which then blocks the account and reports the account number and current balance.</w:t>
      </w:r>
      <w:fldSimple w:instr="NOTEREF _Ref_Footnote_5 \h \f">
        <w:r>
          <w:rPr>
            <w:vertAlign w:val="superscript"/>
          </w:rPr>
          <w:t>5</w:t>
        </w:r>
      </w:fldSimple>
      <w:r>
        <w:t xml:space="preserve">This two-step structure matters for creditors. The komornik cannot assess whether an account is worth seizing until after the seizure has already been effected. From the creditor’s perspective, this is a feature, not a bug: it means the komornik will seize accounts even with zero or minimal balances, because the cost of doing so is negligible and the seizure may capture future deposits.</w:t>
      </w:r>
    </w:p>
    <w:p>
      <w:pPr>
        <w:pStyle w:val="BodyText"/>
      </w:pPr>
      <w:r>
        <w:rPr>
          <w:bCs/>
          <w:b/>
        </w:rPr>
        <w:t xml:space="preserve">Table 1: OGNIVO System Details — Cost, Speed, and Scope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Detail</w:t>
            </w:r>
          </w:p>
        </w:tc>
        <w:tc>
          <w:tcPr/>
          <w:p>
            <w:pPr>
              <w:pStyle w:val="Compact"/>
              <w:jc w:val="left"/>
            </w:pPr>
            <w:r>
              <w:t xml:space="preserve">Notes</w:t>
            </w:r>
          </w:p>
        </w:tc>
      </w:tr>
      <w:tr>
        <w:tc>
          <w:tcPr/>
          <w:p>
            <w:pPr>
              <w:pStyle w:val="Compact"/>
              <w:jc w:val="left"/>
            </w:pPr>
            <w:r>
              <w:t xml:space="preserve">Banks covered</w:t>
            </w:r>
          </w:p>
        </w:tc>
        <w:tc>
          <w:tcPr/>
          <w:p>
            <w:pPr>
              <w:pStyle w:val="Compact"/>
              <w:jc w:val="left"/>
            </w:pPr>
            <w:r>
              <w:t xml:space="preserve">~554 entities (39 commercial + 492 cooperative + 23 SKOKs)</w:t>
            </w:r>
          </w:p>
        </w:tc>
        <w:tc>
          <w:tcPr/>
          <w:p>
            <w:pPr>
              <w:pStyle w:val="Compact"/>
              <w:jc w:val="left"/>
            </w:pPr>
            <w:r>
              <w:t xml:space="preserve">Excludes foreign-licensed fintechs (Revolut, Wise, ZEN)</w:t>
            </w:r>
          </w:p>
        </w:tc>
      </w:tr>
      <w:tr>
        <w:tc>
          <w:tcPr/>
          <w:p>
            <w:pPr>
              <w:pStyle w:val="Compact"/>
              <w:jc w:val="left"/>
            </w:pPr>
            <w:r>
              <w:t xml:space="preserve">Query response</w:t>
            </w:r>
          </w:p>
        </w:tc>
        <w:tc>
          <w:tcPr/>
          <w:p>
            <w:pPr>
              <w:pStyle w:val="Compact"/>
              <w:jc w:val="left"/>
            </w:pPr>
            <w:r>
              <w:t xml:space="preserve">Binary: account yes/no per bank</w:t>
            </w:r>
          </w:p>
        </w:tc>
        <w:tc>
          <w:tcPr/>
          <w:p>
            <w:pPr>
              <w:pStyle w:val="Compact"/>
              <w:jc w:val="left"/>
            </w:pPr>
            <w:r>
              <w:t xml:space="preserve">No balance, no account number, no history</w:t>
            </w:r>
          </w:p>
        </w:tc>
      </w:tr>
      <w:tr>
        <w:tc>
          <w:tcPr/>
          <w:p>
            <w:pPr>
              <w:pStyle w:val="Compact"/>
              <w:jc w:val="left"/>
            </w:pPr>
            <w:r>
              <w:t xml:space="preserve">Legal basis</w:t>
            </w:r>
          </w:p>
        </w:tc>
        <w:tc>
          <w:tcPr/>
          <w:p>
            <w:pPr>
              <w:pStyle w:val="Compact"/>
              <w:jc w:val="left"/>
            </w:pPr>
            <w:r>
              <w:t xml:space="preserve">art. 896 § 1 KPC (mandatory electronic seizure)</w:t>
            </w:r>
          </w:p>
        </w:tc>
        <w:tc>
          <w:tcPr/>
          <w:p>
            <w:pPr>
              <w:pStyle w:val="Compact"/>
              <w:jc w:val="left"/>
            </w:pPr>
            <w:r>
              <w:t xml:space="preserve">art. 889-893 KPC (enforcement from bank accounts)</w:t>
            </w:r>
          </w:p>
        </w:tc>
      </w:tr>
      <w:tr>
        <w:tc>
          <w:tcPr/>
          <w:p>
            <w:pPr>
              <w:pStyle w:val="Compact"/>
              <w:jc w:val="left"/>
            </w:pPr>
            <w:r>
              <w:t xml:space="preserve">Query cost</w:t>
            </w:r>
          </w:p>
        </w:tc>
        <w:tc>
          <w:tcPr/>
          <w:p>
            <w:pPr>
              <w:pStyle w:val="Compact"/>
              <w:jc w:val="left"/>
            </w:pPr>
            <w:r>
              <w:t xml:space="preserve">0–129.70 zł (subscription vs. per-query billing)</w:t>
            </w:r>
          </w:p>
        </w:tc>
        <w:tc>
          <w:tcPr/>
          <w:p>
            <w:pPr>
              <w:pStyle w:val="Compact"/>
              <w:jc w:val="left"/>
            </w:pPr>
            <w:r>
              <w:t xml:space="preserve">22.75 zł commercial banks + 106.95 zł cooperative banks</w:t>
            </w:r>
          </w:p>
        </w:tc>
      </w:tr>
      <w:tr>
        <w:tc>
          <w:tcPr/>
          <w:p>
            <w:pPr>
              <w:pStyle w:val="Compact"/>
              <w:jc w:val="left"/>
            </w:pPr>
            <w:r>
              <w:t xml:space="preserve">Seizure notice cost</w:t>
            </w:r>
          </w:p>
        </w:tc>
        <w:tc>
          <w:tcPr/>
          <w:p>
            <w:pPr>
              <w:pStyle w:val="Compact"/>
              <w:jc w:val="left"/>
            </w:pPr>
            <w:r>
              <w:t xml:space="preserve">~0.62 zł per bank (electronic delivery)</w:t>
            </w:r>
          </w:p>
        </w:tc>
        <w:tc>
          <w:tcPr/>
          <w:p>
            <w:pPr>
              <w:pStyle w:val="Compact"/>
              <w:jc w:val="left"/>
            </w:pPr>
            <w:r>
              <w:t xml:space="preserve">Charged only for banks returning positive responses</w:t>
            </w:r>
          </w:p>
        </w:tc>
      </w:tr>
      <w:tr>
        <w:tc>
          <w:tcPr/>
          <w:p>
            <w:pPr>
              <w:pStyle w:val="Compact"/>
              <w:jc w:val="left"/>
            </w:pPr>
            <w:r>
              <w:t xml:space="preserve">Response time</w:t>
            </w:r>
          </w:p>
        </w:tc>
        <w:tc>
          <w:tcPr/>
          <w:p>
            <w:pPr>
              <w:pStyle w:val="Compact"/>
              <w:jc w:val="left"/>
            </w:pPr>
            <w:r>
              <w:t xml:space="preserve">Hours to same-day</w:t>
            </w:r>
          </w:p>
        </w:tc>
        <w:tc>
          <w:tcPr/>
          <w:p>
            <w:pPr>
              <w:pStyle w:val="Compact"/>
              <w:jc w:val="left"/>
            </w:pPr>
            <w:r>
              <w:t xml:space="preserve">Bank systems respond automatically in real time</w:t>
            </w:r>
          </w:p>
        </w:tc>
      </w:tr>
      <w:tr>
        <w:tc>
          <w:tcPr/>
          <w:p>
            <w:pPr>
              <w:pStyle w:val="Compact"/>
              <w:jc w:val="left"/>
            </w:pPr>
            <w:r>
              <w:t xml:space="preserve">7-day holding period</w:t>
            </w:r>
          </w:p>
        </w:tc>
        <w:tc>
          <w:tcPr/>
          <w:p>
            <w:pPr>
              <w:pStyle w:val="Compact"/>
              <w:jc w:val="left"/>
            </w:pPr>
            <w:r>
              <w:t xml:space="preserve">Bank must withhold funds for 7 days before transfer</w:t>
            </w:r>
          </w:p>
        </w:tc>
        <w:tc>
          <w:tcPr/>
          <w:p>
            <w:pPr>
              <w:pStyle w:val="Compact"/>
              <w:jc w:val="left"/>
            </w:pPr>
            <w:r>
              <w:t xml:space="preserve">Protects debtor’s right to challenge</w:t>
            </w:r>
          </w:p>
        </w:tc>
      </w:tr>
      <w:tr>
        <w:tc>
          <w:tcPr/>
          <w:p>
            <w:pPr>
              <w:pStyle w:val="Compact"/>
              <w:jc w:val="left"/>
            </w:pPr>
            <w:r>
              <w:t xml:space="preserve">Future deposits</w:t>
            </w:r>
          </w:p>
        </w:tc>
        <w:tc>
          <w:tcPr/>
          <w:p>
            <w:pPr>
              <w:pStyle w:val="Compact"/>
              <w:jc w:val="left"/>
            </w:pPr>
            <w:r>
              <w:t xml:space="preserve">Seizure covers all deposits after seizure date</w:t>
            </w:r>
          </w:p>
        </w:tc>
        <w:tc>
          <w:tcPr/>
          <w:p>
            <w:pPr>
              <w:pStyle w:val="Compact"/>
              <w:jc w:val="left"/>
            </w:pPr>
            <w:r>
              <w:t xml:space="preserve">art. 890 KPC; account can be empty at seizure time</w:t>
            </w:r>
          </w:p>
        </w:tc>
      </w:tr>
    </w:tbl>
    <w:bookmarkEnd w:id="37"/>
    <w:bookmarkStart w:id="38" w:name="Xf0c7731677ea95b1da85d1a812799be401adeac"/>
    <w:p>
      <w:pPr>
        <w:pStyle w:val="Heading4"/>
      </w:pPr>
      <w:r>
        <w:t xml:space="preserve">2.1.3 No Minimum Balance and the Future Deposit Trap</w:t>
      </w:r>
    </w:p>
    <w:p>
      <w:pPr>
        <w:pStyle w:val="FirstParagraph"/>
      </w:pPr>
      <w:r>
        <w:t xml:space="preserve">There is</w:t>
      </w:r>
      <w:r>
        <w:t xml:space="preserve"> </w:t>
      </w:r>
      <w:r>
        <w:rPr>
          <w:bCs/>
          <w:b/>
        </w:rPr>
        <w:t xml:space="preserve">no minimum balance threshold</w:t>
      </w:r>
      <w:r>
        <w:t xml:space="preserve"> </w:t>
      </w:r>
      <w:r>
        <w:t xml:space="preserve">below which a bank account cannot be seized. An account with 0.01 zł or zero balance is fully seizable. Under art. 890 KPC, seizure covers not only funds present at the time of seizure but also all amounts deposited</w:t>
      </w:r>
      <w:r>
        <w:t xml:space="preserve"> </w:t>
      </w:r>
      <w:r>
        <w:rPr>
          <w:iCs/>
          <w:i/>
        </w:rPr>
        <w:t xml:space="preserve">after</w:t>
      </w:r>
      <w:r>
        <w:t xml:space="preserve"> </w:t>
      </w:r>
      <w:r>
        <w:t xml:space="preserve">the seizure.</w:t>
      </w:r>
      <w:fldSimple w:instr="NOTEREF _Ref_Footnote_6 \h \f">
        <w:r>
          <w:rPr>
            <w:vertAlign w:val="superscript"/>
          </w:rPr>
          <w:t>6</w:t>
        </w:r>
      </w:fldSimple>
      <w:r>
        <w:t xml:space="preserve">The komornik can maintain the seizure for the entire duration of enforcement proceedings, meaning any future salary, transfer, or other inflow is automatically intercepted by the bank.</w:t>
      </w:r>
    </w:p>
    <w:p>
      <w:pPr>
        <w:pStyle w:val="BodyText"/>
      </w:pPr>
      <w:r>
        <w:t xml:space="preserve">The only protection available to the debtor on a</w:t>
      </w:r>
      <w:r>
        <w:t xml:space="preserve"> </w:t>
      </w:r>
      <w:r>
        <w:rPr>
          <w:bCs/>
          <w:b/>
        </w:rPr>
        <w:t xml:space="preserve">personal</w:t>
      </w:r>
      <w:r>
        <w:t xml:space="preserve"> </w:t>
      </w:r>
      <w:r>
        <w:t xml:space="preserve">bank account is the</w:t>
      </w:r>
      <w:r>
        <w:t xml:space="preserve"> </w:t>
      </w:r>
      <w:r>
        <w:rPr>
          <w:iCs/>
          <w:i/>
        </w:rPr>
        <w:t xml:space="preserve">kwota wolna</w:t>
      </w:r>
      <w:r>
        <w:t xml:space="preserve"> </w:t>
      </w:r>
      <w:r>
        <w:t xml:space="preserve">(free amount), set at 75% of the minimum gross monthly wage — 3,499.50 zł as of January 2025.</w:t>
      </w:r>
      <w:fldSimple w:instr="NOTEREF _Ref_Footnote_7 \h \f">
        <w:r>
          <w:rPr>
            <w:vertAlign w:val="superscript"/>
          </w:rPr>
          <w:t>7</w:t>
        </w:r>
      </w:fldSimple>
      <w:r>
        <w:t xml:space="preserve">Each month, the bank leaves this amount available to the debtor and transfers everything above it to the komornik. The</w:t>
      </w:r>
      <w:r>
        <w:t xml:space="preserve"> </w:t>
      </w:r>
      <w:r>
        <w:rPr>
          <w:iCs/>
          <w:i/>
        </w:rPr>
        <w:t xml:space="preserve">kwota wolna</w:t>
      </w:r>
      <w:r>
        <w:t xml:space="preserve"> </w:t>
      </w:r>
      <w:r>
        <w:t xml:space="preserve">does not accumulate: unused protection in one month does not carry over to the next.</w:t>
      </w:r>
    </w:p>
    <w:p>
      <w:pPr>
        <w:pStyle w:val="BodyText"/>
      </w:pPr>
      <w:r>
        <w:t xml:space="preserve">Certain income types are entirely exempt regardless of the</w:t>
      </w:r>
      <w:r>
        <w:t xml:space="preserve"> </w:t>
      </w:r>
      <w:r>
        <w:rPr>
          <w:iCs/>
          <w:i/>
        </w:rPr>
        <w:t xml:space="preserve">kwota wolna</w:t>
      </w:r>
      <w:r>
        <w:t xml:space="preserve">: alimony payments received, family benefits (</w:t>
      </w:r>
      <w:r>
        <w:rPr>
          <w:iCs/>
          <w:i/>
        </w:rPr>
        <w:t xml:space="preserve">świadczenia rodzinne</w:t>
      </w:r>
      <w:r>
        <w:t xml:space="preserve">), social assistance, caregiver allowances, and the</w:t>
      </w:r>
      <w:r>
        <w:t xml:space="preserve"> </w:t>
      </w:r>
      <w:r>
        <w:t xml:space="preserve">“</w:t>
      </w:r>
      <w:r>
        <w:t xml:space="preserve">800+</w:t>
      </w:r>
      <w:r>
        <w:t xml:space="preserve">”</w:t>
      </w:r>
      <w:r>
        <w:t xml:space="preserve"> </w:t>
      </w:r>
      <w:r>
        <w:t xml:space="preserve">child benefit, among others listed in art. 833 § 6 KPC.</w:t>
      </w:r>
      <w:fldSimple w:instr="NOTEREF _Ref_Footnote_8 \h \f">
        <w:r>
          <w:rPr>
            <w:vertAlign w:val="superscript"/>
          </w:rPr>
          <w:t>8</w:t>
        </w:r>
      </w:fldSimple>
      <w:r>
        <w:t xml:space="preserve">#### 2.1.4 The Known Alior Account — Providing Information in the Wniosek</w:t>
      </w:r>
    </w:p>
    <w:p>
      <w:pPr>
        <w:pStyle w:val="BodyText"/>
      </w:pPr>
      <w:r>
        <w:t xml:space="preserve">The creditor should indicate the known Alior bank account — PL84 2490 0005 0000 4530 9127 6540 — in section 6.2 of the</w:t>
      </w:r>
      <w:r>
        <w:t xml:space="preserve"> </w:t>
      </w:r>
      <w:r>
        <w:rPr>
          <w:iCs/>
          <w:i/>
        </w:rPr>
        <w:t xml:space="preserve">wniosek o wszczęcie egzekucji</w:t>
      </w:r>
      <w:r>
        <w:t xml:space="preserve"> </w:t>
      </w:r>
      <w:r>
        <w:t xml:space="preserve">(</w:t>
      </w:r>
      <w:r>
        <w:t xml:space="preserve">“</w:t>
      </w:r>
      <w:r>
        <w:t xml:space="preserve">Inne składniki majątkowe</w:t>
      </w:r>
      <w:r>
        <w:t xml:space="preserve">”</w:t>
      </w:r>
      <w:r>
        <w:t xml:space="preserve">).</w:t>
      </w:r>
      <w:fldSimple w:instr="NOTEREF _Ref_Footnote_9 \h \f">
        <w:r>
          <w:rPr>
            <w:vertAlign w:val="superscript"/>
          </w:rPr>
          <w:t>9</w:t>
        </w:r>
      </w:fldSimple>
      <w:r>
        <w:t xml:space="preserve">The IBAN’s bank clearing code 2490 corresponds to Alior Bank S.A. While art. 889 KPC makes a seizure notice effective even without specifying the account number, providing the full number allows the komornik to bypass the OGNIVO search phase and send a seizure notice directly to Alior, saving both time and query cost.</w:t>
      </w:r>
      <w:fldSimple w:instr="NOTEREF _Ref_Footnote_10 \h \f">
        <w:r>
          <w:rPr>
            <w:vertAlign w:val="superscript"/>
          </w:rPr>
          <w:t>10</w:t>
        </w:r>
      </w:fldSimple>
      <w:r>
        <w:t xml:space="preserve">The creditor should also request a full OGNIVO search in parallel, because the debtor may hold accounts at other Polish banks unknown to the creditor.</w:t>
      </w:r>
    </w:p>
    <w:p>
      <w:pPr>
        <w:pStyle w:val="BodyText"/>
      </w:pPr>
      <w:r>
        <w:t xml:space="preserve">A critical distinction applies here. The account in question appears to be a</w:t>
      </w:r>
      <w:r>
        <w:t xml:space="preserve"> </w:t>
      </w:r>
      <w:r>
        <w:rPr>
          <w:bCs/>
          <w:b/>
        </w:rPr>
        <w:t xml:space="preserve">business account</w:t>
      </w:r>
      <w:r>
        <w:t xml:space="preserve"> </w:t>
      </w:r>
      <w:r>
        <w:t xml:space="preserve">associated with the JDG. Under established practice and art. 54</w:t>
      </w:r>
      <w:r>
        <w:t xml:space="preserve"> </w:t>
      </w:r>
      <w:r>
        <w:rPr>
          <w:iCs/>
          <w:i/>
        </w:rPr>
        <w:t xml:space="preserve">Prawa bankowego</w:t>
      </w:r>
      <w:r>
        <w:t xml:space="preserve">, business accounts have</w:t>
      </w:r>
      <w:r>
        <w:t xml:space="preserve"> </w:t>
      </w:r>
      <w:r>
        <w:rPr>
          <w:bCs/>
          <w:b/>
        </w:rPr>
        <w:t xml:space="preserve">zero</w:t>
      </w:r>
      <w:r>
        <w:t xml:space="preserve"> </w:t>
      </w:r>
      <w:r>
        <w:rPr>
          <w:iCs/>
          <w:i/>
        </w:rPr>
        <w:t xml:space="preserve">kwota wolna</w:t>
      </w:r>
      <w:r>
        <w:t xml:space="preserve"> </w:t>
      </w:r>
      <w:r>
        <w:t xml:space="preserve">protection.</w:t>
      </w:r>
      <w:fldSimple w:instr="NOTEREF _Ref_Footnote_11 \h \f">
        <w:r>
          <w:rPr>
            <w:vertAlign w:val="superscript"/>
          </w:rPr>
          <w:t>11</w:t>
        </w:r>
      </w:fldSimple>
      <w:r>
        <w:t xml:space="preserve">The komornik can seize 100% of funds on a business account. Only funds demonstrably necessary for employee salary and ZUS contribution payments are potentially shielded, and even that protection requires the entrepreneur to submit a current payroll list. For a dormant JDG with no employees, the business account is fully exposed.</w:t>
      </w:r>
    </w:p>
    <w:bookmarkEnd w:id="38"/>
    <w:bookmarkEnd w:id="39"/>
    <w:bookmarkStart w:id="40" w:name="cepik-vehicle-register"/>
    <w:p>
      <w:pPr>
        <w:pStyle w:val="Heading3"/>
      </w:pPr>
      <w:r>
        <w:t xml:space="preserve">2.2 CEPiK — Vehicle Register</w:t>
      </w:r>
    </w:p>
    <w:p>
      <w:pPr>
        <w:pStyle w:val="FirstParagraph"/>
      </w:pPr>
      <w:r>
        <w:t xml:space="preserve">CEPiK (Centralna Ewidencja Pojazdów i Kierowców) is Poland’s national vehicle and driver register. Komornicy have free, immediate electronic access through multiple IT systems including BEPI and EPU integration.</w:t>
      </w:r>
      <w:fldSimple w:instr="NOTEREF _Ref_Footnote_12 \h \f">
        <w:r>
          <w:rPr>
            <w:vertAlign w:val="superscript"/>
          </w:rPr>
          <w:t>12</w:t>
        </w:r>
      </w:fldSimple>
      <w:r>
        <w:t xml:space="preserve">A query using the debtor’s PESEL returns the full list of registered vehicles: make, model, year of production, VIN, registration number, owner and holder data, and mandatory third-party liability insurance status. The query is free of charge and responses are available within one business day.</w:t>
      </w:r>
      <w:fldSimple w:instr="NOTEREF _Ref_Footnote_13 \h \f">
        <w:r>
          <w:rPr>
            <w:vertAlign w:val="superscript"/>
          </w:rPr>
          <w:t>13</w:t>
        </w:r>
      </w:fldSimple>
      <w:r>
        <w:t xml:space="preserve">Vehicle seizure itself is governed by art. 845 KPC, which permits the komornik to seize movable property in the debtor’s possession or in the possession of a third party who agrees.</w:t>
      </w:r>
      <w:fldSimple w:instr="NOTEREF _Ref_Footnote_14 \h \f">
        <w:r>
          <w:rPr>
            <w:vertAlign w:val="superscript"/>
          </w:rPr>
          <w:t>14</w:t>
        </w:r>
      </w:fldSimple>
      <w:r>
        <w:t xml:space="preserve">However, certain vehicles are protected from seizure: a car used for personal income-generating purposes (e.g., a taxi driver’s vehicle), or the sole and necessary means of transport for a person with disabilities or in transport exclusion.</w:t>
      </w:r>
      <w:fldSimple w:instr="NOTEREF _Ref_Footnote_15 \h \f">
        <w:r>
          <w:rPr>
            <w:vertAlign w:val="superscript"/>
          </w:rPr>
          <w:t>15</w:t>
        </w:r>
      </w:fldSimple>
      <w:r>
        <w:t xml:space="preserve">For the enforcement of a claim against a dormant JDG whose operator works abroad, CEPiK has limited practical value. A Netherlands-resident debtor is unlikely to maintain registered vehicles in Poland. Nonetheless, the query costs nothing and takes one day, so the komornik will typically run it as part of routine asset discovery. If a vehicle is found, its age, type, and estimated market value will determine whether seizure and auction are worthwhile.</w:t>
      </w:r>
    </w:p>
    <w:bookmarkEnd w:id="40"/>
    <w:bookmarkStart w:id="43" w:name="ekw-land-and-mortgage-registers"/>
    <w:p>
      <w:pPr>
        <w:pStyle w:val="Heading3"/>
      </w:pPr>
      <w:r>
        <w:t xml:space="preserve">2.3 EKW / Land and Mortgage Registers</w:t>
      </w:r>
    </w:p>
    <w:bookmarkStart w:id="41" w:name="X43dafe94d24eea60eaab1305a5ed5717246cb55"/>
    <w:p>
      <w:pPr>
        <w:pStyle w:val="Heading4"/>
      </w:pPr>
      <w:r>
        <w:t xml:space="preserve">2.3.1 CBDKW Access — Nationwide Real Estate Search by Name</w:t>
      </w:r>
    </w:p>
    <w:p>
      <w:pPr>
        <w:pStyle w:val="FirstParagraph"/>
      </w:pPr>
      <w:r>
        <w:t xml:space="preserve">The komornik has privileged access to the Centralna Baza Danych Ksiąg Wieczystych (CBDKW), the central database of land and mortgage registers. Unlike the public EKW portal, which requires the user to know the specific land register number (</w:t>
      </w:r>
      <w:r>
        <w:rPr>
          <w:iCs/>
          <w:i/>
        </w:rPr>
        <w:t xml:space="preserve">numer księgi wieczystej</w:t>
      </w:r>
      <w:r>
        <w:t xml:space="preserve">), komornicy can search by debtor name and PESEL to find</w:t>
      </w:r>
      <w:r>
        <w:t xml:space="preserve"> </w:t>
      </w:r>
      <w:r>
        <w:rPr>
          <w:bCs/>
          <w:b/>
        </w:rPr>
        <w:t xml:space="preserve">all</w:t>
      </w:r>
      <w:r>
        <w:t xml:space="preserve"> </w:t>
      </w:r>
      <w:r>
        <w:t xml:space="preserve">real estate owned by the debtor across Poland.</w:t>
      </w:r>
      <w:fldSimple w:instr="NOTEREF _Ref_Footnote_16 \h \f">
        <w:r>
          <w:rPr>
            <w:vertAlign w:val="superscript"/>
          </w:rPr>
          <w:t>16</w:t>
        </w:r>
      </w:fldSimple>
      <w:r>
        <w:t xml:space="preserve">This access was established by the 2013 amendment to the</w:t>
      </w:r>
      <w:r>
        <w:t xml:space="preserve"> </w:t>
      </w:r>
      <w:r>
        <w:rPr>
          <w:iCs/>
          <w:i/>
        </w:rPr>
        <w:t xml:space="preserve">ustawa o księgach wieczystych i hipotece</w:t>
      </w:r>
      <w:r>
        <w:t xml:space="preserve"> </w:t>
      </w:r>
      <w:r>
        <w:t xml:space="preserve">(art. 364 ust. 8 pkt 6) and requires prior authorisation from the Minister of Justice for repeated, time-unlimited searches.</w:t>
      </w:r>
      <w:fldSimple w:instr="NOTEREF _Ref_Footnote_17 \h \f">
        <w:r>
          <w:rPr>
            <w:vertAlign w:val="superscript"/>
          </w:rPr>
          <w:t>17</w:t>
        </w:r>
      </w:fldSimple>
      <w:r>
        <w:t xml:space="preserve">The search costs approximately 20 zł and returns immediate results, revealing: property ownership and share percentages, existing mortgages (</w:t>
      </w:r>
      <w:r>
        <w:rPr>
          <w:iCs/>
          <w:i/>
        </w:rPr>
        <w:t xml:space="preserve">hipoteki</w:t>
      </w:r>
      <w:r>
        <w:t xml:space="preserve">), easements (</w:t>
      </w:r>
      <w:r>
        <w:rPr>
          <w:iCs/>
          <w:i/>
        </w:rPr>
        <w:t xml:space="preserve">służebności</w:t>
      </w:r>
      <w:r>
        <w:t xml:space="preserve">), and other encumbrances.</w:t>
      </w:r>
      <w:fldSimple w:instr="NOTEREF _Ref_Footnote_18 \h \f">
        <w:r>
          <w:rPr>
            <w:vertAlign w:val="superscript"/>
          </w:rPr>
          <w:t>18</w:t>
        </w:r>
      </w:fldSimple>
      <w:r>
        <w:t xml:space="preserve">For a debtor with a virtual office in Kraków and residence abroad, this search serves primarily to confirm the absence of Polish real estate — but if property is found, it represents the most significant asset class available for enforcement.</w:t>
      </w:r>
    </w:p>
    <w:bookmarkEnd w:id="41"/>
    <w:bookmarkStart w:id="42" w:name="hipoteka-przymusowa-forced-mortgage"/>
    <w:p>
      <w:pPr>
        <w:pStyle w:val="Heading4"/>
      </w:pPr>
      <w:r>
        <w:t xml:space="preserve">2.3.2 Hipoteka Przymusowa (Forced Mortgage)</w:t>
      </w:r>
    </w:p>
    <w:p>
      <w:pPr>
        <w:pStyle w:val="FirstParagraph"/>
      </w:pPr>
      <w:r>
        <w:t xml:space="preserve">The creditor holding a</w:t>
      </w:r>
      <w:r>
        <w:t xml:space="preserve"> </w:t>
      </w:r>
      <w:r>
        <w:rPr>
          <w:iCs/>
          <w:i/>
        </w:rPr>
        <w:t xml:space="preserve">tytuł wykonawczy</w:t>
      </w:r>
      <w:r>
        <w:t xml:space="preserve"> </w:t>
      </w:r>
      <w:r>
        <w:t xml:space="preserve">may obtain a forced mortgage (</w:t>
      </w:r>
      <w:r>
        <w:rPr>
          <w:iCs/>
          <w:i/>
        </w:rPr>
        <w:t xml:space="preserve">hipoteka przymusowa</w:t>
      </w:r>
      <w:r>
        <w:t xml:space="preserve">) on all of the debtor’s real estate under art. 109 ust. 1 of the</w:t>
      </w:r>
      <w:r>
        <w:t xml:space="preserve"> </w:t>
      </w:r>
      <w:r>
        <w:rPr>
          <w:iCs/>
          <w:i/>
        </w:rPr>
        <w:t xml:space="preserve">ustawa o księgach wieczystych i hipotece</w:t>
      </w:r>
      <w:r>
        <w:t xml:space="preserve">.</w:t>
      </w:r>
      <w:fldSimple w:instr="NOTEREF _Ref_Footnote_19 \h \f">
        <w:r>
          <w:rPr>
            <w:vertAlign w:val="superscript"/>
          </w:rPr>
          <w:t>19</w:t>
        </w:r>
      </w:fldSimple>
      <w:r>
        <w:t xml:space="preserve">The application fee is 200 zł (fixed fee), and the mortgage can be entered in the land register without the owner’s consent or even knowledge.</w:t>
      </w:r>
      <w:fldSimple w:instr="NOTEREF _Ref_Footnote_20 \h \f">
        <w:r>
          <w:rPr>
            <w:vertAlign w:val="superscript"/>
          </w:rPr>
          <w:t>20</w:t>
        </w:r>
      </w:fldSimple>
      <w:r>
        <w:t xml:space="preserve">A forced mortgage entered</w:t>
      </w:r>
      <w:r>
        <w:t xml:space="preserve"> </w:t>
      </w:r>
      <w:r>
        <w:rPr>
          <w:bCs/>
          <w:b/>
        </w:rPr>
        <w:t xml:space="preserve">after</w:t>
      </w:r>
      <w:r>
        <w:t xml:space="preserve"> </w:t>
      </w:r>
      <w:r>
        <w:t xml:space="preserve">a property has been seized by the komornik does</w:t>
      </w:r>
      <w:r>
        <w:t xml:space="preserve"> </w:t>
      </w:r>
      <w:r>
        <w:rPr>
          <w:bCs/>
          <w:b/>
        </w:rPr>
        <w:t xml:space="preserve">not</w:t>
      </w:r>
      <w:r>
        <w:t xml:space="preserve"> </w:t>
      </w:r>
      <w:r>
        <w:t xml:space="preserve">grant the creditor category 5 priority in the distribution plan under art. 930 § 3 KPC.</w:t>
      </w:r>
      <w:fldSimple w:instr="NOTEREF _Ref_Footnote_21 \h \f">
        <w:r>
          <w:rPr>
            <w:vertAlign w:val="superscript"/>
          </w:rPr>
          <w:t>21</w:t>
        </w:r>
      </w:fldSimple>
      <w:r>
        <w:t xml:space="preserve">This means it does not jump the creditor ahead of other general creditors during an active auction process. However, the forced mortgage retains strategic value in two scenarios: first, if the auction fails twice and enforcement is discontinued, the mortgage becomes fully effective without limitation; second, in any future enforcement against the same property, the mortgagee’s claim will be satisfied in the privileged category 5 position.</w:t>
      </w:r>
      <w:fldSimple w:instr="NOTEREF _Ref_Footnote_22 \h \f">
        <w:r>
          <w:rPr>
            <w:vertAlign w:val="superscript"/>
          </w:rPr>
          <w:t>22</w:t>
        </w:r>
      </w:fldSimple>
      <w:r>
        <w:t xml:space="preserve">For a 155,000 zł claim against a debtor who may acquire property in the future, the 200 zł investment in a forced mortgage is proportionate.</w:t>
      </w:r>
    </w:p>
    <w:bookmarkEnd w:id="42"/>
    <w:bookmarkEnd w:id="43"/>
    <w:bookmarkStart w:id="49" w:name="zus-and-tax-office-us-data"/>
    <w:p>
      <w:pPr>
        <w:pStyle w:val="Heading3"/>
      </w:pPr>
      <w:r>
        <w:t xml:space="preserve">2.4 ZUS and Tax Office (US) Data</w:t>
      </w:r>
    </w:p>
    <w:bookmarkStart w:id="44" w:name="X14cc39c05f905c46852826df7eb304c9d9ae0aa"/>
    <w:p>
      <w:pPr>
        <w:pStyle w:val="Heading4"/>
      </w:pPr>
      <w:r>
        <w:t xml:space="preserve">2.4.1 ZUS Query — Employment, Contributions, and Benefits</w:t>
      </w:r>
    </w:p>
    <w:p>
      <w:pPr>
        <w:pStyle w:val="FirstParagraph"/>
      </w:pPr>
      <w:r>
        <w:t xml:space="preserve">Through the Platforma Usług Elektronicznych ZUS (PUE ZUS), the komornik can query the Social Insurance Institution for: current and past contribution payers (employers), contribution bases, pension and benefit payments received by the debtor, associated bank accounts, and disability status.</w:t>
      </w:r>
      <w:fldSimple w:instr="NOTEREF _Ref_Footnote_23 \h \f">
        <w:r>
          <w:rPr>
            <w:vertAlign w:val="superscript"/>
          </w:rPr>
          <w:t>23</w:t>
        </w:r>
      </w:fldSimple>
      <w:r>
        <w:t xml:space="preserve">The legal basis is art. 50 ust. 10 of the</w:t>
      </w:r>
      <w:r>
        <w:t xml:space="preserve"> </w:t>
      </w:r>
      <w:r>
        <w:rPr>
          <w:iCs/>
          <w:i/>
        </w:rPr>
        <w:t xml:space="preserve">ustawa o systemie ubezpieczeń społecznych</w:t>
      </w:r>
      <w:r>
        <w:t xml:space="preserve">, which requires ZUS to disclose data to komorniks in the scope necessary for enforcement.</w:t>
      </w:r>
      <w:fldSimple w:instr="NOTEREF _Ref_Footnote_24 \h \f">
        <w:r>
          <w:rPr>
            <w:vertAlign w:val="superscript"/>
          </w:rPr>
          <w:t>24</w:t>
        </w:r>
      </w:fldSimple>
      <w:r>
        <w:t xml:space="preserve">The fee is approximately 36.55–54.33 zł, and ZUS must respond within 7 days of receiving the request.</w:t>
      </w:r>
      <w:fldSimple w:instr="NOTEREF _Ref_Footnote_25 \h \f">
        <w:r>
          <w:rPr>
            <w:vertAlign w:val="superscript"/>
          </w:rPr>
          <w:t>25</w:t>
        </w:r>
      </w:fldSimple>
      <w:r>
        <w:t xml:space="preserve">For alimony enforcement, ZUS has an enhanced monthly reporting obligation: once the debtor is registered, ZUS must inform the komornik monthly of any new contribution payers, enabling rapid identification of new employers.</w:t>
      </w:r>
      <w:fldSimple w:instr="NOTEREF _Ref_Footnote_26 \h \f">
        <w:r>
          <w:rPr>
            <w:vertAlign w:val="superscript"/>
          </w:rPr>
          <w:t>26</w:t>
        </w:r>
      </w:fldSimple>
      <w:r>
        <w:t xml:space="preserve">The creditor’s claim is not an alimony claim, so this enhanced reporting does not apply automatically, though the standard PUE ZUS query still reveals employment data.</w:t>
      </w:r>
    </w:p>
    <w:p>
      <w:pPr>
        <w:pStyle w:val="BodyText"/>
      </w:pPr>
      <w:r>
        <w:t xml:space="preserve">For a debtor working in the Netherlands, ZUS data will likely show minimal Polish contribution activity. However, the query serves two important functions: it confirms whether the debtor has any Polish employment or benefit income, and it may reveal any Polish bank accounts associated with insurance records. At 36.55 zł and a 1–2 day response time, it is a standard part of the asset discovery package.</w:t>
      </w:r>
    </w:p>
    <w:bookmarkEnd w:id="44"/>
    <w:bookmarkStart w:id="45" w:name="Xb3ece0a58409444773b2a0b738d66cb00b8fbc8"/>
    <w:p>
      <w:pPr>
        <w:pStyle w:val="Heading4"/>
      </w:pPr>
      <w:r>
        <w:t xml:space="preserve">2.4.2 US Query — Business Activity Status and Tax Overpayments</w:t>
      </w:r>
    </w:p>
    <w:p>
      <w:pPr>
        <w:pStyle w:val="FirstParagraph"/>
      </w:pPr>
      <w:r>
        <w:t xml:space="preserve">The komornik may send an electronic query to the relevant Tax Office (</w:t>
      </w:r>
      <w:r>
        <w:rPr>
          <w:iCs/>
          <w:i/>
        </w:rPr>
        <w:t xml:space="preserve">Urząd Skarbowy</w:t>
      </w:r>
      <w:r>
        <w:t xml:space="preserve">) under art. 761 § 1 KPC to obtain: the identity of the income tax payer (employer), VAT registration status, whether the debtor conducted taxable civil law transactions in the past three years, whether the debtor holds bank accounts, and whether the debtor runs a business.</w:t>
      </w:r>
      <w:fldSimple w:instr="NOTEREF _Ref_Footnote_27 \h \f">
        <w:r>
          <w:rPr>
            <w:vertAlign w:val="superscript"/>
          </w:rPr>
          <w:t>27</w:t>
        </w:r>
      </w:fldSimple>
      <w:r>
        <w:t xml:space="preserve">The query requires at minimum the debtor’s PESEL or NIP, costs approximately 35 zł, and yields a response within 1–2 weeks.</w:t>
      </w:r>
      <w:fldSimple w:instr="NOTEREF _Ref_Footnote_28 \h \f">
        <w:r>
          <w:rPr>
            <w:vertAlign w:val="superscript"/>
          </w:rPr>
          <w:t>28</w:t>
        </w:r>
      </w:fldSimple>
      <w:r>
        <w:t xml:space="preserve">The query also reveals whether the JDG is still formally active for tax purposes, suspended, or terminated. This matters because a formally active JDG — even if dormant — may still generate tax obligations or, conversely, tax overpayments from prior-year filings.</w:t>
      </w:r>
    </w:p>
    <w:bookmarkEnd w:id="45"/>
    <w:bookmarkStart w:id="46" w:name="Xbf461a6ac473ad155cc52320397f3a8a16b36b3"/>
    <w:p>
      <w:pPr>
        <w:pStyle w:val="Heading4"/>
      </w:pPr>
      <w:r>
        <w:t xml:space="preserve">2.4.3 Tax Overpayments as Hidden Assets — Art. 902² KPC</w:t>
      </w:r>
    </w:p>
    <w:p>
      <w:pPr>
        <w:pStyle w:val="FirstParagraph"/>
      </w:pPr>
      <w:r>
        <w:t xml:space="preserve">The most practically significant aspect of the tax office query is the seizure of tax overpayments (</w:t>
      </w:r>
      <w:r>
        <w:rPr>
          <w:iCs/>
          <w:i/>
        </w:rPr>
        <w:t xml:space="preserve">nadpłaty podatkowe</w:t>
      </w:r>
      <w:r>
        <w:t xml:space="preserve">) and tax refunds (</w:t>
      </w:r>
      <w:r>
        <w:rPr>
          <w:iCs/>
          <w:i/>
        </w:rPr>
        <w:t xml:space="preserve">zwroty podatku</w:t>
      </w:r>
      <w:r>
        <w:t xml:space="preserve">). Under art. 902² KPC, the komornik can seize existing tax overpayments and future overpayments arising within one year from the date of seizure.</w:t>
      </w:r>
      <w:fldSimple w:instr="NOTEREF _Ref_Footnote_29 \h \f">
        <w:r>
          <w:rPr>
            <w:vertAlign w:val="superscript"/>
          </w:rPr>
          <w:t>29</w:t>
        </w:r>
      </w:fldSimple>
      <w:r>
        <w:t xml:space="preserve">Critically, tax refunds have</w:t>
      </w:r>
      <w:r>
        <w:t xml:space="preserve"> </w:t>
      </w:r>
      <w:r>
        <w:rPr>
          <w:bCs/>
          <w:b/>
        </w:rPr>
        <w:t xml:space="preserve">no</w:t>
      </w:r>
      <w:r>
        <w:t xml:space="preserve"> </w:t>
      </w:r>
      <w:r>
        <w:rPr>
          <w:iCs/>
          <w:i/>
        </w:rPr>
        <w:t xml:space="preserve">kwota wolna</w:t>
      </w:r>
      <w:r>
        <w:t xml:space="preserve"> </w:t>
      </w:r>
      <w:r>
        <w:t xml:space="preserve">and no percentage limit — the komornik can seize 100% of the refund amount.</w:t>
      </w:r>
      <w:fldSimple w:instr="NOTEREF _Ref_Footnote_30 \h \f">
        <w:r>
          <w:rPr>
            <w:vertAlign w:val="superscript"/>
          </w:rPr>
          <w:t>30</w:t>
        </w:r>
      </w:fldSimple>
      <w:r>
        <w:t xml:space="preserve">For a dormant JDG with Netherlands-based income, tax overpayments may be the only seizable asset in Poland. If the debtor filed annual PIT returns in prior years and overpaid tax — whether through child tax credits, rehabilitation deductions, or joint spousal filing adjustments — those overpayments sit at the tax office as a latent asset until seized. The komornik should be instructed to check both current and past tax years for overpayments. One caveat applies: if the debtor has tax arrears, the tax office will first offset any overpayment against those arrears before transferring remaining funds to the komornik.</w:t>
      </w:r>
      <w:fldSimple w:instr="NOTEREF _Ref_Footnote_31 \h \f">
        <w:r>
          <w:rPr>
            <w:vertAlign w:val="superscript"/>
          </w:rPr>
          <w:t>31</w:t>
        </w:r>
      </w:fldSimple>
      <w:r>
        <w:t xml:space="preserve">### 2.5 Receivables and Other Assets</w:t>
      </w:r>
    </w:p>
    <w:bookmarkEnd w:id="46"/>
    <w:bookmarkStart w:id="47" w:name="zajęcie-wierzytelności-od-osób-trzecich"/>
    <w:p>
      <w:pPr>
        <w:pStyle w:val="Heading4"/>
      </w:pPr>
      <w:r>
        <w:t xml:space="preserve">2.5.1 Zajęcie Wierzytelności od Osób Trzecich</w:t>
      </w:r>
    </w:p>
    <w:p>
      <w:pPr>
        <w:pStyle w:val="FirstParagraph"/>
      </w:pPr>
      <w:r>
        <w:t xml:space="preserve">Under art. 895 § 3 KPC, when the creditor applies for enforcement from movables, the komornik also seizes any receivables or other property rights belonging to the debtor. The procedure under art. 896 KPC requires the komornik to notify both the debtor (not to collect the receivable) and the third-party debtor (</w:t>
      </w:r>
      <w:r>
        <w:rPr>
          <w:iCs/>
          <w:i/>
        </w:rPr>
        <w:t xml:space="preserve">trzeciodłużnik</w:t>
      </w:r>
      <w:r>
        <w:t xml:space="preserve">, not to pay the main debtor but to pay the komornik instead).</w:t>
      </w:r>
      <w:fldSimple w:instr="NOTEREF _Ref_Footnote_32 \h \f">
        <w:r>
          <w:rPr>
            <w:vertAlign w:val="superscript"/>
          </w:rPr>
          <w:t>32</w:t>
        </w:r>
      </w:fldSimple>
      <w:r>
        <w:t xml:space="preserve">The seizure under art. 896 KPC covers only</w:t>
      </w:r>
      <w:r>
        <w:t xml:space="preserve"> </w:t>
      </w:r>
      <w:r>
        <w:rPr>
          <w:bCs/>
          <w:b/>
        </w:rPr>
        <w:t xml:space="preserve">existing and specified</w:t>
      </w:r>
      <w:r>
        <w:t xml:space="preserve"> </w:t>
      </w:r>
      <w:r>
        <w:t xml:space="preserve">receivables —</w:t>
      </w:r>
      <w:r>
        <w:t xml:space="preserve"> </w:t>
      </w:r>
      <w:r>
        <w:t xml:space="preserve">“</w:t>
      </w:r>
      <w:r>
        <w:t xml:space="preserve">a receivable existing and specified, embedded in a defined obligational relationship between identified parties.</w:t>
      </w:r>
      <w:r>
        <w:t xml:space="preserve">”</w:t>
      </w:r>
      <w:fldSimple w:instr="NOTEREF _Ref_Footnote_33 \h \f">
        <w:r>
          <w:rPr>
            <w:vertAlign w:val="superscript"/>
          </w:rPr>
          <w:t>33</w:t>
        </w:r>
      </w:fldSimple>
      <w:r>
        <w:t xml:space="preserve">Future, conditional, or unspecified receivables cannot be seized through this procedure. The seizure becomes effective upon delivery of the notice to the third-party debtor (art. 900 § 1 KPC). The third-party debtor has one week to declare whether the receivable exists and in what amount, or to refuse payment with reasons.</w:t>
      </w:r>
      <w:fldSimple w:instr="NOTEREF _Ref_Footnote_34 \h \f">
        <w:r>
          <w:rPr>
            <w:vertAlign w:val="superscript"/>
          </w:rPr>
          <w:t>34</w:t>
        </w:r>
      </w:fldSimple>
      <w:r>
        <w:t xml:space="preserve">For the creditor, this means that any knowledge of specific unpaid invoices issued by GPUcomputer to identifiable clients is directly actionable. If the debtor issued VAT invoices that remain unpaid, those are existing, specified receivables that the komornik can seize by directing the clients to pay the komornik instead. The creditor should list any known receivables in the</w:t>
      </w:r>
      <w:r>
        <w:t xml:space="preserve"> </w:t>
      </w:r>
      <w:r>
        <w:rPr>
          <w:iCs/>
          <w:i/>
        </w:rPr>
        <w:t xml:space="preserve">wniosek egzekucyjny</w:t>
      </w:r>
      <w:r>
        <w:t xml:space="preserve">.</w:t>
      </w:r>
    </w:p>
    <w:bookmarkEnd w:id="47"/>
    <w:bookmarkStart w:id="48" w:name="X2bd513b38640a76f0fb95caccefed6dd8f20b21"/>
    <w:p>
      <w:pPr>
        <w:pStyle w:val="Heading4"/>
      </w:pPr>
      <w:r>
        <w:t xml:space="preserve">2.5.2 CEIDG and KRS Checks for Business Interests</w:t>
      </w:r>
    </w:p>
    <w:p>
      <w:pPr>
        <w:pStyle w:val="FirstParagraph"/>
      </w:pPr>
      <w:r>
        <w:t xml:space="preserve">Komornicy have non-public access to CEIDG (Centralna Ewidencja i Informacja o Działalności Gospodarczej), enabling them to retrieve the debtor’s PESEL, residential address, and business activity status even where such data is not publicly available.</w:t>
      </w:r>
      <w:fldSimple w:instr="NOTEREF _Ref_Footnote_35 \h \f">
        <w:r>
          <w:rPr>
            <w:vertAlign w:val="superscript"/>
          </w:rPr>
          <w:t>35</w:t>
        </w:r>
      </w:fldSimple>
      <w:r>
        <w:t xml:space="preserve">This is particularly valuable when the creditor does not have the debtor’s PESEL number, which is required for queries to most other registers.</w:t>
      </w:r>
    </w:p>
    <w:p>
      <w:pPr>
        <w:pStyle w:val="BodyText"/>
      </w:pPr>
      <w:r>
        <w:t xml:space="preserve">The Krajowy Rejestr Sądowy (KRS) allows the komornik to check whether the debtor holds shares in spółki z o.o. or other corporate entities, serves on management boards, or has partnership interests.</w:t>
      </w:r>
      <w:fldSimple w:instr="NOTEREF _Ref_Footnote_36 \h \f">
        <w:r>
          <w:rPr>
            <w:vertAlign w:val="superscript"/>
          </w:rPr>
          <w:t>36</w:t>
        </w:r>
      </w:fldSimple>
      <w:r>
        <w:t xml:space="preserve">If shares are found, the komornik can seize them under art. 909–912 KPC by notifying the debtor, notifying the company to redirect any payments to the komornik, and filing the seizure with the KRS registry court.</w:t>
      </w:r>
      <w:fldSimple w:instr="NOTEREF _Ref_Footnote_37 \h \f">
        <w:r>
          <w:rPr>
            <w:vertAlign w:val="superscript"/>
          </w:rPr>
          <w:t>37</w:t>
        </w:r>
      </w:fldSimple>
      <w:r>
        <w:t xml:space="preserve">For a debtor with a dormant JDG and potential hidden business interests, the KRS check is standard procedure.</w:t>
      </w:r>
    </w:p>
    <w:p>
      <w:pPr>
        <w:pStyle w:val="BodyText"/>
      </w:pPr>
      <w:r>
        <w:rPr>
          <w:bCs/>
          <w:b/>
        </w:rPr>
        <w:t xml:space="preserve">Table 2: Summary of Komornik Asset Discovery Registers — Cost, Speed, and Practical Value for a Dormant JDG with NL-Resident Operator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Register / System</w:t>
            </w:r>
          </w:p>
        </w:tc>
        <w:tc>
          <w:tcPr/>
          <w:p>
            <w:pPr>
              <w:pStyle w:val="Compact"/>
              <w:jc w:val="left"/>
            </w:pPr>
            <w:r>
              <w:t xml:space="preserve">What the Komornik Learns</w:t>
            </w:r>
          </w:p>
        </w:tc>
        <w:tc>
          <w:tcPr/>
          <w:p>
            <w:pPr>
              <w:pStyle w:val="Compact"/>
              <w:jc w:val="left"/>
            </w:pPr>
            <w:r>
              <w:t xml:space="preserve">Cost (zł)</w:t>
            </w:r>
          </w:p>
        </w:tc>
        <w:tc>
          <w:tcPr/>
          <w:p>
            <w:pPr>
              <w:pStyle w:val="Compact"/>
              <w:jc w:val="left"/>
            </w:pPr>
            <w:r>
              <w:t xml:space="preserve">Response Time</w:t>
            </w:r>
          </w:p>
        </w:tc>
        <w:tc>
          <w:tcPr/>
          <w:p>
            <w:pPr>
              <w:pStyle w:val="Compact"/>
              <w:jc w:val="left"/>
            </w:pPr>
            <w:r>
              <w:t xml:space="preserve">Practical Value for This Case</w:t>
            </w:r>
          </w:p>
        </w:tc>
      </w:tr>
      <w:tr>
        <w:tc>
          <w:tcPr/>
          <w:p>
            <w:pPr>
              <w:pStyle w:val="Compact"/>
              <w:jc w:val="left"/>
            </w:pPr>
            <w:r>
              <w:rPr>
                <w:bCs/>
                <w:b/>
              </w:rPr>
              <w:t xml:space="preserve">OGNIVO</w:t>
            </w:r>
          </w:p>
        </w:tc>
        <w:tc>
          <w:tcPr/>
          <w:p>
            <w:pPr>
              <w:pStyle w:val="Compact"/>
              <w:jc w:val="left"/>
            </w:pPr>
            <w:r>
              <w:t xml:space="preserve">Bank account existence (yes/no per bank); balances only after seizure</w:t>
            </w:r>
          </w:p>
        </w:tc>
        <w:tc>
          <w:tcPr/>
          <w:p>
            <w:pPr>
              <w:pStyle w:val="Compact"/>
              <w:jc w:val="left"/>
            </w:pPr>
            <w:r>
              <w:t xml:space="preserve">0–129.70</w:t>
            </w:r>
          </w:p>
        </w:tc>
        <w:tc>
          <w:tcPr/>
          <w:p>
            <w:pPr>
              <w:pStyle w:val="Compact"/>
              <w:jc w:val="left"/>
            </w:pPr>
            <w:r>
              <w:t xml:space="preserve">Hours</w:t>
            </w:r>
          </w:p>
        </w:tc>
        <w:tc>
          <w:tcPr/>
          <w:p>
            <w:pPr>
              <w:pStyle w:val="Compact"/>
              <w:jc w:val="left"/>
            </w:pPr>
            <w:r>
              <w:rPr>
                <w:bCs/>
                <w:b/>
              </w:rPr>
              <w:t xml:space="preserve">High</w:t>
            </w:r>
            <w:r>
              <w:t xml:space="preserve"> </w:t>
            </w:r>
            <w:r>
              <w:t xml:space="preserve">— primary target; business account fully seizable, no</w:t>
            </w:r>
            <w:r>
              <w:t xml:space="preserve"> </w:t>
            </w:r>
            <w:r>
              <w:rPr>
                <w:iCs/>
                <w:i/>
              </w:rPr>
              <w:t xml:space="preserve">kwota wolna</w:t>
            </w:r>
          </w:p>
        </w:tc>
      </w:tr>
      <w:tr>
        <w:tc>
          <w:tcPr/>
          <w:p>
            <w:pPr>
              <w:pStyle w:val="Compact"/>
              <w:jc w:val="left"/>
            </w:pPr>
            <w:r>
              <w:rPr>
                <w:bCs/>
                <w:b/>
              </w:rPr>
              <w:t xml:space="preserve">CEPiK</w:t>
            </w:r>
          </w:p>
        </w:tc>
        <w:tc>
          <w:tcPr/>
          <w:p>
            <w:pPr>
              <w:pStyle w:val="Compact"/>
              <w:jc w:val="left"/>
            </w:pPr>
            <w:r>
              <w:t xml:space="preserve">Vehicle ownership, type, age, VIN, insurance status</w:t>
            </w:r>
          </w:p>
        </w:tc>
        <w:tc>
          <w:tcPr/>
          <w:p>
            <w:pPr>
              <w:pStyle w:val="Compact"/>
              <w:jc w:val="left"/>
            </w:pPr>
            <w:r>
              <w:t xml:space="preserve">0</w:t>
            </w:r>
          </w:p>
        </w:tc>
        <w:tc>
          <w:tcPr/>
          <w:p>
            <w:pPr>
              <w:pStyle w:val="Compact"/>
              <w:jc w:val="left"/>
            </w:pPr>
            <w:r>
              <w:t xml:space="preserve">1 business day</w:t>
            </w:r>
          </w:p>
        </w:tc>
        <w:tc>
          <w:tcPr/>
          <w:p>
            <w:pPr>
              <w:pStyle w:val="Compact"/>
              <w:jc w:val="left"/>
            </w:pPr>
            <w:r>
              <w:t xml:space="preserve">Low — NL-resident debtor unlikely to own Polish vehicles</w:t>
            </w:r>
          </w:p>
        </w:tc>
      </w:tr>
      <w:tr>
        <w:tc>
          <w:tcPr/>
          <w:p>
            <w:pPr>
              <w:pStyle w:val="Compact"/>
              <w:jc w:val="left"/>
            </w:pPr>
            <w:r>
              <w:rPr>
                <w:bCs/>
                <w:b/>
              </w:rPr>
              <w:t xml:space="preserve">CBDKW/EKW</w:t>
            </w:r>
          </w:p>
        </w:tc>
        <w:tc>
          <w:tcPr/>
          <w:p>
            <w:pPr>
              <w:pStyle w:val="Compact"/>
              <w:jc w:val="left"/>
            </w:pPr>
            <w:r>
              <w:t xml:space="preserve">All Polish real estate owned by debtor; mortgages, easements</w:t>
            </w:r>
          </w:p>
        </w:tc>
        <w:tc>
          <w:tcPr/>
          <w:p>
            <w:pPr>
              <w:pStyle w:val="Compact"/>
              <w:jc w:val="left"/>
            </w:pPr>
            <w:r>
              <w:t xml:space="preserve">~20</w:t>
            </w:r>
          </w:p>
        </w:tc>
        <w:tc>
          <w:tcPr/>
          <w:p>
            <w:pPr>
              <w:pStyle w:val="Compact"/>
              <w:jc w:val="left"/>
            </w:pPr>
            <w:r>
              <w:t xml:space="preserve">Immediate</w:t>
            </w:r>
          </w:p>
        </w:tc>
        <w:tc>
          <w:tcPr/>
          <w:p>
            <w:pPr>
              <w:pStyle w:val="Compact"/>
              <w:jc w:val="left"/>
            </w:pPr>
            <w:r>
              <w:t xml:space="preserve">Medium — confirms absence or reveals major assets</w:t>
            </w:r>
          </w:p>
        </w:tc>
      </w:tr>
      <w:tr>
        <w:tc>
          <w:tcPr/>
          <w:p>
            <w:pPr>
              <w:pStyle w:val="Compact"/>
              <w:jc w:val="left"/>
            </w:pPr>
            <w:r>
              <w:rPr>
                <w:bCs/>
                <w:b/>
              </w:rPr>
              <w:t xml:space="preserve">PUE ZUS</w:t>
            </w:r>
          </w:p>
        </w:tc>
        <w:tc>
          <w:tcPr/>
          <w:p>
            <w:pPr>
              <w:pStyle w:val="Compact"/>
              <w:jc w:val="left"/>
            </w:pPr>
            <w:r>
              <w:t xml:space="preserve">Employment history, contribution bases, benefits, bank accounts</w:t>
            </w:r>
          </w:p>
        </w:tc>
        <w:tc>
          <w:tcPr/>
          <w:p>
            <w:pPr>
              <w:pStyle w:val="Compact"/>
              <w:jc w:val="left"/>
            </w:pPr>
            <w:r>
              <w:t xml:space="preserve">~36.55</w:t>
            </w:r>
          </w:p>
        </w:tc>
        <w:tc>
          <w:tcPr/>
          <w:p>
            <w:pPr>
              <w:pStyle w:val="Compact"/>
              <w:jc w:val="left"/>
            </w:pPr>
            <w:r>
              <w:t xml:space="preserve">1–2 business days</w:t>
            </w:r>
          </w:p>
        </w:tc>
        <w:tc>
          <w:tcPr/>
          <w:p>
            <w:pPr>
              <w:pStyle w:val="Compact"/>
              <w:jc w:val="left"/>
            </w:pPr>
            <w:r>
              <w:t xml:space="preserve">Medium — likely no Polish employment; confirms status</w:t>
            </w:r>
          </w:p>
        </w:tc>
      </w:tr>
      <w:tr>
        <w:tc>
          <w:tcPr/>
          <w:p>
            <w:pPr>
              <w:pStyle w:val="Compact"/>
              <w:jc w:val="left"/>
            </w:pPr>
            <w:r>
              <w:rPr>
                <w:bCs/>
                <w:b/>
              </w:rPr>
              <w:t xml:space="preserve">Urząd Skarbowy</w:t>
            </w:r>
          </w:p>
        </w:tc>
        <w:tc>
          <w:tcPr/>
          <w:p>
            <w:pPr>
              <w:pStyle w:val="Compact"/>
              <w:jc w:val="left"/>
            </w:pPr>
            <w:r>
              <w:t xml:space="preserve">Business activity status, tax overpayments, income data</w:t>
            </w:r>
          </w:p>
        </w:tc>
        <w:tc>
          <w:tcPr/>
          <w:p>
            <w:pPr>
              <w:pStyle w:val="Compact"/>
              <w:jc w:val="left"/>
            </w:pPr>
            <w:r>
              <w:t xml:space="preserve">~35</w:t>
            </w:r>
          </w:p>
        </w:tc>
        <w:tc>
          <w:tcPr/>
          <w:p>
            <w:pPr>
              <w:pStyle w:val="Compact"/>
              <w:jc w:val="left"/>
            </w:pPr>
            <w:r>
              <w:t xml:space="preserve">1–2 weeks</w:t>
            </w:r>
          </w:p>
        </w:tc>
        <w:tc>
          <w:tcPr/>
          <w:p>
            <w:pPr>
              <w:pStyle w:val="Compact"/>
              <w:jc w:val="left"/>
            </w:pPr>
            <w:r>
              <w:rPr>
                <w:bCs/>
                <w:b/>
              </w:rPr>
              <w:t xml:space="preserve">High</w:t>
            </w:r>
            <w:r>
              <w:t xml:space="preserve"> </w:t>
            </w:r>
            <w:r>
              <w:t xml:space="preserve">— tax overpayments seizable at 100%, no</w:t>
            </w:r>
            <w:r>
              <w:t xml:space="preserve"> </w:t>
            </w:r>
            <w:r>
              <w:rPr>
                <w:iCs/>
                <w:i/>
              </w:rPr>
              <w:t xml:space="preserve">kwota wolna</w:t>
            </w:r>
          </w:p>
        </w:tc>
      </w:tr>
      <w:tr>
        <w:tc>
          <w:tcPr/>
          <w:p>
            <w:pPr>
              <w:pStyle w:val="Compact"/>
              <w:jc w:val="left"/>
            </w:pPr>
            <w:r>
              <w:rPr>
                <w:bCs/>
                <w:b/>
              </w:rPr>
              <w:t xml:space="preserve">CEIDG</w:t>
            </w:r>
          </w:p>
        </w:tc>
        <w:tc>
          <w:tcPr/>
          <w:p>
            <w:pPr>
              <w:pStyle w:val="Compact"/>
              <w:jc w:val="left"/>
            </w:pPr>
            <w:r>
              <w:t xml:space="preserve">PESEL, residential address, business status (non-public access)</w:t>
            </w:r>
          </w:p>
        </w:tc>
        <w:tc>
          <w:tcPr/>
          <w:p>
            <w:pPr>
              <w:pStyle w:val="Compact"/>
              <w:jc w:val="left"/>
            </w:pPr>
            <w:r>
              <w:t xml:space="preserve">0</w:t>
            </w:r>
          </w:p>
        </w:tc>
        <w:tc>
          <w:tcPr/>
          <w:p>
            <w:pPr>
              <w:pStyle w:val="Compact"/>
              <w:jc w:val="left"/>
            </w:pPr>
            <w:r>
              <w:t xml:space="preserve">Immediate</w:t>
            </w:r>
          </w:p>
        </w:tc>
        <w:tc>
          <w:tcPr/>
          <w:p>
            <w:pPr>
              <w:pStyle w:val="Compact"/>
              <w:jc w:val="left"/>
            </w:pPr>
            <w:r>
              <w:rPr>
                <w:bCs/>
                <w:b/>
              </w:rPr>
              <w:t xml:space="preserve">High</w:t>
            </w:r>
            <w:r>
              <w:t xml:space="preserve"> </w:t>
            </w:r>
            <w:r>
              <w:t xml:space="preserve">— essential for identifying debtor in other registers</w:t>
            </w:r>
          </w:p>
        </w:tc>
      </w:tr>
      <w:tr>
        <w:tc>
          <w:tcPr/>
          <w:p>
            <w:pPr>
              <w:pStyle w:val="Compact"/>
              <w:jc w:val="left"/>
            </w:pPr>
            <w:r>
              <w:rPr>
                <w:bCs/>
                <w:b/>
              </w:rPr>
              <w:t xml:space="preserve">KRS</w:t>
            </w:r>
          </w:p>
        </w:tc>
        <w:tc>
          <w:tcPr/>
          <w:p>
            <w:pPr>
              <w:pStyle w:val="Compact"/>
              <w:jc w:val="left"/>
            </w:pPr>
            <w:r>
              <w:t xml:space="preserve">Shareholdings, management board roles, partnerships</w:t>
            </w:r>
          </w:p>
        </w:tc>
        <w:tc>
          <w:tcPr/>
          <w:p>
            <w:pPr>
              <w:pStyle w:val="Compact"/>
              <w:jc w:val="left"/>
            </w:pPr>
            <w:r>
              <w:t xml:space="preserve">0</w:t>
            </w:r>
          </w:p>
        </w:tc>
        <w:tc>
          <w:tcPr/>
          <w:p>
            <w:pPr>
              <w:pStyle w:val="Compact"/>
              <w:jc w:val="left"/>
            </w:pPr>
            <w:r>
              <w:t xml:space="preserve">Immediate</w:t>
            </w:r>
          </w:p>
        </w:tc>
        <w:tc>
          <w:tcPr/>
          <w:p>
            <w:pPr>
              <w:pStyle w:val="Compact"/>
              <w:jc w:val="left"/>
            </w:pPr>
            <w:r>
              <w:t xml:space="preserve">Medium — may reveal hidden business interests</w:t>
            </w:r>
          </w:p>
        </w:tc>
      </w:tr>
      <w:tr>
        <w:tc>
          <w:tcPr/>
          <w:p>
            <w:pPr>
              <w:pStyle w:val="Compact"/>
              <w:jc w:val="left"/>
            </w:pPr>
            <w:r>
              <w:rPr>
                <w:bCs/>
                <w:b/>
              </w:rPr>
              <w:t xml:space="preserve">Zajęcie wierzytelności</w:t>
            </w:r>
          </w:p>
        </w:tc>
        <w:tc>
          <w:tcPr/>
          <w:p>
            <w:pPr>
              <w:pStyle w:val="Compact"/>
              <w:jc w:val="left"/>
            </w:pPr>
            <w:r>
              <w:t xml:space="preserve">Money owed TO debtor by identified third parties</w:t>
            </w:r>
          </w:p>
        </w:tc>
        <w:tc>
          <w:tcPr/>
          <w:p>
            <w:pPr>
              <w:pStyle w:val="Compact"/>
              <w:jc w:val="left"/>
            </w:pPr>
            <w:r>
              <w:t xml:space="preserve">Part of enforcement</w:t>
            </w:r>
          </w:p>
        </w:tc>
        <w:tc>
          <w:tcPr/>
          <w:p>
            <w:pPr>
              <w:pStyle w:val="Compact"/>
              <w:jc w:val="left"/>
            </w:pPr>
            <w:r>
              <w:t xml:space="preserve">1–2 weeks</w:t>
            </w:r>
          </w:p>
        </w:tc>
        <w:tc>
          <w:tcPr/>
          <w:p>
            <w:pPr>
              <w:pStyle w:val="Compact"/>
              <w:jc w:val="left"/>
            </w:pPr>
            <w:r>
              <w:t xml:space="preserve">Medium — depends on creditor’s knowledge of unpaid invoices</w:t>
            </w:r>
          </w:p>
        </w:tc>
      </w:tr>
    </w:tbl>
    <w:p>
      <w:pPr>
        <w:pStyle w:val="BodyText"/>
      </w:pPr>
      <w:r>
        <w:t xml:space="preserve">The table above consolidates the komornik’s discovery toolkit. For the specific debtor profile — dormant JDG, virtual office, Netherlands-resident operator — the highest-value targets are OGNIVO (for the known Alior business account, which has zero protection), the Urząd Skarbowy (for latent tax overpayments), and CEIDG (to confirm the debtor’s PESEL and business status). CEPiK and ZUS serve mainly to confirm the absence of Polish-based employment and vehicle assets. The CBDKW search is quick and cheap insurance against the possibility that the debtor owns Polish real estate. The receivables seizure requires creditor knowledge of specific unpaid debts owed to the JDG.</w:t>
      </w:r>
    </w:p>
    <w:bookmarkEnd w:id="48"/>
    <w:bookmarkEnd w:id="49"/>
    <w:bookmarkStart w:id="52" w:name="jdg-personal-liability-no-subsidiarity"/>
    <w:p>
      <w:pPr>
        <w:pStyle w:val="Heading3"/>
      </w:pPr>
      <w:r>
        <w:t xml:space="preserve">2.6 JDG Personal Liability — No Subsidiarity</w:t>
      </w:r>
    </w:p>
    <w:bookmarkStart w:id="50" w:name="Xa37c9d80ed81255b081a3cb64087ed627b161b4"/>
    <w:p>
      <w:pPr>
        <w:pStyle w:val="Heading4"/>
      </w:pPr>
      <w:r>
        <w:t xml:space="preserve">2.6.1 The Fundamental Rule: No Legal Personality, Full Personal Liability</w:t>
      </w:r>
    </w:p>
    <w:p>
      <w:pPr>
        <w:pStyle w:val="FirstParagraph"/>
      </w:pPr>
      <w:r>
        <w:t xml:space="preserve">A jednoosobowa działalność gospodarcza (JDG) does</w:t>
      </w:r>
      <w:r>
        <w:t xml:space="preserve"> </w:t>
      </w:r>
      <w:r>
        <w:rPr>
          <w:bCs/>
          <w:b/>
        </w:rPr>
        <w:t xml:space="preserve">not</w:t>
      </w:r>
      <w:r>
        <w:t xml:space="preserve"> </w:t>
      </w:r>
      <w:r>
        <w:t xml:space="preserve">constitute a separate legal entity under Polish law. The entrepreneur and the business are one and the same legal person. Art. 4 ust. 1 of</w:t>
      </w:r>
      <w:r>
        <w:t xml:space="preserve"> </w:t>
      </w:r>
      <w:r>
        <w:rPr>
          <w:iCs/>
          <w:i/>
        </w:rPr>
        <w:t xml:space="preserve">Prawo Przedsiębiorców</w:t>
      </w:r>
      <w:r>
        <w:t xml:space="preserve"> </w:t>
      </w:r>
      <w:r>
        <w:t xml:space="preserve">defines a</w:t>
      </w:r>
      <w:r>
        <w:t xml:space="preserve"> </w:t>
      </w:r>
      <w:r>
        <w:rPr>
          <w:iCs/>
          <w:i/>
        </w:rPr>
        <w:t xml:space="preserve">przedsiębiorca</w:t>
      </w:r>
      <w:r>
        <w:t xml:space="preserve"> </w:t>
      </w:r>
      <w:r>
        <w:t xml:space="preserve">(entrepreneur) as an osoba fizyczna (natural person) conducting economic activity, and art. 43 KC confirms that the entrepreneur is personally liable for all obligations with their entire property.</w:t>
      </w:r>
      <w:fldSimple w:instr="NOTEREF _Ref_Footnote_38 \h \f">
        <w:r>
          <w:rPr>
            <w:vertAlign w:val="superscript"/>
          </w:rPr>
          <w:t>38</w:t>
        </w:r>
      </w:fldSimple>
      <w:r>
        <w:t xml:space="preserve">There is no</w:t>
      </w:r>
      <w:r>
        <w:t xml:space="preserve"> </w:t>
      </w:r>
      <w:r>
        <w:t xml:space="preserve">“</w:t>
      </w:r>
      <w:r>
        <w:t xml:space="preserve">corporate veil</w:t>
      </w:r>
      <w:r>
        <w:t xml:space="preserve">”</w:t>
      </w:r>
      <w:r>
        <w:t xml:space="preserve"> </w:t>
      </w:r>
      <w:r>
        <w:t xml:space="preserve">to pierce because there is no corporation.</w:t>
      </w:r>
    </w:p>
    <w:bookmarkEnd w:id="50"/>
    <w:bookmarkStart w:id="51" w:name="X62ae67d6528093bde1393af7a6789f1389b5422"/>
    <w:p>
      <w:pPr>
        <w:pStyle w:val="Heading4"/>
      </w:pPr>
      <w:r>
        <w:t xml:space="preserve">2.6.2 No Subsidiarity — Business and Personal Assets Attachable Simultaneously</w:t>
      </w:r>
    </w:p>
    <w:p>
      <w:pPr>
        <w:pStyle w:val="FirstParagraph"/>
      </w:pPr>
      <w:r>
        <w:t xml:space="preserve">The absence of separate legal personality produces a direct doctrinal consequence: there is</w:t>
      </w:r>
      <w:r>
        <w:t xml:space="preserve"> </w:t>
      </w:r>
      <w:r>
        <w:rPr>
          <w:bCs/>
          <w:b/>
        </w:rPr>
        <w:t xml:space="preserve">no subsidiarity</w:t>
      </w:r>
      <w:r>
        <w:t xml:space="preserve"> </w:t>
      </w:r>
      <w:r>
        <w:t xml:space="preserve">(</w:t>
      </w:r>
      <w:r>
        <w:rPr>
          <w:iCs/>
          <w:i/>
        </w:rPr>
        <w:t xml:space="preserve">brak subsydiarności</w:t>
      </w:r>
      <w:r>
        <w:t xml:space="preserve">) between business assets and personal assets for JDG enforcement.</w:t>
      </w:r>
      <w:fldSimple w:instr="NOTEREF _Ref_Footnote_39 \h \f">
        <w:r>
          <w:rPr>
            <w:vertAlign w:val="superscript"/>
          </w:rPr>
          <w:t>39</w:t>
        </w:r>
      </w:fldSimple>
      <w:r>
        <w:t xml:space="preserve">The creditor does not need to exhaust the business assets before targeting personal assets, or vice versa. Both categories are attachable simultaneously, and the komornik has full discretion to choose which assets to pursue first.</w:t>
      </w:r>
      <w:fldSimple w:instr="NOTEREF _Ref_Footnote_40 \h \f">
        <w:r>
          <w:rPr>
            <w:vertAlign w:val="superscript"/>
          </w:rPr>
          <w:t>40</w:t>
        </w:r>
      </w:fldSimple>
      <w:r>
        <w:t xml:space="preserve">This distinguishes JDG fundamentally from spółki osobowe (partnerships), where creditors must first attempt enforcement against the partnership’s assets and only proceed against the partners’ personal assets if that proves ineffective.</w:t>
      </w:r>
      <w:fldSimple w:instr="NOTEREF _Ref_Footnote_41 \h \f">
        <w:r>
          <w:rPr>
            <w:vertAlign w:val="superscript"/>
          </w:rPr>
          <w:t>41</w:t>
        </w:r>
      </w:fldSimple>
      <w:r>
        <w:t xml:space="preserve">For the JDG creditor, the entire asset pool — business account, personal account, business equipment, personal property, real estate, receivables — is equally and immediately available.</w:t>
      </w:r>
    </w:p>
    <w:p>
      <w:pPr>
        <w:pStyle w:val="BodyText"/>
      </w:pPr>
      <w:r>
        <w:t xml:space="preserve">In practice, the komornik will typically pursue both tracks: seizing the business account (which has no</w:t>
      </w:r>
      <w:r>
        <w:t xml:space="preserve"> </w:t>
      </w:r>
      <w:r>
        <w:rPr>
          <w:iCs/>
          <w:i/>
        </w:rPr>
        <w:t xml:space="preserve">kwota wolna</w:t>
      </w:r>
      <w:r>
        <w:t xml:space="preserve">) while simultaneously querying personal accounts, salary, and other assets. The creditor does not need to specify which track to prioritise — art. 776 KPC establishes that the</w:t>
      </w:r>
      <w:r>
        <w:t xml:space="preserve"> </w:t>
      </w:r>
      <w:r>
        <w:rPr>
          <w:iCs/>
          <w:i/>
        </w:rPr>
        <w:t xml:space="preserve">tytuł wykonawczy</w:t>
      </w:r>
      <w:r>
        <w:t xml:space="preserve"> </w:t>
      </w:r>
      <w:r>
        <w:t xml:space="preserve">is the basis for enforcement against the person named in the title, and all of that person’s assets are part of the same enforcement mass.</w:t>
      </w:r>
      <w:fldSimple w:instr="NOTEREF _Ref_Footnote_42 \h \f">
        <w:r>
          <w:rPr>
            <w:vertAlign w:val="superscript"/>
          </w:rPr>
          <w:t>42</w:t>
        </w:r>
      </w:fldSimple>
      <w:r>
        <w:t xml:space="preserve">#### 2.6.3 Exempt Assets — What the Komornik Cannot Touch</w:t>
      </w:r>
    </w:p>
    <w:p>
      <w:pPr>
        <w:pStyle w:val="BodyText"/>
      </w:pPr>
      <w:r>
        <w:t xml:space="preserve">Even with full asset exposure, certain categories remain protected. The exempt asset catalog is established in art. 829 KPC, art. 829(1) KPC, and art. 831 KPC.</w:t>
      </w:r>
    </w:p>
    <w:p>
      <w:pPr>
        <w:pStyle w:val="BodyText"/>
      </w:pPr>
      <w:r>
        <w:rPr>
          <w:bCs/>
          <w:b/>
        </w:rPr>
        <w:t xml:space="preserve">Table 3: JDG Liability Rules — Protected vs. Fully Seizable Asset Categories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Asset Category</w:t>
            </w:r>
          </w:p>
        </w:tc>
        <w:tc>
          <w:tcPr/>
          <w:p>
            <w:pPr>
              <w:pStyle w:val="Compact"/>
              <w:jc w:val="left"/>
            </w:pPr>
            <w:r>
              <w:t xml:space="preserve">Protection Level</w:t>
            </w:r>
          </w:p>
        </w:tc>
        <w:tc>
          <w:tcPr/>
          <w:p>
            <w:pPr>
              <w:pStyle w:val="Compact"/>
              <w:jc w:val="left"/>
            </w:pPr>
            <w:r>
              <w:t xml:space="preserve">Legal Basis</w:t>
            </w:r>
          </w:p>
        </w:tc>
        <w:tc>
          <w:tcPr/>
          <w:p>
            <w:pPr>
              <w:pStyle w:val="Compact"/>
              <w:jc w:val="left"/>
            </w:pPr>
            <w:r>
              <w:t xml:space="preserve">Practical Notes</w:t>
            </w:r>
          </w:p>
        </w:tc>
      </w:tr>
      <w:tr>
        <w:tc>
          <w:tcPr/>
          <w:p>
            <w:pPr>
              <w:pStyle w:val="Compact"/>
              <w:jc w:val="left"/>
            </w:pPr>
            <w:r>
              <w:t xml:space="preserve">Business bank account (</w:t>
            </w:r>
            <w:r>
              <w:rPr>
                <w:iCs/>
                <w:i/>
              </w:rPr>
              <w:t xml:space="preserve">rachunek firmowy</w:t>
            </w:r>
            <w:r>
              <w:t xml:space="preserve">)</w:t>
            </w:r>
          </w:p>
        </w:tc>
        <w:tc>
          <w:tcPr/>
          <w:p>
            <w:pPr>
              <w:pStyle w:val="Compact"/>
              <w:jc w:val="left"/>
            </w:pPr>
            <w:r>
              <w:rPr>
                <w:bCs/>
                <w:b/>
              </w:rPr>
              <w:t xml:space="preserve">0% protected</w:t>
            </w:r>
            <w:r>
              <w:t xml:space="preserve"> </w:t>
            </w:r>
            <w:r>
              <w:t xml:space="preserve">— 100% seizable</w:t>
            </w:r>
          </w:p>
        </w:tc>
        <w:tc>
          <w:tcPr/>
          <w:p>
            <w:pPr>
              <w:pStyle w:val="Compact"/>
              <w:jc w:val="left"/>
            </w:pPr>
            <w:r>
              <w:t xml:space="preserve">art. 54</w:t>
            </w:r>
            <w:r>
              <w:t xml:space="preserve"> </w:t>
            </w:r>
            <w:r>
              <w:rPr>
                <w:iCs/>
                <w:i/>
              </w:rPr>
              <w:t xml:space="preserve">Prawa bankowego</w:t>
            </w:r>
            <w:r>
              <w:t xml:space="preserve">; established practice</w:t>
            </w:r>
          </w:p>
        </w:tc>
        <w:tc>
          <w:tcPr/>
          <w:p>
            <w:pPr>
              <w:pStyle w:val="Compact"/>
              <w:jc w:val="left"/>
            </w:pPr>
            <w:r>
              <w:t xml:space="preserve">No</w:t>
            </w:r>
            <w:r>
              <w:t xml:space="preserve"> </w:t>
            </w:r>
            <w:r>
              <w:rPr>
                <w:iCs/>
                <w:i/>
              </w:rPr>
              <w:t xml:space="preserve">kwota wolna</w:t>
            </w:r>
            <w:r>
              <w:t xml:space="preserve"> </w:t>
            </w:r>
            <w:r>
              <w:t xml:space="preserve">applies; full seizure of all funds</w:t>
            </w:r>
          </w:p>
        </w:tc>
      </w:tr>
      <w:tr>
        <w:tc>
          <w:tcPr/>
          <w:p>
            <w:pPr>
              <w:pStyle w:val="Compact"/>
              <w:jc w:val="left"/>
            </w:pPr>
            <w:r>
              <w:t xml:space="preserve">Personal bank account (</w:t>
            </w:r>
            <w:r>
              <w:rPr>
                <w:iCs/>
                <w:i/>
              </w:rPr>
              <w:t xml:space="preserve">rachunek osobisty</w:t>
            </w:r>
            <w:r>
              <w:t xml:space="preserve">)</w:t>
            </w:r>
          </w:p>
        </w:tc>
        <w:tc>
          <w:tcPr/>
          <w:p>
            <w:pPr>
              <w:pStyle w:val="Compact"/>
              <w:jc w:val="left"/>
            </w:pPr>
            <w:r>
              <w:rPr>
                <w:iCs/>
                <w:i/>
              </w:rPr>
              <w:t xml:space="preserve">Kwota wolna</w:t>
            </w:r>
            <w:r>
              <w:t xml:space="preserve"> </w:t>
            </w:r>
            <w:r>
              <w:t xml:space="preserve">3,499.50 zł/month (75% of min. wage)</w:t>
            </w:r>
          </w:p>
        </w:tc>
        <w:tc>
          <w:tcPr/>
          <w:p>
            <w:pPr>
              <w:pStyle w:val="Compact"/>
              <w:jc w:val="left"/>
            </w:pPr>
            <w:r>
              <w:t xml:space="preserve">art. 54</w:t>
            </w:r>
            <w:r>
              <w:t xml:space="preserve"> </w:t>
            </w:r>
            <w:r>
              <w:rPr>
                <w:iCs/>
                <w:i/>
              </w:rPr>
              <w:t xml:space="preserve">Prawa bankowego</w:t>
            </w:r>
          </w:p>
        </w:tc>
        <w:tc>
          <w:tcPr/>
          <w:p>
            <w:pPr>
              <w:pStyle w:val="Compact"/>
              <w:jc w:val="left"/>
            </w:pPr>
            <w:r>
              <w:t xml:space="preserve">Renews monthly, does not accumulate; all above threshold seized</w:t>
            </w:r>
          </w:p>
        </w:tc>
      </w:tr>
      <w:tr>
        <w:tc>
          <w:tcPr/>
          <w:p>
            <w:pPr>
              <w:pStyle w:val="Compact"/>
              <w:jc w:val="left"/>
            </w:pPr>
            <w:r>
              <w:t xml:space="preserve">Salary / employment income</w:t>
            </w:r>
          </w:p>
        </w:tc>
        <w:tc>
          <w:tcPr/>
          <w:p>
            <w:pPr>
              <w:pStyle w:val="Compact"/>
              <w:jc w:val="left"/>
            </w:pPr>
            <w:r>
              <w:t xml:space="preserve">Full minimum wage protected; max 50% of remainder seizable</w:t>
            </w:r>
          </w:p>
        </w:tc>
        <w:tc>
          <w:tcPr/>
          <w:p>
            <w:pPr>
              <w:pStyle w:val="Compact"/>
              <w:jc w:val="left"/>
            </w:pPr>
            <w:r>
              <w:t xml:space="preserve">art. 829(1) § 1 KPC</w:t>
            </w:r>
          </w:p>
        </w:tc>
        <w:tc>
          <w:tcPr/>
          <w:p>
            <w:pPr>
              <w:pStyle w:val="Compact"/>
              <w:jc w:val="left"/>
            </w:pPr>
            <w:r>
              <w:t xml:space="preserve">60% for alimony; Polish komornik cannot reach NL salary directly</w:t>
            </w:r>
          </w:p>
        </w:tc>
      </w:tr>
      <w:tr>
        <w:tc>
          <w:tcPr/>
          <w:p>
            <w:pPr>
              <w:pStyle w:val="Compact"/>
              <w:jc w:val="left"/>
            </w:pPr>
            <w:r>
              <w:t xml:space="preserve">Household items (fridge, washing machine, etc.)</w:t>
            </w:r>
          </w:p>
        </w:tc>
        <w:tc>
          <w:tcPr/>
          <w:p>
            <w:pPr>
              <w:pStyle w:val="Compact"/>
              <w:jc w:val="left"/>
            </w:pPr>
            <w:r>
              <w:t xml:space="preserve">Protected if of average value</w:t>
            </w:r>
          </w:p>
        </w:tc>
        <w:tc>
          <w:tcPr/>
          <w:p>
            <w:pPr>
              <w:pStyle w:val="Compact"/>
              <w:jc w:val="left"/>
            </w:pPr>
            <w:r>
              <w:t xml:space="preserve">art. 829 § 1 KPC</w:t>
            </w:r>
          </w:p>
        </w:tc>
        <w:tc>
          <w:tcPr/>
          <w:p>
            <w:pPr>
              <w:pStyle w:val="Compact"/>
              <w:jc w:val="left"/>
            </w:pPr>
            <w:r>
              <w:t xml:space="preserve">Luxury items above average value can be seized</w:t>
            </w:r>
          </w:p>
        </w:tc>
      </w:tr>
      <w:tr>
        <w:tc>
          <w:tcPr/>
          <w:p>
            <w:pPr>
              <w:pStyle w:val="Compact"/>
              <w:jc w:val="left"/>
            </w:pPr>
            <w:r>
              <w:t xml:space="preserve">Work tools and equipment</w:t>
            </w:r>
          </w:p>
        </w:tc>
        <w:tc>
          <w:tcPr/>
          <w:p>
            <w:pPr>
              <w:pStyle w:val="Compact"/>
              <w:jc w:val="left"/>
            </w:pPr>
            <w:r>
              <w:t xml:space="preserve">Protected if necessary for gainful work</w:t>
            </w:r>
          </w:p>
        </w:tc>
        <w:tc>
          <w:tcPr/>
          <w:p>
            <w:pPr>
              <w:pStyle w:val="Compact"/>
              <w:jc w:val="left"/>
            </w:pPr>
            <w:r>
              <w:t xml:space="preserve">art. 829 § 1 pkt 3 KPC</w:t>
            </w:r>
          </w:p>
        </w:tc>
        <w:tc>
          <w:tcPr/>
          <w:p>
            <w:pPr>
              <w:pStyle w:val="Compact"/>
              <w:jc w:val="left"/>
            </w:pPr>
            <w:r>
              <w:t xml:space="preserve">Includes tools, computers if necessary for profession</w:t>
            </w:r>
          </w:p>
        </w:tc>
      </w:tr>
      <w:tr>
        <w:tc>
          <w:tcPr/>
          <w:p>
            <w:pPr>
              <w:pStyle w:val="Compact"/>
              <w:jc w:val="left"/>
            </w:pPr>
            <w:r>
              <w:t xml:space="preserve">Tax overpayments / refunds</w:t>
            </w:r>
          </w:p>
        </w:tc>
        <w:tc>
          <w:tcPr/>
          <w:p>
            <w:pPr>
              <w:pStyle w:val="Compact"/>
              <w:jc w:val="left"/>
            </w:pPr>
            <w:r>
              <w:rPr>
                <w:bCs/>
                <w:b/>
              </w:rPr>
              <w:t xml:space="preserve">0% protected</w:t>
            </w:r>
            <w:r>
              <w:t xml:space="preserve"> </w:t>
            </w:r>
            <w:r>
              <w:t xml:space="preserve">— 100% seizable</w:t>
            </w:r>
          </w:p>
        </w:tc>
        <w:tc>
          <w:tcPr/>
          <w:p>
            <w:pPr>
              <w:pStyle w:val="Compact"/>
              <w:jc w:val="left"/>
            </w:pPr>
            <w:r>
              <w:t xml:space="preserve">art. 902² KPC</w:t>
            </w:r>
          </w:p>
        </w:tc>
        <w:tc>
          <w:tcPr/>
          <w:p>
            <w:pPr>
              <w:pStyle w:val="Compact"/>
              <w:jc w:val="left"/>
            </w:pPr>
            <w:r>
              <w:t xml:space="preserve">Tax office must transfer full refund to komornik</w:t>
            </w:r>
          </w:p>
        </w:tc>
      </w:tr>
      <w:tr>
        <w:tc>
          <w:tcPr/>
          <w:p>
            <w:pPr>
              <w:pStyle w:val="Compact"/>
              <w:jc w:val="left"/>
            </w:pPr>
            <w:r>
              <w:t xml:space="preserve">Social benefits (alimony received, family benefits, 800+)</w:t>
            </w:r>
          </w:p>
        </w:tc>
        <w:tc>
          <w:tcPr/>
          <w:p>
            <w:pPr>
              <w:pStyle w:val="Compact"/>
              <w:jc w:val="left"/>
            </w:pPr>
            <w:r>
              <w:t xml:space="preserve">Fully exempt regardless of</w:t>
            </w:r>
            <w:r>
              <w:t xml:space="preserve"> </w:t>
            </w:r>
            <w:r>
              <w:rPr>
                <w:iCs/>
                <w:i/>
              </w:rPr>
              <w:t xml:space="preserve">kwota wolna</w:t>
            </w:r>
          </w:p>
        </w:tc>
        <w:tc>
          <w:tcPr/>
          <w:p>
            <w:pPr>
              <w:pStyle w:val="Compact"/>
              <w:jc w:val="left"/>
            </w:pPr>
            <w:r>
              <w:t xml:space="preserve">art. 833 § 6 KPC</w:t>
            </w:r>
          </w:p>
        </w:tc>
        <w:tc>
          <w:tcPr/>
          <w:p>
            <w:pPr>
              <w:pStyle w:val="Compact"/>
              <w:jc w:val="left"/>
            </w:pPr>
            <w:r>
              <w:t xml:space="preserve">Protected even above the monthly</w:t>
            </w:r>
            <w:r>
              <w:t xml:space="preserve"> </w:t>
            </w:r>
            <w:r>
              <w:rPr>
                <w:iCs/>
                <w:i/>
              </w:rPr>
              <w:t xml:space="preserve">kwota wolna</w:t>
            </w:r>
          </w:p>
        </w:tc>
      </w:tr>
      <w:tr>
        <w:tc>
          <w:tcPr/>
          <w:p>
            <w:pPr>
              <w:pStyle w:val="Compact"/>
              <w:jc w:val="left"/>
            </w:pPr>
            <w:r>
              <w:t xml:space="preserve">Pensions / disability benefits</w:t>
            </w:r>
          </w:p>
        </w:tc>
        <w:tc>
          <w:tcPr/>
          <w:p>
            <w:pPr>
              <w:pStyle w:val="Compact"/>
              <w:jc w:val="left"/>
            </w:pPr>
            <w:r>
              <w:t xml:space="preserve">60% of lowest pension protected; 25% max seizure</w:t>
            </w:r>
          </w:p>
        </w:tc>
        <w:tc>
          <w:tcPr/>
          <w:p>
            <w:pPr>
              <w:pStyle w:val="Compact"/>
              <w:jc w:val="left"/>
            </w:pPr>
            <w:r>
              <w:t xml:space="preserve">art. 831 KPC; specific benefit rules</w:t>
            </w:r>
          </w:p>
        </w:tc>
        <w:tc>
          <w:tcPr/>
          <w:p>
            <w:pPr>
              <w:pStyle w:val="Compact"/>
              <w:jc w:val="left"/>
            </w:pPr>
            <w:r>
              <w:t xml:space="preserve">Sickness benefits generally protected</w:t>
            </w:r>
          </w:p>
        </w:tc>
      </w:tr>
      <w:tr>
        <w:tc>
          <w:tcPr/>
          <w:p>
            <w:pPr>
              <w:pStyle w:val="Compact"/>
              <w:jc w:val="left"/>
            </w:pPr>
            <w:r>
              <w:t xml:space="preserve">Real estate (debtor’s sole dwelling)</w:t>
            </w:r>
          </w:p>
        </w:tc>
        <w:tc>
          <w:tcPr/>
          <w:p>
            <w:pPr>
              <w:pStyle w:val="Compact"/>
              <w:jc w:val="left"/>
            </w:pPr>
            <w:r>
              <w:t xml:space="preserve">Seizable but with procedural safeguards</w:t>
            </w:r>
          </w:p>
        </w:tc>
        <w:tc>
          <w:tcPr/>
          <w:p>
            <w:pPr>
              <w:pStyle w:val="Compact"/>
              <w:jc w:val="left"/>
            </w:pPr>
            <w:r>
              <w:t xml:space="preserve">art. 953–1033 KPC</w:t>
            </w:r>
          </w:p>
        </w:tc>
        <w:tc>
          <w:tcPr/>
          <w:p>
            <w:pPr>
              <w:pStyle w:val="Compact"/>
              <w:jc w:val="left"/>
            </w:pPr>
            <w:r>
              <w:t xml:space="preserve">Court approval for auction of sole dwelling</w:t>
            </w:r>
          </w:p>
        </w:tc>
      </w:tr>
      <w:tr>
        <w:tc>
          <w:tcPr/>
          <w:p>
            <w:pPr>
              <w:pStyle w:val="Compact"/>
              <w:jc w:val="left"/>
            </w:pPr>
            <w:r>
              <w:t xml:space="preserve">Receivables from identified third parties</w:t>
            </w:r>
          </w:p>
        </w:tc>
        <w:tc>
          <w:tcPr/>
          <w:p>
            <w:pPr>
              <w:pStyle w:val="Compact"/>
              <w:jc w:val="left"/>
            </w:pPr>
            <w:r>
              <w:t xml:space="preserve">100% seizable once specified</w:t>
            </w:r>
          </w:p>
        </w:tc>
        <w:tc>
          <w:tcPr/>
          <w:p>
            <w:pPr>
              <w:pStyle w:val="Compact"/>
              <w:jc w:val="left"/>
            </w:pPr>
            <w:r>
              <w:t xml:space="preserve">art. 895–912 KPC</w:t>
            </w:r>
          </w:p>
        </w:tc>
        <w:tc>
          <w:tcPr/>
          <w:p>
            <w:pPr>
              <w:pStyle w:val="Compact"/>
              <w:jc w:val="left"/>
            </w:pPr>
            <w:r>
              <w:t xml:space="preserve">Requires creditor knowledge of specific debts owed to JDG</w:t>
            </w:r>
          </w:p>
        </w:tc>
      </w:tr>
      <w:tr>
        <w:tc>
          <w:tcPr/>
          <w:p>
            <w:pPr>
              <w:pStyle w:val="Compact"/>
              <w:jc w:val="left"/>
            </w:pPr>
            <w:r>
              <w:t xml:space="preserve">Shares in spółki z o.o.</w:t>
            </w:r>
          </w:p>
        </w:tc>
        <w:tc>
          <w:tcPr/>
          <w:p>
            <w:pPr>
              <w:pStyle w:val="Compact"/>
              <w:jc w:val="left"/>
            </w:pPr>
            <w:r>
              <w:t xml:space="preserve">100% seizable</w:t>
            </w:r>
          </w:p>
        </w:tc>
        <w:tc>
          <w:tcPr/>
          <w:p>
            <w:pPr>
              <w:pStyle w:val="Compact"/>
              <w:jc w:val="left"/>
            </w:pPr>
            <w:r>
              <w:t xml:space="preserve">art. 909–912 KPC</w:t>
            </w:r>
          </w:p>
        </w:tc>
        <w:tc>
          <w:tcPr/>
          <w:p>
            <w:pPr>
              <w:pStyle w:val="Compact"/>
              <w:jc w:val="left"/>
            </w:pPr>
            <w:r>
              <w:t xml:space="preserve">Komornik notifies KRS court; debtor retains voting rights</w:t>
            </w:r>
          </w:p>
        </w:tc>
      </w:tr>
    </w:tbl>
    <w:p>
      <w:pPr>
        <w:pStyle w:val="BodyText"/>
      </w:pPr>
      <w:r>
        <w:t xml:space="preserve">The table reveals a clear pattern in Polish enforcement law: the strongest protections apply to personal subsistence (household items, minimum wage, social benefits), while business assets and tax refunds enjoy no protection at all. For a dormant JDG with a business account that may hold minimal funds but has no</w:t>
      </w:r>
      <w:r>
        <w:t xml:space="preserve"> </w:t>
      </w:r>
      <w:r>
        <w:rPr>
          <w:iCs/>
          <w:i/>
        </w:rPr>
        <w:t xml:space="preserve">kwota wolna</w:t>
      </w:r>
      <w:r>
        <w:t xml:space="preserve"> </w:t>
      </w:r>
      <w:r>
        <w:t xml:space="preserve">shield, the creditor should treat the business account as the highest-priority target. The personal account, even if found, is protected up to 3,499.50 zł monthly. Tax overpayments, if they exist, represent the second-highest value target because they are fully exposed and can be substantial.</w:t>
      </w:r>
    </w:p>
    <w:p>
      <w:pPr>
        <w:pStyle w:val="BodyText"/>
      </w:pPr>
      <w:r>
        <w:t xml:space="preserve">The creditor should bear in mind one further limitation: a Polish komornik’s powers are territorially confined to Poland. Under art. 1110(4) § 1 KPC, exclusive jurisdiction for enforcement cases lies with the country where enforcement is conducted.</w:t>
      </w:r>
      <w:fldSimple w:instr="NOTEREF _Ref_Footnote_43 \h \f">
        <w:r>
          <w:rPr>
            <w:vertAlign w:val="superscript"/>
          </w:rPr>
          <w:t>43</w:t>
        </w:r>
      </w:fldSimple>
      <w:r>
        <w:t xml:space="preserve">The komornik cannot send a garnishment notice to a Dutch employer, seize a Dutch bank account, or access Netherlands social insurance data. Cross-border enforcement against the debtor’s Netherlands salary or assets requires the European Enforcement Order pathway and engagement of a Dutch</w:t>
      </w:r>
      <w:r>
        <w:t xml:space="preserve"> </w:t>
      </w:r>
      <w:r>
        <w:rPr>
          <w:iCs/>
          <w:i/>
        </w:rPr>
        <w:t xml:space="preserve">Gerechtsdeurwaarder</w:t>
      </w:r>
      <w:r>
        <w:t xml:space="preserve"> </w:t>
      </w:r>
      <w:r>
        <w:t xml:space="preserve">— a topic addressed in Chapter 4. What the komornik</w:t>
      </w:r>
      <w:r>
        <w:t xml:space="preserve"> </w:t>
      </w:r>
      <w:r>
        <w:rPr>
          <w:iCs/>
          <w:i/>
        </w:rPr>
        <w:t xml:space="preserve">can</w:t>
      </w:r>
      <w:r>
        <w:t xml:space="preserve"> </w:t>
      </w:r>
      <w:r>
        <w:t xml:space="preserve">do within Poland, as this chapter has shown, is systematically search every domestic asset register, seize every exposed account, and maintain those seizures indefinitely to capture any future deposits that may flow into the Polish banking system.</w:t>
      </w:r>
    </w:p>
    <w:p>
      <w:r>
        <w:pict>
          <v:rect style="width:0;height:1.5pt" o:hralign="center" o:hrstd="t" o:hr="t"/>
        </w:pict>
      </w:r>
    </w:p>
    <w:bookmarkEnd w:id="51"/>
    <w:bookmarkEnd w:id="52"/>
    <w:bookmarkEnd w:id="53"/>
    <w:bookmarkStart w:id="75" w:name="what-if-nothing-is-found-in-poland"/>
    <w:p>
      <w:pPr>
        <w:pStyle w:val="Heading2"/>
      </w:pPr>
      <w:r>
        <w:t xml:space="preserve">3. What If Nothing Is Found in Poland</w:t>
      </w:r>
    </w:p>
    <w:p>
      <w:pPr>
        <w:pStyle w:val="FirstParagraph"/>
      </w:pPr>
      <w:r>
        <w:t xml:space="preserve">When the komornik’s sweep through OGNIVO, CEPiK, EKW, ZUS, and CEIDG returns empty — zero bank balances, no real estate, no vehicle, no Polish employment, no active business — the creditor faces a pivotal moment. Polish enforcement law has a specific procedure for this scenario:</w:t>
      </w:r>
      <w:r>
        <w:t xml:space="preserve"> </w:t>
      </w:r>
      <w:r>
        <w:rPr>
          <w:iCs/>
          <w:i/>
        </w:rPr>
        <w:t xml:space="preserve">umorzenie postępowania egzekucyjnego</w:t>
      </w:r>
      <w:r>
        <w:t xml:space="preserve"> </w:t>
      </w:r>
      <w:r>
        <w:t xml:space="preserve">(termination of enforcement proceedings) under art. 824 §1 pkt 3 KPC. The termination decision itself — the</w:t>
      </w:r>
      <w:r>
        <w:t xml:space="preserve"> </w:t>
      </w:r>
      <w:r>
        <w:rPr>
          <w:iCs/>
          <w:i/>
        </w:rPr>
        <w:t xml:space="preserve">postanowienie o umorzeniu</w:t>
      </w:r>
      <w:r>
        <w:t xml:space="preserve"> </w:t>
      </w:r>
      <w:r>
        <w:t xml:space="preserve">— becomes one of the most strategically valuable documents in the creditor’s arsenal, even though it formally records a failure. This section explains the termination process, the certificate’s multiple uses, the limited but not zero value of</w:t>
      </w:r>
      <w:r>
        <w:t xml:space="preserve"> </w:t>
      </w:r>
      <w:r>
        <w:rPr>
          <w:iCs/>
          <w:i/>
        </w:rPr>
        <w:t xml:space="preserve">wyjawienie majątku</w:t>
      </w:r>
      <w:r>
        <w:t xml:space="preserve"> </w:t>
      </w:r>
      <w:r>
        <w:t xml:space="preserve">(court-ordered asset disclosure) against a Netherlands-resident debtor, and the critical limitation-period rules that govern how long the creditor’s claim remains alive.</w:t>
      </w:r>
    </w:p>
    <w:bookmarkStart w:id="57" w:name="X116cf2833ecfc2e8c6c8e57119e963763ceeec7"/>
    <w:p>
      <w:pPr>
        <w:pStyle w:val="Heading3"/>
      </w:pPr>
      <w:r>
        <w:t xml:space="preserve">3.1 Umorzenie Postępowania Egzekucyjnego (Art. 824 §1 pkt 3 KPC)</w:t>
      </w:r>
    </w:p>
    <w:bookmarkStart w:id="54" w:name="the-trigger-economic-futility"/>
    <w:p>
      <w:pPr>
        <w:pStyle w:val="Heading4"/>
      </w:pPr>
      <w:r>
        <w:t xml:space="preserve">3.1.1 The Trigger: Economic Futility</w:t>
      </w:r>
    </w:p>
    <w:p>
      <w:pPr>
        <w:pStyle w:val="FirstParagraph"/>
      </w:pPr>
      <w:r>
        <w:t xml:space="preserve">Art. 824 §1 pkt 3 KPC mandates ex-officio termination when</w:t>
      </w:r>
      <w:r>
        <w:t xml:space="preserve"> </w:t>
      </w:r>
      <w:r>
        <w:t xml:space="preserve">“</w:t>
      </w:r>
      <w:r>
        <w:rPr>
          <w:iCs/>
          <w:i/>
        </w:rPr>
        <w:t xml:space="preserve">jest oczywiste, że z egzekucji nie uzyska się sumy wyższej od kosztów egzekucyjnych</w:t>
      </w:r>
      <w:r>
        <w:t xml:space="preserve">”</w:t>
      </w:r>
      <w:r>
        <w:t xml:space="preserve"> </w:t>
      </w:r>
      <w:r>
        <w:t xml:space="preserve">— it is obvious that enforcement will not yield a sum higher than the enforcement costs.</w:t>
      </w:r>
      <w:fldSimple w:instr="NOTEREF _Ref_Footnote_1 \h \f">
        <w:r>
          <w:rPr>
            <w:vertAlign w:val="superscript"/>
          </w:rPr>
          <w:t>1</w:t>
        </w:r>
      </w:fldSimple>
      <w:r>
        <w:t xml:space="preserve">This is a</w:t>
      </w:r>
      <w:r>
        <w:t xml:space="preserve"> </w:t>
      </w:r>
      <w:r>
        <w:rPr>
          <w:iCs/>
          <w:i/>
        </w:rPr>
        <w:t xml:space="preserve">numerus clausus</w:t>
      </w:r>
      <w:r>
        <w:t xml:space="preserve"> </w:t>
      </w:r>
      <w:r>
        <w:t xml:space="preserve">ground: the komornik has no discretion once the condition is met. The phrase</w:t>
      </w:r>
      <w:r>
        <w:t xml:space="preserve"> </w:t>
      </w:r>
      <w:r>
        <w:t xml:space="preserve">“</w:t>
      </w:r>
      <w:r>
        <w:rPr>
          <w:iCs/>
          <w:i/>
        </w:rPr>
        <w:t xml:space="preserve">oczywiste</w:t>
      </w:r>
      <w:r>
        <w:t xml:space="preserve">”</w:t>
      </w:r>
      <w:r>
        <w:t xml:space="preserve"> </w:t>
      </w:r>
      <w:r>
        <w:t xml:space="preserve">(obvious) does not permit intuitive guesswork. The Ministry of Justice has clarified that obviousness must be the consequence of comprehensive factual investigation, not a substitute for it — the komornik must exhaust statutory search channels before concluding that enforcement is futile.</w:t>
      </w:r>
      <w:fldSimple w:instr="NOTEREF _Ref_Footnote_2 \h \f">
        <w:r>
          <w:rPr>
            <w:vertAlign w:val="superscript"/>
          </w:rPr>
          <w:t>2</w:t>
        </w:r>
      </w:fldSimple>
      <w:r>
        <w:t xml:space="preserve">The</w:t>
      </w:r>
      <w:r>
        <w:t xml:space="preserve"> </w:t>
      </w:r>
      <w:r>
        <w:t xml:space="preserve">“</w:t>
      </w:r>
      <w:r>
        <w:rPr>
          <w:iCs/>
          <w:i/>
        </w:rPr>
        <w:t xml:space="preserve">koszty egzekucyjne</w:t>
      </w:r>
      <w:r>
        <w:t xml:space="preserve">”</w:t>
      </w:r>
      <w:r>
        <w:t xml:space="preserve"> </w:t>
      </w:r>
      <w:r>
        <w:t xml:space="preserve">(enforcement costs) threshold includes the</w:t>
      </w:r>
      <w:r>
        <w:t xml:space="preserve"> </w:t>
      </w:r>
      <w:r>
        <w:rPr>
          <w:iCs/>
          <w:i/>
        </w:rPr>
        <w:t xml:space="preserve">opłata stosunkowa</w:t>
      </w:r>
      <w:r>
        <w:t xml:space="preserve"> </w:t>
      </w:r>
      <w:r>
        <w:t xml:space="preserve">(proportional fee — 15% of recovered amount, with a minimum of approximately 700–800 zł in 2025),</w:t>
      </w:r>
      <w:r>
        <w:t xml:space="preserve"> </w:t>
      </w:r>
      <w:r>
        <w:rPr>
          <w:iCs/>
          <w:i/>
        </w:rPr>
        <w:t xml:space="preserve">wydatki gotówkowe</w:t>
      </w:r>
      <w:r>
        <w:t xml:space="preserve"> </w:t>
      </w:r>
      <w:r>
        <w:t xml:space="preserve">(cash expenses for delivery, experts, storage), and</w:t>
      </w:r>
      <w:r>
        <w:t xml:space="preserve"> </w:t>
      </w:r>
      <w:r>
        <w:rPr>
          <w:iCs/>
          <w:i/>
        </w:rPr>
        <w:t xml:space="preserve">opłaty za czynności szczególne</w:t>
      </w:r>
      <w:r>
        <w:t xml:space="preserve"> </w:t>
      </w:r>
      <w:r>
        <w:t xml:space="preserve">(special action fees).</w:t>
      </w:r>
      <w:fldSimple w:instr="NOTEREF _Ref_Footnote_3 \h \f">
        <w:r>
          <w:rPr>
            <w:vertAlign w:val="superscript"/>
          </w:rPr>
          <w:t>3</w:t>
        </w:r>
      </w:fldSimple>
      <w:r>
        <w:t xml:space="preserve">For a debtor with absolutely no seizable assets in Poland, the minimum fee alone exceeds the recoverable amount, making termination automatic after the investigation concludes.</w:t>
      </w:r>
    </w:p>
    <w:bookmarkEnd w:id="54"/>
    <w:bookmarkStart w:id="55" w:name="Xa41c0ac6958d5c41d0eaa4e74b60335250c0d57"/>
    <w:p>
      <w:pPr>
        <w:pStyle w:val="Heading4"/>
      </w:pPr>
      <w:r>
        <w:t xml:space="preserve">3.1.2 The Process: From Database Search to Termination</w:t>
      </w:r>
    </w:p>
    <w:p>
      <w:pPr>
        <w:pStyle w:val="FirstParagraph"/>
      </w:pPr>
      <w:r>
        <w:t xml:space="preserve">The komornik follows a statutory sequence that bridges the asset investigation with the termination decision. First, the komornik conducts electronic database searches</w:t>
      </w:r>
      <w:r>
        <w:t xml:space="preserve"> </w:t>
      </w:r>
      <w:r>
        <w:rPr>
          <w:iCs/>
          <w:i/>
        </w:rPr>
        <w:t xml:space="preserve">z urzędu</w:t>
      </w:r>
      <w:r>
        <w:t xml:space="preserve"> </w:t>
      </w:r>
      <w:r>
        <w:t xml:space="preserve">(ex officio): OGNIVO for bank accounts, CEPiK for vehicles, EKW for real estate, PUE ZUS for employment, and CEIDG for business activity.</w:t>
      </w:r>
      <w:fldSimple w:instr="NOTEREF _Ref_Footnote_4 \h \f">
        <w:r>
          <w:rPr>
            <w:vertAlign w:val="superscript"/>
          </w:rPr>
          <w:t>4</w:t>
        </w:r>
      </w:fldSimple>
      <w:r>
        <w:t xml:space="preserve">If these searches reveal no attachable assets, the komornik summons the debtor under art. 801 §1 pkt 2 KPC to submit a written</w:t>
      </w:r>
      <w:r>
        <w:t xml:space="preserve"> </w:t>
      </w:r>
      <w:r>
        <w:rPr>
          <w:iCs/>
          <w:i/>
        </w:rPr>
        <w:t xml:space="preserve">wykaz majątku</w:t>
      </w:r>
      <w:r>
        <w:t xml:space="preserve"> </w:t>
      </w:r>
      <w:r>
        <w:t xml:space="preserve">(asset declaration), warning the debtor of criminal liability for false statements.</w:t>
      </w:r>
      <w:fldSimple w:instr="NOTEREF _Ref_Footnote_5 \h \f">
        <w:r>
          <w:rPr>
            <w:vertAlign w:val="superscript"/>
          </w:rPr>
          <w:t>5</w:t>
        </w:r>
      </w:fldSimple>
      <w:r>
        <w:t xml:space="preserve">If the debtor’s declaration still reveals nothing, the komornik proceeds to the</w:t>
      </w:r>
      <w:r>
        <w:t xml:space="preserve"> </w:t>
      </w:r>
      <w:r>
        <w:rPr>
          <w:iCs/>
          <w:i/>
        </w:rPr>
        <w:t xml:space="preserve">wysłuchanie wierzyciela</w:t>
      </w:r>
      <w:r>
        <w:t xml:space="preserve"> </w:t>
      </w:r>
      <w:r>
        <w:t xml:space="preserve">(hearing of the creditor) under art. 827 §1 KPC. The komornik sends the creditor a written notification documenting all steps taken, the negative results, and a 7-day deadline to either indicate new assets, commission a</w:t>
      </w:r>
      <w:r>
        <w:t xml:space="preserve"> </w:t>
      </w:r>
      <w:r>
        <w:rPr>
          <w:iCs/>
          <w:i/>
        </w:rPr>
        <w:t xml:space="preserve">poszukiwanie majątku</w:t>
      </w:r>
      <w:r>
        <w:t xml:space="preserve"> </w:t>
      </w:r>
      <w:r>
        <w:t xml:space="preserve">(asset search, 100 zł), request a different</w:t>
      </w:r>
      <w:r>
        <w:t xml:space="preserve"> </w:t>
      </w:r>
      <w:r>
        <w:rPr>
          <w:iCs/>
          <w:i/>
        </w:rPr>
        <w:t xml:space="preserve">sposób egzekucji</w:t>
      </w:r>
      <w:r>
        <w:t xml:space="preserve"> </w:t>
      </w:r>
      <w:r>
        <w:t xml:space="preserve">(enforcement method), or request transfer to another komornik.</w:t>
      </w:r>
      <w:fldSimple w:instr="NOTEREF _Ref_Footnote_6 \h \f">
        <w:r>
          <w:rPr>
            <w:vertAlign w:val="superscript"/>
          </w:rPr>
          <w:t>6</w:t>
        </w:r>
      </w:fldSimple>
      <w:r>
        <w:t xml:space="preserve">A real example of such notification reads:</w:t>
      </w:r>
      <w:r>
        <w:t xml:space="preserve"> </w:t>
      </w:r>
      <w:r>
        <w:t xml:space="preserve">“</w:t>
      </w:r>
      <w:r>
        <w:rPr>
          <w:iCs/>
          <w:i/>
        </w:rPr>
        <w:t xml:space="preserve">Wobec powyższego na podstawie art. 827 §1 kpc wzywam wierzyciela w terminie 7 dni od daty otrzymania niniejszego zawiadomienia do złożenia wniosku dotyczącego innego sposobu egzekucji. W przeciwnym razie postępowanie egzekucyjne zostanie umorzone.</w:t>
      </w:r>
      <w:r>
        <w:t xml:space="preserve">”</w:t>
      </w:r>
      <w:fldSimple w:instr="NOTEREF _Ref_Footnote_7 \h \f">
        <w:r>
          <w:rPr>
            <w:vertAlign w:val="superscript"/>
          </w:rPr>
          <w:t>7</w:t>
        </w:r>
      </w:fldSimple>
      <w:r>
        <w:t xml:space="preserve">If the creditor cannot point to new assets within the deadline, the komornik issues the</w:t>
      </w:r>
      <w:r>
        <w:t xml:space="preserve"> </w:t>
      </w:r>
      <w:r>
        <w:rPr>
          <w:iCs/>
          <w:i/>
        </w:rPr>
        <w:t xml:space="preserve">postanowienie o umorzeniu postępowania egzekucyjnego</w:t>
      </w:r>
      <w:r>
        <w:t xml:space="preserve"> </w:t>
      </w:r>
      <w:r>
        <w:t xml:space="preserve">under art. 824 §1 pkt 3 KPC. The decision must contain: identification of parties, legal basis, factual findings (what searches were conducted and what was found), the operative part (termination in whole or part), a costs ruling, and information about appeal rights (</w:t>
      </w:r>
      <w:r>
        <w:rPr>
          <w:iCs/>
          <w:i/>
        </w:rPr>
        <w:t xml:space="preserve">zażalenie</w:t>
      </w:r>
      <w:r>
        <w:t xml:space="preserve"> </w:t>
      </w:r>
      <w:r>
        <w:t xml:space="preserve">within one week).</w:t>
      </w:r>
      <w:fldSimple w:instr="NOTEREF _Ref_Footnote_8 \h \f">
        <w:r>
          <w:rPr>
            <w:vertAlign w:val="superscript"/>
          </w:rPr>
          <w:t>8</w:t>
        </w:r>
      </w:fldSimple>
      <w:r>
        <w:t xml:space="preserve">#### 3.1.3 Timeline: 12–24 Months with No Statutory Floor</w:t>
      </w:r>
    </w:p>
    <w:p>
      <w:pPr>
        <w:pStyle w:val="BodyText"/>
      </w:pPr>
      <w:r>
        <w:t xml:space="preserve">Polish law does not prescribe a minimum or maximum duration for the pre-termination investigation. In mass enforcement practice — consumer debts, payday loans, credit cards — komornicy typically terminate after 12 to 24 months of unsuccessful asset searches.</w:t>
      </w:r>
      <w:fldSimple w:instr="NOTEREF _Ref_Footnote_9 \h \f">
        <w:r>
          <w:rPr>
            <w:vertAlign w:val="superscript"/>
          </w:rPr>
          <w:t>9</w:t>
        </w:r>
      </w:fldSimple>
      <w:r>
        <w:t xml:space="preserve">The wide range depends on the komornik’s caseload, the creditor’s responsiveness, whether the debtor answers summons, and whether the creditor requests additional actions. For a debtor with no Polish assets whatsoever from the outset, the process may lean toward the shorter end; for a JDG debtor where the komornik must also investigate business-related records, it may take longer.</w:t>
      </w:r>
    </w:p>
    <w:p>
      <w:pPr>
        <w:pStyle w:val="BodyText"/>
      </w:pPr>
      <w:r>
        <w:t xml:space="preserve">The only hard deadline working against the creditor is art. 824 §1 pkt 4 KPC: if the creditor does nothing for six months (fails to pay deposits, respond to inquiries, or take required steps), termination becomes mandatory and — critically — the limitation interruption is nullified (see Section 3.4.3 below).</w:t>
      </w:r>
    </w:p>
    <w:bookmarkEnd w:id="55"/>
    <w:bookmarkStart w:id="56" w:name="X5d9f05512865000a150a26d4af28e0cc240718d"/>
    <w:p>
      <w:pPr>
        <w:pStyle w:val="Heading4"/>
      </w:pPr>
      <w:r>
        <w:t xml:space="preserve">3.1.4 The Document Received: Postanowienie Komornika o Umorzeniu</w:t>
      </w:r>
    </w:p>
    <w:p>
      <w:pPr>
        <w:pStyle w:val="FirstParagraph"/>
      </w:pPr>
      <w:r>
        <w:t xml:space="preserve">The</w:t>
      </w:r>
      <w:r>
        <w:t xml:space="preserve"> </w:t>
      </w:r>
      <w:r>
        <w:rPr>
          <w:iCs/>
          <w:i/>
        </w:rPr>
        <w:t xml:space="preserve">postanowienie komornika sądowego o umorzeniu postępowania egzekucyjnego</w:t>
      </w:r>
      <w:r>
        <w:t xml:space="preserve"> </w:t>
      </w:r>
      <w:r>
        <w:t xml:space="preserve">is the formal finding of</w:t>
      </w:r>
      <w:r>
        <w:t xml:space="preserve"> </w:t>
      </w:r>
      <w:r>
        <w:rPr>
          <w:iCs/>
          <w:i/>
        </w:rPr>
        <w:t xml:space="preserve">bezskuteczność egzekucji</w:t>
      </w:r>
      <w:r>
        <w:t xml:space="preserve"> </w:t>
      </w:r>
      <w:r>
        <w:t xml:space="preserve">(ineffectiveness of enforcement). It is not a separate document — the postanowienie itself IS the certificate.</w:t>
      </w:r>
      <w:fldSimple w:instr="NOTEREF _Ref_Footnote_10 \h \f">
        <w:r>
          <w:rPr>
            <w:vertAlign w:val="superscript"/>
          </w:rPr>
          <w:t>10</w:t>
        </w:r>
      </w:fldSimple>
      <w:r>
        <w:t xml:space="preserve">This point causes frequent confusion: some creditors colloquially refer to a</w:t>
      </w:r>
      <w:r>
        <w:t xml:space="preserve"> </w:t>
      </w:r>
      <w:r>
        <w:t xml:space="preserve">“</w:t>
      </w:r>
      <w:r>
        <w:rPr>
          <w:iCs/>
          <w:i/>
        </w:rPr>
        <w:t xml:space="preserve">zaświadczenie o bezskuteczności</w:t>
      </w:r>
      <w:r>
        <w:t xml:space="preserve">”</w:t>
      </w:r>
      <w:r>
        <w:t xml:space="preserve"> </w:t>
      </w:r>
      <w:r>
        <w:t xml:space="preserve">as if it were a separate instrument, but no such standalone document exists in general enforcement proceedings. (A separate</w:t>
      </w:r>
      <w:r>
        <w:t xml:space="preserve"> </w:t>
      </w:r>
      <w:r>
        <w:rPr>
          <w:iCs/>
          <w:i/>
        </w:rPr>
        <w:t xml:space="preserve">zaświadczenie o bezskuteczności alimentów</w:t>
      </w:r>
      <w:r>
        <w:t xml:space="preserve"> </w:t>
      </w:r>
      <w:r>
        <w:t xml:space="preserve">exists only for alimony cases, intended for Fundusz Alimentacyjny applications.)</w:t>
      </w:r>
      <w:fldSimple w:instr="NOTEREF _Ref_Footnote_11 \h \f">
        <w:r>
          <w:rPr>
            <w:vertAlign w:val="superscript"/>
          </w:rPr>
          <w:t>11</w:t>
        </w:r>
      </w:fldSimple>
      <w:r>
        <w:t xml:space="preserve">Upon termination, art. 826 KPC automatically reverses all enforcement actions — bank seizures are lifted, wage garnishments stop, property entries are removed.</w:t>
      </w:r>
      <w:fldSimple w:instr="NOTEREF _Ref_Footnote_12 \h \f">
        <w:r>
          <w:rPr>
            <w:vertAlign w:val="superscript"/>
          </w:rPr>
          <w:t>12</w:t>
        </w:r>
      </w:fldSimple>
      <w:r>
        <w:t xml:space="preserve">The komornik returns the</w:t>
      </w:r>
      <w:r>
        <w:t xml:space="preserve"> </w:t>
      </w:r>
      <w:r>
        <w:rPr>
          <w:iCs/>
          <w:i/>
        </w:rPr>
        <w:t xml:space="preserve">tytuł wykonawczy</w:t>
      </w:r>
      <w:r>
        <w:t xml:space="preserve"> </w:t>
      </w:r>
      <w:r>
        <w:t xml:space="preserve">to the creditor, who must preserve it carefully for future re-enforcement.</w:t>
      </w:r>
    </w:p>
    <w:bookmarkEnd w:id="56"/>
    <w:bookmarkEnd w:id="57"/>
    <w:bookmarkStart w:id="62" w:name="X297ea3d8ced1ece9145c81f2905b4d8bdc03f35"/>
    <w:p>
      <w:pPr>
        <w:pStyle w:val="Heading3"/>
      </w:pPr>
      <w:r>
        <w:t xml:space="preserve">3.2 Strategic Value of the Bezskuteczność Certificate</w:t>
      </w:r>
    </w:p>
    <w:p>
      <w:pPr>
        <w:pStyle w:val="FirstParagraph"/>
      </w:pPr>
      <w:r>
        <w:t xml:space="preserve">The postanowienie o umorzeniu is far more than a formal acknowledgment of failure. Its strategic value extends across four distinct domains, with dramatically different utility in each.</w:t>
      </w:r>
    </w:p>
    <w:tbl>
      <w:tblPr>
        <w:tblStyle w:val="Table"/>
        <w:tblW w:type="pct" w:w="5000"/>
        <w:tblLook w:firstRow="1" w:lastRow="0" w:firstColumn="0" w:lastColumn="0" w:noHBand="0" w:noVBand="0" w:val="0020"/>
      </w:tblPr>
      <w:tblGrid>
        <w:gridCol w:w="905"/>
        <w:gridCol w:w="792"/>
        <w:gridCol w:w="2941"/>
        <w:gridCol w:w="2149"/>
        <w:gridCol w:w="1131"/>
      </w:tblGrid>
      <w:tr>
        <w:trPr>
          <w:tblHeader w:val="true"/>
        </w:trPr>
        <w:tc>
          <w:tcPr/>
          <w:p>
            <w:pPr>
              <w:pStyle w:val="Compact"/>
              <w:jc w:val="left"/>
            </w:pPr>
            <w:r>
              <w:t xml:space="preserve">Domain</w:t>
            </w:r>
          </w:p>
        </w:tc>
        <w:tc>
          <w:tcPr/>
          <w:p>
            <w:pPr>
              <w:pStyle w:val="Compact"/>
              <w:jc w:val="left"/>
            </w:pPr>
            <w:r>
              <w:t xml:space="preserve">Value</w:t>
            </w:r>
          </w:p>
        </w:tc>
        <w:tc>
          <w:tcPr/>
          <w:p>
            <w:pPr>
              <w:pStyle w:val="Compact"/>
              <w:jc w:val="left"/>
            </w:pPr>
            <w:r>
              <w:t xml:space="preserve">What the Certificate Does</w:t>
            </w:r>
          </w:p>
        </w:tc>
        <w:tc>
          <w:tcPr/>
          <w:p>
            <w:pPr>
              <w:pStyle w:val="Compact"/>
              <w:jc w:val="left"/>
            </w:pPr>
            <w:r>
              <w:t xml:space="preserve">What It Cannot Do</w:t>
            </w:r>
          </w:p>
        </w:tc>
        <w:tc>
          <w:tcPr/>
          <w:p>
            <w:pPr>
              <w:pStyle w:val="Compact"/>
              <w:jc w:val="left"/>
            </w:pPr>
            <w:r>
              <w:t xml:space="preserve">Priority</w:t>
            </w:r>
          </w:p>
        </w:tc>
      </w:tr>
      <w:tr>
        <w:tc>
          <w:tcPr/>
          <w:p>
            <w:pPr>
              <w:pStyle w:val="Compact"/>
              <w:jc w:val="left"/>
            </w:pPr>
            <w:r>
              <w:rPr>
                <w:bCs/>
                <w:b/>
              </w:rPr>
              <w:t xml:space="preserve">Tax write-off (PIT/CIT)</w:t>
            </w:r>
          </w:p>
        </w:tc>
        <w:tc>
          <w:tcPr/>
          <w:p>
            <w:pPr>
              <w:pStyle w:val="Compact"/>
              <w:jc w:val="left"/>
            </w:pPr>
            <w:r>
              <w:t xml:space="preserve">Very high</w:t>
            </w:r>
          </w:p>
        </w:tc>
        <w:tc>
          <w:tcPr/>
          <w:p>
            <w:pPr>
              <w:pStyle w:val="Compact"/>
              <w:jc w:val="left"/>
            </w:pPr>
            <w:r>
              <w:t xml:space="preserve">Constitutes statutory</w:t>
            </w:r>
            <w:r>
              <w:t xml:space="preserve"> </w:t>
            </w:r>
            <w:r>
              <w:rPr>
                <w:iCs/>
                <w:i/>
              </w:rPr>
              <w:t xml:space="preserve">postanowienie o nieściągalności</w:t>
            </w:r>
            <w:r>
              <w:t xml:space="preserve"> </w:t>
            </w:r>
            <w:r>
              <w:t xml:space="preserve">under art. 23 ust. 2 PIT / art. 16 ust. 2 CIT; enables full KUP deduction</w:t>
            </w:r>
            <w:r>
              <w:rPr>
                <w:vertAlign w:val="superscript"/>
              </w:rPr>
              <w:footnoteReference w:id="53"/>
            </w:r>
            <w:r>
              <w:t xml:space="preserve"> </w:t>
            </w:r>
            <w:r>
              <w:rPr>
                <w:vertAlign w:val="superscript"/>
              </w:rPr>
              <w:footnoteReference w:id="54"/>
            </w:r>
          </w:p>
        </w:tc>
        <w:tc>
          <w:tcPr/>
          <w:p>
            <w:pPr>
              <w:pStyle w:val="Compact"/>
              <w:jc w:val="left"/>
            </w:pPr>
            <w:r>
              <w:t xml:space="preserve">Must state</w:t>
            </w:r>
            <w:r>
              <w:t xml:space="preserve"> </w:t>
            </w:r>
            <w:r>
              <w:t xml:space="preserve">“</w:t>
            </w:r>
            <w:r>
              <w:t xml:space="preserve">brak majątku</w:t>
            </w:r>
            <w:r>
              <w:t xml:space="preserve">”</w:t>
            </w:r>
            <w:r>
              <w:t xml:space="preserve"> </w:t>
            </w:r>
            <w:r>
              <w:t xml:space="preserve">as cause; creditor must actively accept it as factual</w:t>
            </w:r>
          </w:p>
        </w:tc>
        <w:tc>
          <w:tcPr/>
          <w:p>
            <w:pPr>
              <w:pStyle w:val="Compact"/>
              <w:jc w:val="left"/>
            </w:pPr>
            <w:r>
              <w:t xml:space="preserve">Immediate upon receipt</w:t>
            </w:r>
          </w:p>
        </w:tc>
      </w:tr>
      <w:tr>
        <w:tc>
          <w:tcPr/>
          <w:p>
            <w:pPr>
              <w:pStyle w:val="Compact"/>
              <w:jc w:val="left"/>
            </w:pPr>
            <w:r>
              <w:rPr>
                <w:bCs/>
                <w:b/>
              </w:rPr>
              <w:t xml:space="preserve">Criminal track (art. 300 KK)</w:t>
            </w:r>
          </w:p>
        </w:tc>
        <w:tc>
          <w:tcPr/>
          <w:p>
            <w:pPr>
              <w:pStyle w:val="Compact"/>
              <w:jc w:val="left"/>
            </w:pPr>
            <w:r>
              <w:t xml:space="preserve">Moderate</w:t>
            </w:r>
          </w:p>
        </w:tc>
        <w:tc>
          <w:tcPr/>
          <w:p>
            <w:pPr>
              <w:pStyle w:val="Compact"/>
              <w:jc w:val="left"/>
            </w:pPr>
            <w:r>
              <w:t xml:space="preserve">Triggers complaint process; proves enforcement failure as predicate effect</w:t>
            </w:r>
          </w:p>
        </w:tc>
        <w:tc>
          <w:tcPr/>
          <w:p>
            <w:pPr>
              <w:pStyle w:val="Compact"/>
              <w:jc w:val="left"/>
            </w:pPr>
            <w:r>
              <w:t xml:space="preserve">Does NOT prove intent; separate evidence of intentional asset disposition required</w:t>
            </w:r>
            <w:r>
              <w:rPr>
                <w:vertAlign w:val="superscript"/>
              </w:rPr>
              <w:footnoteReference w:id="55"/>
            </w:r>
            <w:r>
              <w:t xml:space="preserve"> </w:t>
            </w:r>
            <w:r>
              <w:rPr>
                <w:vertAlign w:val="superscript"/>
              </w:rPr>
              <w:footnoteReference w:id="56"/>
            </w:r>
          </w:p>
        </w:tc>
        <w:tc>
          <w:tcPr/>
          <w:p>
            <w:pPr>
              <w:pStyle w:val="Compact"/>
              <w:jc w:val="left"/>
            </w:pPr>
            <w:r>
              <w:t xml:space="preserve">Only if asset-transfer evidence exists</w:t>
            </w:r>
          </w:p>
        </w:tc>
      </w:tr>
      <w:tr>
        <w:tc>
          <w:tcPr/>
          <w:p>
            <w:pPr>
              <w:pStyle w:val="Compact"/>
              <w:jc w:val="left"/>
            </w:pPr>
            <w:r>
              <w:rPr>
                <w:bCs/>
                <w:b/>
              </w:rPr>
              <w:t xml:space="preserve">Re-enforcement</w:t>
            </w:r>
          </w:p>
        </w:tc>
        <w:tc>
          <w:tcPr/>
          <w:p>
            <w:pPr>
              <w:pStyle w:val="Compact"/>
              <w:jc w:val="left"/>
            </w:pPr>
            <w:r>
              <w:t xml:space="preserve">High</w:t>
            </w:r>
          </w:p>
        </w:tc>
        <w:tc>
          <w:tcPr/>
          <w:p>
            <w:pPr>
              <w:pStyle w:val="Compact"/>
              <w:jc w:val="left"/>
            </w:pPr>
            <w:r>
              <w:t xml:space="preserve">Preserves all rights; unlimited restarts under art. 826 KPC with</w:t>
            </w:r>
            <w:r>
              <w:t xml:space="preserve"> </w:t>
            </w:r>
            <w:r>
              <w:rPr>
                <w:iCs/>
                <w:i/>
              </w:rPr>
              <w:t xml:space="preserve">nowe okoliczności</w:t>
            </w:r>
            <w:r>
              <w:rPr>
                <w:vertAlign w:val="superscript"/>
              </w:rPr>
              <w:footnoteReference w:id="57"/>
            </w:r>
            <w:r>
              <w:t xml:space="preserve"> </w:t>
            </w:r>
            <w:r>
              <w:rPr>
                <w:vertAlign w:val="superscript"/>
              </w:rPr>
              <w:footnoteReference w:id="58"/>
            </w:r>
          </w:p>
        </w:tc>
        <w:tc>
          <w:tcPr/>
          <w:p>
            <w:pPr>
              <w:pStyle w:val="Compact"/>
              <w:jc w:val="left"/>
            </w:pPr>
            <w:r>
              <w:t xml:space="preserve">Creditor must identify new assets/employment; each restart requires ~200 zł deposit</w:t>
            </w:r>
          </w:p>
        </w:tc>
        <w:tc>
          <w:tcPr/>
          <w:p>
            <w:pPr>
              <w:pStyle w:val="Compact"/>
              <w:jc w:val="left"/>
            </w:pPr>
            <w:r>
              <w:t xml:space="preserve">Periodic (every 3 years minimum)</w:t>
            </w:r>
          </w:p>
        </w:tc>
      </w:tr>
      <w:tr>
        <w:tc>
          <w:tcPr/>
          <w:p>
            <w:pPr>
              <w:pStyle w:val="Compact"/>
              <w:jc w:val="left"/>
            </w:pPr>
            <w:r>
              <w:rPr>
                <w:bCs/>
                <w:b/>
              </w:rPr>
              <w:t xml:space="preserve">Cross-border (Netherlands)</w:t>
            </w:r>
          </w:p>
        </w:tc>
        <w:tc>
          <w:tcPr/>
          <w:p>
            <w:pPr>
              <w:pStyle w:val="Compact"/>
              <w:jc w:val="left"/>
            </w:pPr>
            <w:r>
              <w:t xml:space="preserve">None</w:t>
            </w:r>
          </w:p>
        </w:tc>
        <w:tc>
          <w:tcPr/>
          <w:p>
            <w:pPr>
              <w:pStyle w:val="Compact"/>
              <w:jc w:val="left"/>
            </w:pPr>
            <w:r>
              <w:t xml:space="preserve">Certificate is irrelevant for Dutch enforcement</w:t>
            </w:r>
          </w:p>
        </w:tc>
        <w:tc>
          <w:tcPr/>
          <w:p>
            <w:pPr>
              <w:pStyle w:val="Compact"/>
              <w:jc w:val="left"/>
            </w:pPr>
            <w:r>
              <w:t xml:space="preserve">Operative document is Polish judgment +</w:t>
            </w:r>
            <w:r>
              <w:t xml:space="preserve"> </w:t>
            </w:r>
            <w:r>
              <w:rPr>
                <w:iCs/>
                <w:i/>
              </w:rPr>
              <w:t xml:space="preserve">klauzula wykonalności</w:t>
            </w:r>
            <w:r>
              <w:t xml:space="preserve"> </w:t>
            </w:r>
            <w:r>
              <w:t xml:space="preserve">+ Brussels I bis; Dutch</w:t>
            </w:r>
            <w:r>
              <w:t xml:space="preserve"> </w:t>
            </w:r>
            <w:r>
              <w:rPr>
                <w:iCs/>
                <w:i/>
              </w:rPr>
              <w:t xml:space="preserve">deurwaarder</w:t>
            </w:r>
            <w:r>
              <w:t xml:space="preserve"> </w:t>
            </w:r>
            <w:r>
              <w:t xml:space="preserve">enforces, not Polish komornik</w:t>
            </w:r>
            <w:r>
              <w:rPr>
                <w:vertAlign w:val="superscript"/>
              </w:rPr>
              <w:footnoteReference w:id="59"/>
            </w:r>
          </w:p>
        </w:tc>
        <w:tc>
          <w:tcPr/>
          <w:p>
            <w:pPr>
              <w:pStyle w:val="Compact"/>
              <w:jc w:val="left"/>
            </w:pPr>
            <w:r>
              <w:t xml:space="preserve">N/A — use judgment instead</w:t>
            </w:r>
          </w:p>
        </w:tc>
      </w:tr>
    </w:tbl>
    <w:p>
      <w:pPr>
        <w:pStyle w:val="BodyText"/>
      </w:pPr>
      <w:r>
        <w:rPr>
          <w:bCs/>
          <w:b/>
        </w:rPr>
        <w:t xml:space="preserve">Analytical interpretation.</w:t>
      </w:r>
      <w:r>
        <w:t xml:space="preserve"> </w:t>
      </w:r>
      <w:r>
        <w:t xml:space="preserve">The table reveals a counter-intuitive reality: the</w:t>
      </w:r>
      <w:r>
        <w:t xml:space="preserve"> </w:t>
      </w:r>
      <w:r>
        <w:t xml:space="preserve">“</w:t>
      </w:r>
      <w:r>
        <w:t xml:space="preserve">failure</w:t>
      </w:r>
      <w:r>
        <w:t xml:space="preserve">”</w:t>
      </w:r>
      <w:r>
        <w:t xml:space="preserve"> </w:t>
      </w:r>
      <w:r>
        <w:t xml:space="preserve">document is more valuable than the enforcement itself for a creditor with a Netherlands-based debtor. The tax deduction alone may recover 19% (CIT) or up to 32% (PIT progressive) of the uncollected principal. The re-enforcement right keeps the claim alive indefinitely at a cost of roughly 200 zł every three years. The cross-border column is deliberately marked</w:t>
      </w:r>
      <w:r>
        <w:t xml:space="preserve"> </w:t>
      </w:r>
      <w:r>
        <w:t xml:space="preserve">“</w:t>
      </w:r>
      <w:r>
        <w:t xml:space="preserve">none</w:t>
      </w:r>
      <w:r>
        <w:t xml:space="preserve">”</w:t>
      </w:r>
      <w:r>
        <w:t xml:space="preserve"> </w:t>
      </w:r>
      <w:r>
        <w:t xml:space="preserve">— creditors frequently waste time attempting to present the Polish bezskuteczność certificate to Dutch authorities, who have no legal framework for recognizing it. What matters in the Netherlands is the underlying Polish judgment with executory formula, plus knowledge of the debtor’s Dutch employer (addressed in Chapter 4).</w:t>
      </w:r>
    </w:p>
    <w:bookmarkStart w:id="58" w:name="tax-write-off-the-kis-interpretation"/>
    <w:p>
      <w:pPr>
        <w:pStyle w:val="Heading4"/>
      </w:pPr>
      <w:r>
        <w:t xml:space="preserve">3.2.1 Tax Write-Off: The KIS Interpretation</w:t>
      </w:r>
    </w:p>
    <w:p>
      <w:pPr>
        <w:pStyle w:val="FirstParagraph"/>
      </w:pPr>
      <w:r>
        <w:t xml:space="preserve">The highest-value use of the postanowienie is Polish tax relief. An official interpretation by the Director of the National Tax Information Service (KIS, sygn. 0112-KDIL2-2.4011.485.2023.1.MM) explicitly equates the bailiff’s art. 824 §1 pkt 3 postanowienie with the</w:t>
      </w:r>
      <w:r>
        <w:t xml:space="preserve"> </w:t>
      </w:r>
      <w:r>
        <w:t xml:space="preserve">“</w:t>
      </w:r>
      <w:r>
        <w:rPr>
          <w:iCs/>
          <w:i/>
        </w:rPr>
        <w:t xml:space="preserve">postanowienie o nieściągalności</w:t>
      </w:r>
      <w:r>
        <w:t xml:space="preserve">”</w:t>
      </w:r>
      <w:r>
        <w:t xml:space="preserve"> </w:t>
      </w:r>
      <w:r>
        <w:t xml:space="preserve">required by art. 23 ust. 2 pkt 1 PIT and art. 16 ust. 2 pkt 1 CIT.</w:t>
      </w:r>
      <w:fldSimple w:instr="NOTEREF _Ref_Footnote_53 \h \f">
        <w:r>
          <w:rPr>
            <w:vertAlign w:val="superscript"/>
          </w:rPr>
          <w:t>53</w:t>
        </w:r>
      </w:fldSimple>
      <w:r>
        <w:t xml:space="preserve">The creditor may include the uncollectible receivable in</w:t>
      </w:r>
      <w:r>
        <w:t xml:space="preserve"> </w:t>
      </w:r>
      <w:r>
        <w:rPr>
          <w:iCs/>
          <w:i/>
        </w:rPr>
        <w:t xml:space="preserve">koszty uzyskania przychodów</w:t>
      </w:r>
      <w:r>
        <w:t xml:space="preserve"> </w:t>
      </w:r>
      <w:r>
        <w:t xml:space="preserve">(tax-deductible costs, KUP), directly reducing taxable income by the receivable’s net value.</w:t>
      </w:r>
    </w:p>
    <w:p>
      <w:pPr>
        <w:pStyle w:val="BodyText"/>
      </w:pPr>
      <w:r>
        <w:t xml:space="preserve">Three cumulative conditions must be met: (1) the receivable was previously recognized as taxable revenue (</w:t>
      </w:r>
      <w:r>
        <w:rPr>
          <w:iCs/>
          <w:i/>
        </w:rPr>
        <w:t xml:space="preserve">przychód należny</w:t>
      </w:r>
      <w:r>
        <w:t xml:space="preserve">), (2) the receivable is not time-barred (</w:t>
      </w:r>
      <w:r>
        <w:rPr>
          <w:iCs/>
          <w:i/>
        </w:rPr>
        <w:t xml:space="preserve">nieprzedawniona</w:t>
      </w:r>
      <w:r>
        <w:t xml:space="preserve">), and (3) the postanowienie clearly states that the basis for uncollectibility was the debtor’s lack of assets.</w:t>
      </w:r>
      <w:fldSimple w:instr="NOTEREF _Ref_Footnote_54 \h \f">
        <w:r>
          <w:rPr>
            <w:vertAlign w:val="superscript"/>
          </w:rPr>
          <w:t>54</w:t>
        </w:r>
      </w:fldSimple>
      <w:r>
        <w:t xml:space="preserve">The tax cost is recognized on the date when both the accounting write-off and the documentation are complete — if these fall in different tax years, the later year controls.</w:t>
      </w:r>
      <w:fldSimple w:instr="NOTEREF _Ref_Footnote_53 \h \f">
        <w:r>
          <w:rPr>
            <w:vertAlign w:val="superscript"/>
          </w:rPr>
          <w:t>53</w:t>
        </w:r>
      </w:fldSimple>
      <w:r>
        <w:t xml:space="preserve">The creditor must actively</w:t>
      </w:r>
      <w:r>
        <w:t xml:space="preserve"> </w:t>
      </w:r>
      <w:r>
        <w:t xml:space="preserve">“</w:t>
      </w:r>
      <w:r>
        <w:t xml:space="preserve">accept</w:t>
      </w:r>
      <w:r>
        <w:t xml:space="preserve">”</w:t>
      </w:r>
      <w:r>
        <w:t xml:space="preserve"> </w:t>
      </w:r>
      <w:r>
        <w:t xml:space="preserve">the postanowienie as reflecting factual reality — passive receipt is insufficient.</w:t>
      </w:r>
    </w:p>
    <w:bookmarkEnd w:id="58"/>
    <w:bookmarkStart w:id="59" w:name="criminal-track-supporting-art.-300-kk"/>
    <w:p>
      <w:pPr>
        <w:pStyle w:val="Heading4"/>
      </w:pPr>
      <w:r>
        <w:t xml:space="preserve">3.2.2 Criminal Track: Supporting Art. 300 KK</w:t>
      </w:r>
    </w:p>
    <w:p>
      <w:pPr>
        <w:pStyle w:val="FirstParagraph"/>
      </w:pPr>
      <w:r>
        <w:t xml:space="preserve">Art. 300 §2 KK criminalizes intentional actions by a debtor to remove, hide, transfer, donate, destroy, or encumber assets subject to enforcement, with the aim of frustrating a court judgment. The penalty is 3 months to 5 years imprisonment.</w:t>
      </w:r>
      <w:fldSimple w:instr="NOTEREF _Ref_Footnote_56 \h \f">
        <w:r>
          <w:rPr>
            <w:vertAlign w:val="superscript"/>
          </w:rPr>
          <w:t>56</w:t>
        </w:r>
      </w:fldSimple>
      <w:r>
        <w:t xml:space="preserve">The Supreme Court has established five constitutive elements: (I) behavior aimed at frustrating enforcement, (II) resulting in failure to satisfy the creditor, (III) specific actions (removing, hiding, transferring, etc.), (IV) targeted assets must be seized or threatened with seizure, and (V) removal of seizure marks as alternative.</w:t>
      </w:r>
      <w:fldSimple w:instr="NOTEREF _Ref_Footnote_56 \h \f">
        <w:r>
          <w:rPr>
            <w:vertAlign w:val="superscript"/>
          </w:rPr>
          <w:t>56</w:t>
        </w:r>
      </w:fldSimple>
      <w:r>
        <w:t xml:space="preserve">The bezskuteczność certificate proves only the EFFECT (enforcement failure), not the intentional CAUSE. It serves as the standard trigger for creditors to consider criminal complaints — the IWS study confirms that creditors routinely file</w:t>
      </w:r>
      <w:r>
        <w:t xml:space="preserve"> </w:t>
      </w:r>
      <w:r>
        <w:rPr>
          <w:iCs/>
          <w:i/>
        </w:rPr>
        <w:t xml:space="preserve">zawiadomienie o przestępstwie</w:t>
      </w:r>
      <w:r>
        <w:t xml:space="preserve"> </w:t>
      </w:r>
      <w:r>
        <w:t xml:space="preserve">after unsuccessful enforcement — but the critical qualifier is</w:t>
      </w:r>
      <w:r>
        <w:t xml:space="preserve"> </w:t>
      </w:r>
      <w:r>
        <w:t xml:space="preserve">“</w:t>
      </w:r>
      <w:r>
        <w:rPr>
          <w:iCs/>
          <w:i/>
        </w:rPr>
        <w:t xml:space="preserve">posiadania informacji o prawdopodobnym zbyciu majątku</w:t>
      </w:r>
      <w:r>
        <w:t xml:space="preserve">”</w:t>
      </w:r>
      <w:r>
        <w:t xml:space="preserve"> </w:t>
      </w:r>
      <w:r>
        <w:t xml:space="preserve">(having information about probable asset disposition).</w:t>
      </w:r>
      <w:fldSimple w:instr="NOTEREF _Ref_Footnote_55 \h \f">
        <w:r>
          <w:rPr>
            <w:vertAlign w:val="superscript"/>
          </w:rPr>
          <w:t>55</w:t>
        </w:r>
      </w:fldSimple>
      <w:r>
        <w:t xml:space="preserve">For the criminal complaint to have any prospect of success, the creditor must supplement the certificate with evidence of specific transactions: property registry extracts showing below-market transfers, gift transactions (</w:t>
      </w:r>
      <w:r>
        <w:rPr>
          <w:iCs/>
          <w:i/>
        </w:rPr>
        <w:t xml:space="preserve">darowizny</w:t>
      </w:r>
      <w:r>
        <w:t xml:space="preserve">) to family members, bank records showing unusual withdrawals, or witness testimony about a lifestyle inconsistent with declared insolvency.</w:t>
      </w:r>
      <w:r>
        <w:rPr>
          <w:vertAlign w:val="superscript"/>
        </w:rPr>
        <w:footnoteReference w:id="60"/>
      </w:r>
      <w:r>
        <w:t xml:space="preserve">Empirical data from 1999–2010 shows that approximately 82% of art. 300 KK convictions were under §2 (frustrating court judgment enforcement), with prison sentences imposed in ~87% of cases, though in ~92% of those the sentence was up to one year and conditional suspension was common.</w:t>
      </w:r>
      <w:fldSimple w:instr="NOTEREF _Ref_Footnote_55 \h \f">
        <w:r>
          <w:rPr>
            <w:vertAlign w:val="superscript"/>
          </w:rPr>
          <w:t>55</w:t>
        </w:r>
      </w:fldSimple>
      <w:r>
        <w:t xml:space="preserve">The criminal track is most effective as settlement leverage — the threat of prosecution, combined with art. 307 KK (</w:t>
      </w:r>
      <w:r>
        <w:rPr>
          <w:iCs/>
          <w:i/>
        </w:rPr>
        <w:t xml:space="preserve">czynny żal</w:t>
      </w:r>
      <w:r>
        <w:t xml:space="preserve">, allowing sentence waiver if the debt is repaid), creates powerful pressure for voluntary payment.</w:t>
      </w:r>
    </w:p>
    <w:bookmarkEnd w:id="59"/>
    <w:bookmarkStart w:id="60" w:name="re-enforcement-unlimited-restarts"/>
    <w:p>
      <w:pPr>
        <w:pStyle w:val="Heading4"/>
      </w:pPr>
      <w:r>
        <w:t xml:space="preserve">3.2.3 Re-Enforcement: Unlimited Restarts</w:t>
      </w:r>
    </w:p>
    <w:p>
      <w:pPr>
        <w:pStyle w:val="FirstParagraph"/>
      </w:pPr>
      <w:r>
        <w:t xml:space="preserve">Umorzenie does not extinguish the underlying debt. Under art. 826 KPC, the creditor retains the full right to re-initiate enforcement at any time if the claim has not prescribed.</w:t>
      </w:r>
      <w:fldSimple w:instr="NOTEREF _Ref_Footnote_57 \h \f">
        <w:r>
          <w:rPr>
            <w:vertAlign w:val="superscript"/>
          </w:rPr>
          <w:t>57</w:t>
        </w:r>
      </w:fldSimple>
      <w:r>
        <w:t xml:space="preserve">There is no statutory limit on the number of restarts; each new</w:t>
      </w:r>
      <w:r>
        <w:t xml:space="preserve"> </w:t>
      </w:r>
      <w:r>
        <w:rPr>
          <w:iCs/>
          <w:i/>
        </w:rPr>
        <w:t xml:space="preserve">wniosek egzekucyjny</w:t>
      </w:r>
      <w:r>
        <w:t xml:space="preserve"> </w:t>
      </w:r>
      <w:r>
        <w:t xml:space="preserve">interrupts the limitation period anew.</w:t>
      </w:r>
      <w:fldSimple w:instr="NOTEREF _Ref_Footnote_58 \h \f">
        <w:r>
          <w:rPr>
            <w:vertAlign w:val="superscript"/>
          </w:rPr>
          <w:t>58</w:t>
        </w:r>
      </w:fldSimple>
      <w:r>
        <w:t xml:space="preserve">The creditor may file with the same komornik or a different one within the same Sąd Apelacyjny district, using the same</w:t>
      </w:r>
      <w:r>
        <w:t xml:space="preserve"> </w:t>
      </w:r>
      <w:r>
        <w:rPr>
          <w:iCs/>
          <w:i/>
        </w:rPr>
        <w:t xml:space="preserve">tytuł wykonawczy</w:t>
      </w:r>
      <w:r>
        <w:t xml:space="preserve"> </w:t>
      </w:r>
      <w:r>
        <w:t xml:space="preserve">returned upon termination.</w:t>
      </w:r>
    </w:p>
    <w:p>
      <w:pPr>
        <w:pStyle w:val="BodyText"/>
      </w:pPr>
      <w:r>
        <w:t xml:space="preserve">Re-enforcement is justified when</w:t>
      </w:r>
      <w:r>
        <w:t xml:space="preserve"> </w:t>
      </w:r>
      <w:r>
        <w:rPr>
          <w:iCs/>
          <w:i/>
        </w:rPr>
        <w:t xml:space="preserve">nowe okoliczności</w:t>
      </w:r>
      <w:r>
        <w:t xml:space="preserve"> </w:t>
      </w:r>
      <w:r>
        <w:t xml:space="preserve">(new circumstances) emerge: debtor found Polish employment, acquired previously unknown property, accepted an inheritance, or returned from abroad.</w:t>
      </w:r>
      <w:fldSimple w:instr="NOTEREF _Ref_Footnote_2 \h \f">
        <w:r>
          <w:rPr>
            <w:vertAlign w:val="superscript"/>
          </w:rPr>
          <w:t>2</w:t>
        </w:r>
      </w:fldSimple>
      <w:r>
        <w:t xml:space="preserve">The creditor does not need specific knowledge of new assets to file — a</w:t>
      </w:r>
      <w:r>
        <w:t xml:space="preserve"> </w:t>
      </w:r>
      <w:r>
        <w:t xml:space="preserve">“</w:t>
      </w:r>
      <w:r>
        <w:t xml:space="preserve">blind</w:t>
      </w:r>
      <w:r>
        <w:t xml:space="preserve">”</w:t>
      </w:r>
      <w:r>
        <w:t xml:space="preserve"> </w:t>
      </w:r>
      <w:r>
        <w:rPr>
          <w:iCs/>
          <w:i/>
        </w:rPr>
        <w:t xml:space="preserve">wniosek</w:t>
      </w:r>
      <w:r>
        <w:t xml:space="preserve"> </w:t>
      </w:r>
      <w:r>
        <w:t xml:space="preserve">is procedurally valid, and the komornik will conduct standard inquiries. However, filing without evidence of changed circumstances is economically inefficient.</w:t>
      </w:r>
    </w:p>
    <w:bookmarkEnd w:id="60"/>
    <w:bookmarkStart w:id="61" w:name="X7007bcb07a18840f1424077521941fd168f2d68"/>
    <w:p>
      <w:pPr>
        <w:pStyle w:val="Heading4"/>
      </w:pPr>
      <w:r>
        <w:t xml:space="preserve">3.2.4 Cross-Border: Certificate Irrelevant for Dutch Enforcement</w:t>
      </w:r>
    </w:p>
    <w:p>
      <w:pPr>
        <w:pStyle w:val="FirstParagraph"/>
      </w:pPr>
      <w:r>
        <w:t xml:space="preserve">The bezskuteczność certificate has no role in cross-border enforcement. Under Regulation (EU) No 1215/2012 (Brussels I bis), Polish court judgments are automatically recognized in the Netherlands without any special procedure.</w:t>
      </w:r>
      <w:fldSimple w:instr="NOTEREF _Ref_Footnote_59 \h \f">
        <w:r>
          <w:rPr>
            <w:vertAlign w:val="superscript"/>
          </w:rPr>
          <w:t>59</w:t>
        </w:r>
      </w:fldSimple>
      <w:r>
        <w:t xml:space="preserve">The operative documents are: (1) the Polish judgment (</w:t>
      </w:r>
      <w:r>
        <w:rPr>
          <w:iCs/>
          <w:i/>
        </w:rPr>
        <w:t xml:space="preserve">wyrok</w:t>
      </w:r>
      <w:r>
        <w:t xml:space="preserve"> </w:t>
      </w:r>
      <w:r>
        <w:t xml:space="preserve">or</w:t>
      </w:r>
      <w:r>
        <w:t xml:space="preserve"> </w:t>
      </w:r>
      <w:r>
        <w:rPr>
          <w:iCs/>
          <w:i/>
        </w:rPr>
        <w:t xml:space="preserve">nakaz zapłaty</w:t>
      </w:r>
      <w:r>
        <w:t xml:space="preserve">) with</w:t>
      </w:r>
      <w:r>
        <w:t xml:space="preserve"> </w:t>
      </w:r>
      <w:r>
        <w:rPr>
          <w:iCs/>
          <w:i/>
        </w:rPr>
        <w:t xml:space="preserve">klauzula wykonalności</w:t>
      </w:r>
      <w:r>
        <w:t xml:space="preserve">, (2) an official translation into Dutch or English, and (3) evidence of the debtor’s Dutch employment or assets. The certificate proving that enforcement failed in Poland is, if anything, a counterproductive document — it demonstrates the debtor’s lack of Polish assets, which Dutch authorities already assume when a Polish creditor appears before them. Chapter 4 addresses Dutch enforcement in detail.</w:t>
      </w:r>
    </w:p>
    <w:bookmarkEnd w:id="61"/>
    <w:bookmarkEnd w:id="62"/>
    <w:bookmarkStart w:id="68" w:name="Xec77c6b5bed38429c6732ab724e0e8951a1614c"/>
    <w:p>
      <w:pPr>
        <w:pStyle w:val="Heading3"/>
      </w:pPr>
      <w:r>
        <w:t xml:space="preserve">3.3 Wyjawienie Majątku (Art. 913 KPC) — Applicability Abroad</w:t>
      </w:r>
    </w:p>
    <w:p>
      <w:pPr>
        <w:pStyle w:val="FirstParagraph"/>
      </w:pPr>
      <w:r>
        <w:t xml:space="preserve">The</w:t>
      </w:r>
      <w:r>
        <w:t xml:space="preserve"> </w:t>
      </w:r>
      <w:r>
        <w:rPr>
          <w:iCs/>
          <w:i/>
        </w:rPr>
        <w:t xml:space="preserve">wyjawienie majątku</w:t>
      </w:r>
      <w:r>
        <w:t xml:space="preserve"> </w:t>
      </w:r>
      <w:r>
        <w:t xml:space="preserve">is a court-ordered asset disclosure procedure under art. 913–918 KPC, classified as</w:t>
      </w:r>
      <w:r>
        <w:t xml:space="preserve"> </w:t>
      </w:r>
      <w:r>
        <w:rPr>
          <w:iCs/>
          <w:i/>
        </w:rPr>
        <w:t xml:space="preserve">nieprocesowe postępowanie pomocnicze</w:t>
      </w:r>
      <w:r>
        <w:t xml:space="preserve"> </w:t>
      </w:r>
      <w:r>
        <w:t xml:space="preserve">(ancillary non-contentious proceeding).</w:t>
      </w:r>
      <w:fldSimple w:instr="NOTEREF _Ref_Footnote_1 \h \f">
        <w:r>
          <w:rPr>
            <w:vertAlign w:val="superscript"/>
          </w:rPr>
          <w:t>1</w:t>
        </w:r>
      </w:fldSimple>
      <w:r>
        <w:t xml:space="preserve"> </w:t>
      </w:r>
      <w:fldSimple w:instr="NOTEREF _Ref_Footnote_2 \h \f">
        <w:r>
          <w:rPr>
            <w:vertAlign w:val="superscript"/>
          </w:rPr>
          <w:t>2</w:t>
        </w:r>
      </w:fldSimple>
      <w:r>
        <w:t xml:space="preserve">Against a Netherlands-resident debtor, the procedure is legally available but practically constrained.</w:t>
      </w:r>
    </w:p>
    <w:bookmarkStart w:id="63" w:name="prerequisites-and-filing"/>
    <w:p>
      <w:pPr>
        <w:pStyle w:val="Heading4"/>
      </w:pPr>
      <w:r>
        <w:t xml:space="preserve">3.3.1 Prerequisites and Filing</w:t>
      </w:r>
    </w:p>
    <w:p>
      <w:pPr>
        <w:pStyle w:val="FirstParagraph"/>
      </w:pPr>
      <w:r>
        <w:t xml:space="preserve">For post-enforcement</w:t>
      </w:r>
      <w:r>
        <w:t xml:space="preserve"> </w:t>
      </w:r>
      <w:r>
        <w:rPr>
          <w:iCs/>
          <w:i/>
        </w:rPr>
        <w:t xml:space="preserve">wyjawienie</w:t>
      </w:r>
      <w:r>
        <w:t xml:space="preserve">, art. 913 §1 KPC provides two alternative gateways: either (a) seized property does not promise satisfaction of the claim, or (b) the creditor demonstrates that enforcement did not yield full satisfaction. For pre-enforcement</w:t>
      </w:r>
      <w:r>
        <w:t xml:space="preserve"> </w:t>
      </w:r>
      <w:r>
        <w:rPr>
          <w:iCs/>
          <w:i/>
        </w:rPr>
        <w:t xml:space="preserve">wyjawienie</w:t>
      </w:r>
      <w:r>
        <w:t xml:space="preserve"> </w:t>
      </w:r>
      <w:r>
        <w:t xml:space="preserve">under art. 913 §2 KPC, three cumulative conditions apply: (1)</w:t>
      </w:r>
      <w:r>
        <w:t xml:space="preserve"> </w:t>
      </w:r>
      <w:r>
        <w:rPr>
          <w:iCs/>
          <w:i/>
        </w:rPr>
        <w:t xml:space="preserve">uprawdopodobnienie</w:t>
      </w:r>
      <w:r>
        <w:t xml:space="preserve"> </w:t>
      </w:r>
      <w:r>
        <w:t xml:space="preserve">(making probable) that satisfaction will not be obtained from known assets for six months; (2) a</w:t>
      </w:r>
      <w:r>
        <w:t xml:space="preserve"> </w:t>
      </w:r>
      <w:r>
        <w:rPr>
          <w:iCs/>
          <w:i/>
        </w:rPr>
        <w:t xml:space="preserve">wezwanie do zapłaty</w:t>
      </w:r>
      <w:r>
        <w:t xml:space="preserve"> </w:t>
      </w:r>
      <w:r>
        <w:t xml:space="preserve">(payment demand) sent by registered mail with return receipt after obtaining the</w:t>
      </w:r>
      <w:r>
        <w:t xml:space="preserve"> </w:t>
      </w:r>
      <w:r>
        <w:rPr>
          <w:iCs/>
          <w:i/>
        </w:rPr>
        <w:t xml:space="preserve">tytuł wykonawczy</w:t>
      </w:r>
      <w:r>
        <w:t xml:space="preserve">; and (3) the debtor’s failure to pay within 14 days of delivery.</w:t>
      </w:r>
      <w:fldSimple w:instr="NOTEREF _Ref_Footnote_1 \h \f">
        <w:r>
          <w:rPr>
            <w:vertAlign w:val="superscript"/>
          </w:rPr>
          <w:t>1</w:t>
        </w:r>
      </w:fldSimple>
      <w:r>
        <w:t xml:space="preserve"> </w:t>
      </w:r>
      <w:fldSimple w:instr="NOTEREF _Ref_Footnote_3 \h \f">
        <w:r>
          <w:rPr>
            <w:vertAlign w:val="superscript"/>
          </w:rPr>
          <w:t>3</w:t>
        </w:r>
      </w:fldSimple>
      <w:r>
        <w:t xml:space="preserve">The court filing fee is 200 zł.</w:t>
      </w:r>
      <w:fldSimple w:instr="NOTEREF _Ref_Footnote_20 \h \f">
        <w:r>
          <w:rPr>
            <w:vertAlign w:val="superscript"/>
          </w:rPr>
          <w:t>20</w:t>
        </w:r>
      </w:fldSimple>
      <w:r>
        <w:t xml:space="preserve">For the NL-resident debtor, the 14-day payment demand must be served to the Netherlands address. Proof of delivery (the return receipt) must be retained for court filing. The conservative approach is to send via Polish registered mail to the NL address, or use the EU Service Regulation channel with a return receipt request.</w:t>
      </w:r>
    </w:p>
    <w:bookmarkEnd w:id="63"/>
    <w:bookmarkStart w:id="64" w:name="what-the-debtor-must-disclose"/>
    <w:p>
      <w:pPr>
        <w:pStyle w:val="Heading4"/>
      </w:pPr>
      <w:r>
        <w:t xml:space="preserve">3.3.2 What the Debtor Must Disclose</w:t>
      </w:r>
    </w:p>
    <w:p>
      <w:pPr>
        <w:pStyle w:val="FirstParagraph"/>
      </w:pPr>
      <w:r>
        <w:t xml:space="preserve">Under art. 913 §1 KPC, the debtor must provide a complete</w:t>
      </w:r>
      <w:r>
        <w:t xml:space="preserve"> </w:t>
      </w:r>
      <w:r>
        <w:rPr>
          <w:iCs/>
          <w:i/>
        </w:rPr>
        <w:t xml:space="preserve">wykaz majątku</w:t>
      </w:r>
      <w:r>
        <w:t xml:space="preserve"> </w:t>
      </w:r>
      <w:r>
        <w:t xml:space="preserve">including: all movable and immovable property with locations, all receivables against third parties with value and legal basis, all property rights (shares, securities, intellectual property), all bank accounts including foreign accounts, employment income with place of employment, and all other periodic income.</w:t>
      </w:r>
      <w:fldSimple w:instr="NOTEREF _Ref_Footnote_8 \h \f">
        <w:r>
          <w:rPr>
            <w:vertAlign w:val="superscript"/>
          </w:rPr>
          <w:t>8</w:t>
        </w:r>
      </w:fldSimple>
      <w:r>
        <w:t xml:space="preserve"> </w:t>
      </w:r>
      <w:fldSimple w:instr="NOTEREF _Ref_Footnote_9 \h \f">
        <w:r>
          <w:rPr>
            <w:vertAlign w:val="superscript"/>
          </w:rPr>
          <w:t>9</w:t>
        </w:r>
      </w:fldSimple>
      <w:r>
        <w:t xml:space="preserve">Critically, the debtor must disclose ALL assets — including exempt assets — because it is for the enforcement authority, not the debtor, to determine what is exempt.</w:t>
      </w:r>
    </w:p>
    <w:p>
      <w:pPr>
        <w:pStyle w:val="BodyText"/>
      </w:pPr>
      <w:r>
        <w:t xml:space="preserve">The 5-year lookback provision is the procedure’s most strategically valuable element. The debtor must disclose all paid and unpaid legal transactions concerning things or rights exceeding the minimum wage value (4,666 zł gross/month in 2025), made in favor of third parties within the five years preceding enforcement commencement, which rendered the debtor insolvent or more insolvent.</w:t>
      </w:r>
      <w:fldSimple w:instr="NOTEREF _Ref_Footnote_9 \h \f">
        <w:r>
          <w:rPr>
            <w:vertAlign w:val="superscript"/>
          </w:rPr>
          <w:t>9</w:t>
        </w:r>
      </w:fldSimple>
      <w:r>
        <w:t xml:space="preserve">This disclosure is linked to the 5-year limitation period for</w:t>
      </w:r>
      <w:r>
        <w:t xml:space="preserve"> </w:t>
      </w:r>
      <w:r>
        <w:rPr>
          <w:iCs/>
          <w:i/>
        </w:rPr>
        <w:t xml:space="preserve">skarga pauliańska</w:t>
      </w:r>
      <w:r>
        <w:t xml:space="preserve"> </w:t>
      </w:r>
      <w:r>
        <w:t xml:space="preserve">(fraudulent transfer claims) under Polish civil law.</w:t>
      </w:r>
    </w:p>
    <w:p>
      <w:pPr>
        <w:pStyle w:val="BodyText"/>
      </w:pPr>
      <w:r>
        <w:t xml:space="preserve">The debtor must submit the disclosure under a formal</w:t>
      </w:r>
      <w:r>
        <w:t xml:space="preserve"> </w:t>
      </w:r>
      <w:r>
        <w:rPr>
          <w:iCs/>
          <w:i/>
        </w:rPr>
        <w:t xml:space="preserve">przyrzeczenie</w:t>
      </w:r>
      <w:r>
        <w:t xml:space="preserve"> </w:t>
      </w:r>
      <w:r>
        <w:t xml:space="preserve">(solemn declaration):</w:t>
      </w:r>
      <w:r>
        <w:t xml:space="preserve"> </w:t>
      </w:r>
      <w:r>
        <w:t xml:space="preserve">“</w:t>
      </w:r>
      <w:r>
        <w:rPr>
          <w:iCs/>
          <w:i/>
        </w:rPr>
        <w:t xml:space="preserve">Świadomy znaczenia mych słów i odpowiedzialności przed prawem zapewniam, że złożony przeze mnie wykaz majątku jest prawdziwy i zupełny.</w:t>
      </w:r>
      <w:r>
        <w:t xml:space="preserve">”</w:t>
      </w:r>
      <w:fldSimple w:instr="NOTEREF _Ref_Footnote_8 \h \f">
        <w:r>
          <w:rPr>
            <w:vertAlign w:val="superscript"/>
          </w:rPr>
          <w:t>8</w:t>
        </w:r>
      </w:fldSimple>
      <w:r>
        <w:t xml:space="preserve">False statements constitute the criminal offense of false testimony under art. 233 §6 KK, punishable by 6 months to 8 years imprisonment. However, prosecution requires the debtor to be physically present in Poland or subject to extradition — both highly unlikely for this type of offense against a Dutch resident.</w:t>
      </w:r>
    </w:p>
    <w:bookmarkEnd w:id="64"/>
    <w:bookmarkStart w:id="65" w:name="X15431bf4c0fd0d059119ceeb30f0839059781c9"/>
    <w:p>
      <w:pPr>
        <w:pStyle w:val="Heading4"/>
      </w:pPr>
      <w:r>
        <w:t xml:space="preserve">3.3.3 Service to the Netherlands: Regulation 2020/1784</w:t>
      </w:r>
    </w:p>
    <w:p>
      <w:pPr>
        <w:pStyle w:val="FirstParagraph"/>
      </w:pPr>
      <w:r>
        <w:t xml:space="preserve">For EU cross-border service, Regulation (EU) 2020/1784 (recast, replacing 1393/2007 from July 2022) governs document transmission from Polish courts to the Netherlands.</w:t>
      </w:r>
      <w:fldSimple w:instr="NOTEREF _Ref_Footnote_11 \h \f">
        <w:r>
          <w:rPr>
            <w:vertAlign w:val="superscript"/>
          </w:rPr>
          <w:t>11</w:t>
        </w:r>
      </w:fldSimple>
      <w:r>
        <w:t xml:space="preserve">Documents are transmitted through designated transmitting agencies (Polish court) to receiving agencies (Dutch court or bailiff service), using standardized EU forms. Service is typically effected by the local court or bailiff in the destination country.</w:t>
      </w:r>
    </w:p>
    <w:p>
      <w:pPr>
        <w:pStyle w:val="BodyText"/>
      </w:pPr>
      <w:r>
        <w:t xml:space="preserve">Polish sources report that cross-border service within the EU takes on average 4–6 months from filing to the debtor receiving the first summons.</w:t>
      </w:r>
      <w:fldSimple w:instr="NOTEREF _Ref_Footnote_7 \h \f">
        <w:r>
          <w:rPr>
            <w:vertAlign w:val="superscript"/>
          </w:rPr>
          <w:t>7</w:t>
        </w:r>
      </w:fldSimple>
      <w:r>
        <w:t xml:space="preserve">Documents must be translated into Dutch (or English, if accepted by the receiving authority). The total procedure from filing to the disclosure hearing typically takes 6–12 months for a Netherlands-resident debtor.</w:t>
      </w:r>
    </w:p>
    <w:bookmarkEnd w:id="65"/>
    <w:bookmarkStart w:id="66" w:name="penalties-not-enforceable-abroad"/>
    <w:p>
      <w:pPr>
        <w:pStyle w:val="Heading4"/>
      </w:pPr>
      <w:r>
        <w:t xml:space="preserve">3.3.4 Penalties: Not Enforceable Abroad</w:t>
      </w:r>
    </w:p>
    <w:p>
      <w:pPr>
        <w:pStyle w:val="FirstParagraph"/>
      </w:pPr>
      <w:r>
        <w:t xml:space="preserve">Art. 916 KPC provides a graduated scale of sanctions for non-compliance:</w:t>
      </w:r>
      <w:r>
        <w:t xml:space="preserve"> </w:t>
      </w:r>
      <w:r>
        <w:rPr>
          <w:iCs/>
          <w:i/>
        </w:rPr>
        <w:t xml:space="preserve">grzywna</w:t>
      </w:r>
      <w:r>
        <w:t xml:space="preserve"> </w:t>
      </w:r>
      <w:r>
        <w:t xml:space="preserve">(fine, up to 5,000 zł),</w:t>
      </w:r>
      <w:r>
        <w:t xml:space="preserve"> </w:t>
      </w:r>
      <w:r>
        <w:rPr>
          <w:iCs/>
          <w:i/>
        </w:rPr>
        <w:t xml:space="preserve">przymusowe doprowadzenie</w:t>
      </w:r>
      <w:r>
        <w:t xml:space="preserve"> </w:t>
      </w:r>
      <w:r>
        <w:t xml:space="preserve">(forced appearance via police escort), and</w:t>
      </w:r>
      <w:r>
        <w:t xml:space="preserve"> </w:t>
      </w:r>
      <w:r>
        <w:rPr>
          <w:iCs/>
          <w:i/>
        </w:rPr>
        <w:t xml:space="preserve">areszt</w:t>
      </w:r>
      <w:r>
        <w:t xml:space="preserve"> </w:t>
      </w:r>
      <w:r>
        <w:t xml:space="preserve">(detention, up to one month).</w:t>
      </w:r>
      <w:fldSimple w:instr="NOTEREF _Ref_Footnote_13 \h \f">
        <w:r>
          <w:rPr>
            <w:vertAlign w:val="superscript"/>
          </w:rPr>
          <w:t>13</w:t>
        </w:r>
      </w:fldSimple>
      <w:r>
        <w:t xml:space="preserve"> </w:t>
      </w:r>
      <w:fldSimple w:instr="NOTEREF _Ref_Footnote_14 \h \f">
        <w:r>
          <w:rPr>
            <w:vertAlign w:val="superscript"/>
          </w:rPr>
          <w:t>14</w:t>
        </w:r>
      </w:fldSimple>
      <w:r>
        <w:t xml:space="preserve">These sanctions are procedural penalties of Polish courts with no extraterritorial effect. Dutch authorities are under no obligation to enforce them.</w:t>
      </w:r>
    </w:p>
    <w:p>
      <w:pPr>
        <w:pStyle w:val="BodyText"/>
      </w:pPr>
      <w:r>
        <w:rPr>
          <w:iCs/>
          <w:i/>
        </w:rPr>
        <w:t xml:space="preserve">Grzywna</w:t>
      </w:r>
      <w:r>
        <w:t xml:space="preserve"> </w:t>
      </w:r>
      <w:r>
        <w:t xml:space="preserve">under art. 916 is a procedural penalty (</w:t>
      </w:r>
      <w:r>
        <w:rPr>
          <w:iCs/>
          <w:i/>
        </w:rPr>
        <w:t xml:space="preserve">kara porządkowa</w:t>
      </w:r>
      <w:r>
        <w:t xml:space="preserve">), not a civil judgment debt — it cannot be recognized under Brussels I bis or any other EU instrument.</w:t>
      </w:r>
      <w:r>
        <w:t xml:space="preserve"> </w:t>
      </w:r>
      <w:r>
        <w:rPr>
          <w:iCs/>
          <w:i/>
        </w:rPr>
        <w:t xml:space="preserve">Przymusowe doprowadzenie</w:t>
      </w:r>
      <w:r>
        <w:t xml:space="preserve"> </w:t>
      </w:r>
      <w:r>
        <w:t xml:space="preserve">requires Polish police cooperation; Dutch police have no obligation to arrest and transport a person to Poland for a civil proceeding.</w:t>
      </w:r>
      <w:r>
        <w:t xml:space="preserve"> </w:t>
      </w:r>
      <w:r>
        <w:rPr>
          <w:iCs/>
          <w:i/>
        </w:rPr>
        <w:t xml:space="preserve">Areszt</w:t>
      </w:r>
      <w:r>
        <w:t xml:space="preserve"> </w:t>
      </w:r>
      <w:r>
        <w:t xml:space="preserve">under art. 916 is civil contempt detention, not a criminal penalty — the European Arrest Warrant framework applies only to criminal offenses. Even within Poland, the IWS study found that</w:t>
      </w:r>
      <w:r>
        <w:t xml:space="preserve"> </w:t>
      </w:r>
      <w:r>
        <w:rPr>
          <w:iCs/>
          <w:i/>
        </w:rPr>
        <w:t xml:space="preserve">przymusowe doprowadzenie</w:t>
      </w:r>
      <w:r>
        <w:t xml:space="preserve"> </w:t>
      </w:r>
      <w:r>
        <w:t xml:space="preserve">is frequently ineffective, with police failing to locate the debtor after 5–6 repeated attempts.</w:t>
      </w:r>
      <w:fldSimple w:instr="NOTEREF _Ref_Footnote_2 \h \f">
        <w:r>
          <w:rPr>
            <w:vertAlign w:val="superscript"/>
          </w:rPr>
          <w:t>2</w:t>
        </w:r>
      </w:fldSimple>
      <w:r>
        <w:t xml:space="preserve">Against a Dutch resident, the probability of successful coerced appearance is near zero.</w:t>
      </w:r>
    </w:p>
    <w:p>
      <w:pPr>
        <w:pStyle w:val="BodyText"/>
      </w:pPr>
      <w:r>
        <w:rPr>
          <w:bCs/>
          <w:b/>
        </w:rPr>
        <w:t xml:space="preserve">Practical assessment: LOW value for a Netherlands-resident debtor.</w:t>
      </w:r>
      <w:r>
        <w:t xml:space="preserve"> </w:t>
      </w:r>
      <w:r>
        <w:t xml:space="preserve">The wyjawienie majątku is worth pursuing primarily for two reasons: (1) the</w:t>
      </w:r>
      <w:r>
        <w:t xml:space="preserve"> </w:t>
      </w:r>
      <w:r>
        <w:rPr>
          <w:iCs/>
          <w:i/>
        </w:rPr>
        <w:t xml:space="preserve">psychological pressure</w:t>
      </w:r>
      <w:r>
        <w:t xml:space="preserve"> </w:t>
      </w:r>
      <w:r>
        <w:t xml:space="preserve">it creates — a formal court summons with criminal liability warnings may influence settlement behavior, particularly if the debtor maintains family or professional ties to Poland; and (2) the 5-year transaction data, which becomes valuable intelligence for the criminal complaint and</w:t>
      </w:r>
      <w:r>
        <w:t xml:space="preserve"> </w:t>
      </w:r>
      <w:r>
        <w:rPr>
          <w:iCs/>
          <w:i/>
        </w:rPr>
        <w:t xml:space="preserve">skarga pauliańska</w:t>
      </w:r>
      <w:r>
        <w:t xml:space="preserve">.</w:t>
      </w:r>
    </w:p>
    <w:bookmarkEnd w:id="66"/>
    <w:bookmarkStart w:id="67" w:name="strategic-use-five-year-transaction-data"/>
    <w:p>
      <w:pPr>
        <w:pStyle w:val="Heading4"/>
      </w:pPr>
      <w:r>
        <w:t xml:space="preserve">3.3.5 Strategic Use: Five-Year Transaction Data</w:t>
      </w:r>
    </w:p>
    <w:p>
      <w:pPr>
        <w:pStyle w:val="FirstParagraph"/>
      </w:pPr>
      <w:r>
        <w:t xml:space="preserve">Even if the debtor ignores the summons and no disclosure is obtained, the mere existence of the wyjawienie proceeding creates a formal record of the creditor’s diligence. If the debtor ever voluntarily discloses assets or is compelled to do so upon returning to Poland, the 5-year transaction history becomes a goldmine for: (a) identifying</w:t>
      </w:r>
      <w:r>
        <w:t xml:space="preserve"> </w:t>
      </w:r>
      <w:r>
        <w:rPr>
          <w:iCs/>
          <w:i/>
        </w:rPr>
        <w:t xml:space="preserve">skarga pauliańska</w:t>
      </w:r>
      <w:r>
        <w:t xml:space="preserve"> </w:t>
      </w:r>
      <w:r>
        <w:t xml:space="preserve">targets — fraudulent transfers to family members or related parties that can be challenged and reversed; and (b) supporting an art. 300 KK criminal complaint with specific evidence of intentional asset disposition.</w:t>
      </w:r>
      <w:fldSimple w:instr="NOTEREF _Ref_Footnote_55 \h \f">
        <w:r>
          <w:rPr>
            <w:vertAlign w:val="superscript"/>
          </w:rPr>
          <w:t>55</w:t>
        </w:r>
      </w:fldSimple>
      <w:r>
        <w:t xml:space="preserve">The creditor should view the 200 zł filing fee as an investment in future evidentiary positioning, not as a mechanism for immediate recovery.</w:t>
      </w:r>
    </w:p>
    <w:bookmarkEnd w:id="67"/>
    <w:bookmarkEnd w:id="68"/>
    <w:bookmarkStart w:id="74" w:name="X55015f1a70087c8c2938628b95bedc11ba1179a"/>
    <w:p>
      <w:pPr>
        <w:pStyle w:val="Heading3"/>
      </w:pPr>
      <w:r>
        <w:t xml:space="preserve">3.4 Re-Running Enforcement and Limitation Periods</w:t>
      </w:r>
    </w:p>
    <w:bookmarkStart w:id="69" w:name="X031787b75403dcefeb37cfc7c73259615c20374"/>
    <w:p>
      <w:pPr>
        <w:pStyle w:val="Heading4"/>
      </w:pPr>
      <w:r>
        <w:t xml:space="preserve">3.4.1 Ponowne Wszczęcie: A Completely Fresh Application</w:t>
      </w:r>
    </w:p>
    <w:p>
      <w:pPr>
        <w:pStyle w:val="FirstParagraph"/>
      </w:pPr>
      <w:r>
        <w:t xml:space="preserve">Restarting enforcement requires filing a completely new</w:t>
      </w:r>
      <w:r>
        <w:t xml:space="preserve"> </w:t>
      </w:r>
      <w:r>
        <w:rPr>
          <w:iCs/>
          <w:i/>
        </w:rPr>
        <w:t xml:space="preserve">wniosek o wszczęcie egzekucji</w:t>
      </w:r>
      <w:r>
        <w:t xml:space="preserve"> </w:t>
      </w:r>
      <w:r>
        <w:t xml:space="preserve">— identical in content to the original, using the same</w:t>
      </w:r>
      <w:r>
        <w:t xml:space="preserve"> </w:t>
      </w:r>
      <w:r>
        <w:rPr>
          <w:iCs/>
          <w:i/>
        </w:rPr>
        <w:t xml:space="preserve">tytuł wykonawczy</w:t>
      </w:r>
      <w:r>
        <w:t xml:space="preserve"> </w:t>
      </w:r>
      <w:r>
        <w:t xml:space="preserve">returned upon termination.</w:t>
      </w:r>
      <w:fldSimple w:instr="NOTEREF _Ref_Footnote_58 \h \f">
        <w:r>
          <w:rPr>
            <w:vertAlign w:val="superscript"/>
          </w:rPr>
          <w:t>58</w:t>
        </w:r>
      </w:fldSimple>
      <w:r>
        <w:t xml:space="preserve">There is no separate</w:t>
      </w:r>
      <w:r>
        <w:t xml:space="preserve"> </w:t>
      </w:r>
      <w:r>
        <w:t xml:space="preserve">“</w:t>
      </w:r>
      <w:r>
        <w:t xml:space="preserve">resuscitation</w:t>
      </w:r>
      <w:r>
        <w:t xml:space="preserve">”</w:t>
      </w:r>
      <w:r>
        <w:t xml:space="preserve"> </w:t>
      </w:r>
      <w:r>
        <w:t xml:space="preserve">procedure. The creditor may file with any komornik within the same Sąd Apelacyjny district; each restart requires a deposit (</w:t>
      </w:r>
      <w:r>
        <w:rPr>
          <w:iCs/>
          <w:i/>
        </w:rPr>
        <w:t xml:space="preserve">zaliczka</w:t>
      </w:r>
      <w:r>
        <w:t xml:space="preserve">) of approximately 200 zł for correspondence and inquiry costs.</w:t>
      </w:r>
      <w:fldSimple w:instr="NOTEREF _Ref_Footnote_58 \h \f">
        <w:r>
          <w:rPr>
            <w:vertAlign w:val="superscript"/>
          </w:rPr>
          <w:t>58</w:t>
        </w:r>
      </w:fldSimple>
      <w:r>
        <w:t xml:space="preserve">The creditor does not need to demonstrate knowledge of new assets to file — a</w:t>
      </w:r>
      <w:r>
        <w:t xml:space="preserve"> </w:t>
      </w:r>
      <w:r>
        <w:t xml:space="preserve">“</w:t>
      </w:r>
      <w:r>
        <w:t xml:space="preserve">blind</w:t>
      </w:r>
      <w:r>
        <w:t xml:space="preserve">”</w:t>
      </w:r>
      <w:r>
        <w:t xml:space="preserve"> </w:t>
      </w:r>
      <w:r>
        <w:t xml:space="preserve">restart is procedurally valid, though economically inefficient if the debtor’s situation is unchanged.</w:t>
      </w:r>
    </w:p>
    <w:bookmarkEnd w:id="69"/>
    <w:bookmarkStart w:id="70" w:name="X5b4605974a6f7ba2a3b1c07a3cc7732745c908f"/>
    <w:p>
      <w:pPr>
        <w:pStyle w:val="Heading4"/>
      </w:pPr>
      <w:r>
        <w:t xml:space="preserve">3.4.2</w:t>
      </w:r>
      <w:r>
        <w:t xml:space="preserve"> </w:t>
      </w:r>
      <w:r>
        <w:t xml:space="preserve">“</w:t>
      </w:r>
      <w:r>
        <w:t xml:space="preserve">Nowe Okoliczności</w:t>
      </w:r>
      <w:r>
        <w:t xml:space="preserve">”</w:t>
      </w:r>
      <w:r>
        <w:t xml:space="preserve">: What Justifies a Restart</w:t>
      </w:r>
    </w:p>
    <w:p>
      <w:pPr>
        <w:pStyle w:val="FirstParagraph"/>
      </w:pPr>
      <w:r>
        <w:t xml:space="preserve">While unlimited restarts are permitted as a matter of law, practical justification requires</w:t>
      </w:r>
      <w:r>
        <w:t xml:space="preserve"> </w:t>
      </w:r>
      <w:r>
        <w:rPr>
          <w:iCs/>
          <w:i/>
        </w:rPr>
        <w:t xml:space="preserve">nowe okoliczności</w:t>
      </w:r>
      <w:r>
        <w:t xml:space="preserve"> </w:t>
      </w:r>
      <w:r>
        <w:t xml:space="preserve">— circumstances that were not present at the time of termination and that make enforcement economically viable.</w:t>
      </w:r>
      <w:fldSimple w:instr="NOTEREF _Ref_Footnote_2 \h \f">
        <w:r>
          <w:rPr>
            <w:vertAlign w:val="superscript"/>
          </w:rPr>
          <w:t>2</w:t>
        </w:r>
      </w:fldSimple>
      <w:r>
        <w:t xml:space="preserve">For a debtor residing in the Netherlands, the most relevant</w:t>
      </w:r>
      <w:r>
        <w:t xml:space="preserve"> </w:t>
      </w:r>
      <w:r>
        <w:rPr>
          <w:iCs/>
          <w:i/>
        </w:rPr>
        <w:t xml:space="preserve">nowe okoliczności</w:t>
      </w:r>
      <w:r>
        <w:t xml:space="preserve"> </w:t>
      </w:r>
      <w:r>
        <w:t xml:space="preserve">include: taking up employment in Poland (enabling wage garnishment), acquiring Polish real estate (discoverable through EKW monitoring), accepting an inheritance (new assets entering the Polish estate), returning to Poland (enabling broader enforcement measures), or registering a new business activity in CEIDG.</w:t>
      </w:r>
      <w:fldSimple w:instr="NOTEREF _Ref_Footnote_2 \h \f">
        <w:r>
          <w:rPr>
            <w:vertAlign w:val="superscript"/>
          </w:rPr>
          <w:t>2</w:t>
        </w:r>
      </w:fldSimple>
      <w:r>
        <w:t xml:space="preserve"> </w:t>
      </w:r>
      <w:fldSimple w:instr="NOTEREF _Ref_Footnote_3 \h \f">
        <w:r>
          <w:rPr>
            <w:vertAlign w:val="superscript"/>
          </w:rPr>
          <w:t>3</w:t>
        </w:r>
      </w:fldSimple>
      <w:r>
        <w:t xml:space="preserve">The creditor bears the monitoring obligation — the komornik has no duty to track the debtor’s changed circumstances. Recommended monitoring includes periodic checks of CEIDG, EKW, KRS, KRZ (National Debt Register), and social media for lifestyle indicators.</w:t>
      </w:r>
    </w:p>
    <w:bookmarkEnd w:id="70"/>
    <w:bookmarkStart w:id="71" w:name="Xdd33559a5d58829b3c434172eee3aed70ffe95f"/>
    <w:p>
      <w:pPr>
        <w:pStyle w:val="Heading4"/>
      </w:pPr>
      <w:r>
        <w:t xml:space="preserve">3.4.3 Principal Limitation: Six Years from Uprawomocnienie</w:t>
      </w:r>
    </w:p>
    <w:p>
      <w:pPr>
        <w:pStyle w:val="FirstParagraph"/>
      </w:pPr>
      <w:r>
        <w:t xml:space="preserve">The claim confirmed by a final court judgment (including</w:t>
      </w:r>
      <w:r>
        <w:t xml:space="preserve"> </w:t>
      </w:r>
      <w:r>
        <w:rPr>
          <w:iCs/>
          <w:i/>
        </w:rPr>
        <w:t xml:space="preserve">nakaz zapłaty</w:t>
      </w:r>
      <w:r>
        <w:t xml:space="preserve">) is subject to a 6-year limitation period under art. 125 §1 KC.</w:t>
      </w:r>
      <w:fldSimple w:instr="NOTEREF _Ref_Footnote_15 \h \f">
        <w:r>
          <w:rPr>
            <w:vertAlign w:val="superscript"/>
          </w:rPr>
          <w:t>15</w:t>
        </w:r>
      </w:fldSimple>
      <w:r>
        <w:t xml:space="preserve">This period was reduced from 10 years by the 2018 Civil Code amendment and runs from the date the judgment becomes final (</w:t>
      </w:r>
      <w:r>
        <w:rPr>
          <w:iCs/>
          <w:i/>
        </w:rPr>
        <w:t xml:space="preserve">uprawomocnienie</w:t>
      </w:r>
      <w:r>
        <w:t xml:space="preserve">). For an EPU</w:t>
      </w:r>
      <w:r>
        <w:t xml:space="preserve"> </w:t>
      </w:r>
      <w:r>
        <w:rPr>
          <w:iCs/>
          <w:i/>
        </w:rPr>
        <w:t xml:space="preserve">nakaz zapłaty</w:t>
      </w:r>
      <w:r>
        <w:t xml:space="preserve">,</w:t>
      </w:r>
      <w:r>
        <w:t xml:space="preserve"> </w:t>
      </w:r>
      <w:r>
        <w:rPr>
          <w:iCs/>
          <w:i/>
        </w:rPr>
        <w:t xml:space="preserve">uprawomocnienie</w:t>
      </w:r>
      <w:r>
        <w:t xml:space="preserve"> </w:t>
      </w:r>
      <w:r>
        <w:t xml:space="preserve">occurs 14 days after service on the debtor, provided no</w:t>
      </w:r>
      <w:r>
        <w:t xml:space="preserve"> </w:t>
      </w:r>
      <w:r>
        <w:rPr>
          <w:iCs/>
          <w:i/>
        </w:rPr>
        <w:t xml:space="preserve">sprzeciw</w:t>
      </w:r>
      <w:r>
        <w:t xml:space="preserve"> </w:t>
      </w:r>
      <w:r>
        <w:t xml:space="preserve">(opposition) was filed. Per the Supreme Court’s resolution of 23 October 2025 (III CZP 21/25), the limitation period ends on the last day of the calendar year in which the sixth year falls.</w:t>
      </w:r>
      <w:fldSimple w:instr="NOTEREF _Ref_Footnote_15 \h \f">
        <w:r>
          <w:rPr>
            <w:vertAlign w:val="superscript"/>
          </w:rPr>
          <w:t>15</w:t>
        </w:r>
      </w:fldSimple>
      <w:r>
        <w:t xml:space="preserve">Filing a</w:t>
      </w:r>
      <w:r>
        <w:t xml:space="preserve"> </w:t>
      </w:r>
      <w:r>
        <w:rPr>
          <w:iCs/>
          <w:i/>
        </w:rPr>
        <w:t xml:space="preserve">wniosek egzekucyjny</w:t>
      </w:r>
      <w:r>
        <w:t xml:space="preserve"> </w:t>
      </w:r>
      <w:r>
        <w:t xml:space="preserve">interrupts the limitation period under art. 123 §1 pkt 1 KC. This is a</w:t>
      </w:r>
      <w:r>
        <w:t xml:space="preserve"> </w:t>
      </w:r>
      <w:r>
        <w:rPr>
          <w:iCs/>
          <w:i/>
        </w:rPr>
        <w:t xml:space="preserve">przerwa</w:t>
      </w:r>
      <w:r>
        <w:t xml:space="preserve"> </w:t>
      </w:r>
      <w:r>
        <w:t xml:space="preserve">(interruption), not</w:t>
      </w:r>
      <w:r>
        <w:t xml:space="preserve"> </w:t>
      </w:r>
      <w:r>
        <w:rPr>
          <w:iCs/>
          <w:i/>
        </w:rPr>
        <w:t xml:space="preserve">zawieszenie</w:t>
      </w:r>
      <w:r>
        <w:t xml:space="preserve"> </w:t>
      </w:r>
      <w:r>
        <w:t xml:space="preserve">(suspension). After interruption, limitation runs anew from the date the proceeding ends.</w:t>
      </w:r>
      <w:fldSimple w:instr="NOTEREF _Ref_Footnote_16 \h \f">
        <w:r>
          <w:rPr>
            <w:vertAlign w:val="superscript"/>
          </w:rPr>
          <w:t>16</w:t>
        </w:r>
      </w:fldSimple>
      <w:r>
        <w:t xml:space="preserve">The critical distinction: when termination is due to</w:t>
      </w:r>
      <w:r>
        <w:t xml:space="preserve"> </w:t>
      </w:r>
      <w:r>
        <w:rPr>
          <w:iCs/>
          <w:i/>
        </w:rPr>
        <w:t xml:space="preserve">bezskuteczność</w:t>
      </w:r>
      <w:r>
        <w:t xml:space="preserve"> </w:t>
      </w:r>
      <w:r>
        <w:t xml:space="preserve">(art. 824 §1 pkt 3), the interruption HOLDS — a fresh 6-year period runs from the date of</w:t>
      </w:r>
      <w:r>
        <w:t xml:space="preserve"> </w:t>
      </w:r>
      <w:r>
        <w:rPr>
          <w:iCs/>
          <w:i/>
        </w:rPr>
        <w:t xml:space="preserve">umorzenie</w:t>
      </w:r>
      <w:r>
        <w:t xml:space="preserve">.</w:t>
      </w:r>
      <w:fldSimple w:instr="NOTEREF _Ref_Footnote_17 \h \f">
        <w:r>
          <w:rPr>
            <w:vertAlign w:val="superscript"/>
          </w:rPr>
          <w:t>17</w:t>
        </w:r>
      </w:fldSimple>
      <w:r>
        <w:t xml:space="preserve">When termination is due to creditor inactivity (art. 824 §1 pkt 4) or creditor request (art. 825), the interruption is NULLIFIED — the</w:t>
      </w:r>
      <w:r>
        <w:t xml:space="preserve"> </w:t>
      </w:r>
      <w:r>
        <w:rPr>
          <w:iCs/>
          <w:i/>
        </w:rPr>
        <w:t xml:space="preserve">wniosek</w:t>
      </w:r>
      <w:r>
        <w:t xml:space="preserve"> </w:t>
      </w:r>
      <w:r>
        <w:t xml:space="preserve">is deemed never to have been filed for limitation purposes.</w:t>
      </w:r>
      <w:fldSimple w:instr="NOTEREF _Ref_Footnote_18 \h \f">
        <w:r>
          <w:rPr>
            <w:vertAlign w:val="superscript"/>
          </w:rPr>
          <w:t>18</w:t>
        </w:r>
      </w:fldSimple>
      <w:r>
        <w:t xml:space="preserve">This is why responding promptly to all komornik communications is essential: a termination under pkt 4 instead of pkt 3 could cost the creditor the entire limitation protection.</w:t>
      </w:r>
    </w:p>
    <w:bookmarkEnd w:id="71"/>
    <w:bookmarkStart w:id="72" w:name="X10c74631305efa77b72370f18f43f57f9487d26"/>
    <w:p>
      <w:pPr>
        <w:pStyle w:val="Heading4"/>
      </w:pPr>
      <w:r>
        <w:t xml:space="preserve">3.4.4 Interest Limitation: The Three-Year Rolling Window</w:t>
      </w:r>
    </w:p>
    <w:p>
      <w:pPr>
        <w:pStyle w:val="FirstParagraph"/>
      </w:pPr>
      <w:r>
        <w:t xml:space="preserve">Art. 125 §2 KC creates a dual limitation regime for interest. Interest accrued UP TO the date the judgment becomes final falls under the 6-year period of art. 125 §1 KC. But interest accruing AFTER</w:t>
      </w:r>
      <w:r>
        <w:t xml:space="preserve"> </w:t>
      </w:r>
      <w:r>
        <w:rPr>
          <w:iCs/>
          <w:i/>
        </w:rPr>
        <w:t xml:space="preserve">uprawomocnienie</w:t>
      </w:r>
      <w:r>
        <w:t xml:space="preserve"> </w:t>
      </w:r>
      <w:r>
        <w:t xml:space="preserve">—</w:t>
      </w:r>
      <w:r>
        <w:t xml:space="preserve"> </w:t>
      </w:r>
      <w:r>
        <w:rPr>
          <w:iCs/>
          <w:i/>
        </w:rPr>
        <w:t xml:space="preserve">świadczenia okresowe należne w przyszłości</w:t>
      </w:r>
      <w:r>
        <w:t xml:space="preserve"> </w:t>
      </w:r>
      <w:r>
        <w:t xml:space="preserve">(future periodic payments) — has a separate</w:t>
      </w:r>
      <w:r>
        <w:t xml:space="preserve"> </w:t>
      </w:r>
      <w:r>
        <w:rPr>
          <w:bCs/>
          <w:b/>
        </w:rPr>
        <w:t xml:space="preserve">3-year rolling limitation</w:t>
      </w:r>
      <w:r>
        <w:t xml:space="preserve">.</w:t>
      </w:r>
      <w:fldSimple w:instr="NOTEREF _Ref_Footnote_19 \h \f">
        <w:r>
          <w:rPr>
            <w:vertAlign w:val="superscript"/>
          </w:rPr>
          <w:t>19</w:t>
        </w:r>
      </w:fldSimple>
      <w:r>
        <w:t xml:space="preserve">Each day’s post-judgment interest becomes time-barred three years later, at the end of the calendar year.</w:t>
      </w:r>
    </w:p>
    <w:p>
      <w:pPr>
        <w:pStyle w:val="BodyText"/>
      </w:pPr>
      <w:r>
        <w:t xml:space="preserve">In practice, this means that when calculating enforceable interest at any given filing date: interest accrued more than 3 years before the</w:t>
      </w:r>
      <w:r>
        <w:t xml:space="preserve"> </w:t>
      </w:r>
      <w:r>
        <w:rPr>
          <w:iCs/>
          <w:i/>
        </w:rPr>
        <w:t xml:space="preserve">wniosek</w:t>
      </w:r>
      <w:r>
        <w:t xml:space="preserve"> </w:t>
      </w:r>
      <w:r>
        <w:t xml:space="preserve">date may be time-barred, even though the principal and pre-judgment interest remain fully enforceable under the 6-year period.</w:t>
      </w:r>
      <w:fldSimple w:instr="NOTEREF _Ref_Footnote_16 \h \f">
        <w:r>
          <w:rPr>
            <w:vertAlign w:val="superscript"/>
          </w:rPr>
          <w:t>16</w:t>
        </w:r>
      </w:fldSimple>
      <w:r>
        <w:t xml:space="preserve">With Polish statutory interest at approximately 11.5% (2025 rate on commercial claims), post-judgment interest on 155,000 zł accrues at roughly 17,800 zł per year. A creditor who files only every 6 years preserves the principal but forfeits approximately 3 years of post-judgment interest — potentially 50,000+ zł.</w:t>
      </w:r>
    </w:p>
    <w:p>
      <w:pPr>
        <w:pStyle w:val="BodyText"/>
      </w:pPr>
      <w:r>
        <w:t xml:space="preserve">The rule is therefore:</w:t>
      </w:r>
      <w:r>
        <w:t xml:space="preserve"> </w:t>
      </w:r>
      <w:r>
        <w:rPr>
          <w:bCs/>
          <w:b/>
        </w:rPr>
        <w:t xml:space="preserve">file at least once every 3 years, not every 6</w:t>
      </w:r>
      <w:r>
        <w:t xml:space="preserve">. Each filing</w:t>
      </w:r>
      <w:r>
        <w:t xml:space="preserve"> </w:t>
      </w:r>
      <w:r>
        <w:t xml:space="preserve">“</w:t>
      </w:r>
      <w:r>
        <w:t xml:space="preserve">refreshes</w:t>
      </w:r>
      <w:r>
        <w:t xml:space="preserve">”</w:t>
      </w:r>
      <w:r>
        <w:t xml:space="preserve"> </w:t>
      </w:r>
      <w:r>
        <w:t xml:space="preserve">the recoverable interest window. The cost — approximately 200 zł deposit per filing — is negligible against the preserved interest value.</w:t>
      </w:r>
    </w:p>
    <w:bookmarkEnd w:id="72"/>
    <w:bookmarkStart w:id="73" w:name="X508b62bc24d5822f937219004afca9c8dd2b90f"/>
    <w:p>
      <w:pPr>
        <w:pStyle w:val="Heading4"/>
      </w:pPr>
      <w:r>
        <w:t xml:space="preserve">3.4.5 Practical Timeline for Claim Nc-e 552126/26</w:t>
      </w:r>
    </w:p>
    <w:tbl>
      <w:tblPr>
        <w:tblStyle w:val="Table"/>
        <w:tblW w:type="pct" w:w="5000"/>
        <w:tblLook w:firstRow="1" w:lastRow="0" w:firstColumn="0" w:lastColumn="0" w:noHBand="0" w:noVBand="0" w:val="0020"/>
      </w:tblPr>
      <w:tblGrid>
        <w:gridCol w:w="1289"/>
        <w:gridCol w:w="3131"/>
        <w:gridCol w:w="3499"/>
      </w:tblGrid>
      <w:tr>
        <w:trPr>
          <w:tblHeader w:val="true"/>
        </w:trPr>
        <w:tc>
          <w:tcPr/>
          <w:p>
            <w:pPr>
              <w:pStyle w:val="Compact"/>
              <w:jc w:val="left"/>
            </w:pPr>
            <w:r>
              <w:t xml:space="preserve">Event</w:t>
            </w:r>
          </w:p>
        </w:tc>
        <w:tc>
          <w:tcPr/>
          <w:p>
            <w:pPr>
              <w:pStyle w:val="Compact"/>
              <w:jc w:val="left"/>
            </w:pPr>
            <w:r>
              <w:t xml:space="preserve">Approximate Date</w:t>
            </w:r>
          </w:p>
        </w:tc>
        <w:tc>
          <w:tcPr/>
          <w:p>
            <w:pPr>
              <w:pStyle w:val="Compact"/>
              <w:jc w:val="left"/>
            </w:pPr>
            <w:r>
              <w:t xml:space="preserve">Limitation Effect</w:t>
            </w:r>
          </w:p>
        </w:tc>
      </w:tr>
      <w:tr>
        <w:tc>
          <w:tcPr/>
          <w:p>
            <w:pPr>
              <w:pStyle w:val="Compact"/>
              <w:jc w:val="left"/>
            </w:pPr>
            <w:r>
              <w:rPr>
                <w:iCs/>
                <w:i/>
              </w:rPr>
              <w:t xml:space="preserve">Nakaz zapłaty</w:t>
            </w:r>
            <w:r>
              <w:t xml:space="preserve"> </w:t>
            </w:r>
            <w:r>
              <w:t xml:space="preserve">becomes final (</w:t>
            </w:r>
            <w:r>
              <w:rPr>
                <w:iCs/>
                <w:i/>
              </w:rPr>
              <w:t xml:space="preserve">uprawomocnienie</w:t>
            </w:r>
            <w:r>
              <w:t xml:space="preserve">)</w:t>
            </w:r>
          </w:p>
        </w:tc>
        <w:tc>
          <w:tcPr/>
          <w:p>
            <w:pPr>
              <w:pStyle w:val="Compact"/>
              <w:jc w:val="left"/>
            </w:pPr>
            <w:r>
              <w:t xml:space="preserve">Mid-2026</w:t>
            </w:r>
          </w:p>
        </w:tc>
        <w:tc>
          <w:tcPr/>
          <w:p>
            <w:pPr>
              <w:pStyle w:val="Compact"/>
              <w:jc w:val="left"/>
            </w:pPr>
            <w:r>
              <w:t xml:space="preserve">6-year principal clock starts; 3-year post-judgment interest clock starts</w:t>
            </w:r>
          </w:p>
        </w:tc>
      </w:tr>
      <w:tr>
        <w:tc>
          <w:tcPr/>
          <w:p>
            <w:pPr>
              <w:pStyle w:val="Compact"/>
              <w:jc w:val="left"/>
            </w:pPr>
            <w:r>
              <w:rPr>
                <w:iCs/>
                <w:i/>
              </w:rPr>
              <w:t xml:space="preserve">Wniosek egzekucyjny</w:t>
            </w:r>
            <w:r>
              <w:t xml:space="preserve"> </w:t>
            </w:r>
            <w:r>
              <w:t xml:space="preserve">#1 filed</w:t>
            </w:r>
          </w:p>
        </w:tc>
        <w:tc>
          <w:tcPr/>
          <w:p>
            <w:pPr>
              <w:pStyle w:val="Compact"/>
              <w:jc w:val="left"/>
            </w:pPr>
            <w:r>
              <w:t xml:space="preserve">Mid-2026</w:t>
            </w:r>
          </w:p>
        </w:tc>
        <w:tc>
          <w:tcPr/>
          <w:p>
            <w:pPr>
              <w:pStyle w:val="Compact"/>
              <w:jc w:val="left"/>
            </w:pPr>
            <w:r>
              <w:rPr>
                <w:bCs/>
                <w:b/>
              </w:rPr>
              <w:t xml:space="preserve">Interrupts</w:t>
            </w:r>
            <w:r>
              <w:t xml:space="preserve"> </w:t>
            </w:r>
            <w:r>
              <w:t xml:space="preserve">limitation — clock stops</w:t>
            </w:r>
          </w:p>
        </w:tc>
      </w:tr>
      <w:tr>
        <w:tc>
          <w:tcPr/>
          <w:p>
            <w:pPr>
              <w:pStyle w:val="Compact"/>
              <w:jc w:val="left"/>
            </w:pPr>
            <w:r>
              <w:rPr>
                <w:iCs/>
                <w:i/>
              </w:rPr>
              <w:t xml:space="preserve">Umorzenie</w:t>
            </w:r>
            <w:r>
              <w:t xml:space="preserve"> </w:t>
            </w:r>
            <w:r>
              <w:t xml:space="preserve">due to</w:t>
            </w:r>
            <w:r>
              <w:t xml:space="preserve"> </w:t>
            </w:r>
            <w:r>
              <w:rPr>
                <w:iCs/>
                <w:i/>
              </w:rPr>
              <w:t xml:space="preserve">bezskuteczność</w:t>
            </w:r>
          </w:p>
        </w:tc>
        <w:tc>
          <w:tcPr/>
          <w:p>
            <w:pPr>
              <w:pStyle w:val="Compact"/>
              <w:jc w:val="left"/>
            </w:pPr>
            <w:r>
              <w:t xml:space="preserve">Late 2027 (est.)</w:t>
            </w:r>
          </w:p>
        </w:tc>
        <w:tc>
          <w:tcPr/>
          <w:p>
            <w:pPr>
              <w:pStyle w:val="Compact"/>
              <w:jc w:val="left"/>
            </w:pPr>
            <w:r>
              <w:t xml:space="preserve">Fresh periods run from</w:t>
            </w:r>
            <w:r>
              <w:t xml:space="preserve"> </w:t>
            </w:r>
            <w:r>
              <w:rPr>
                <w:iCs/>
                <w:i/>
              </w:rPr>
              <w:t xml:space="preserve">umorzenie</w:t>
            </w:r>
            <w:r>
              <w:t xml:space="preserve"> </w:t>
            </w:r>
            <w:r>
              <w:t xml:space="preserve">date</w:t>
            </w:r>
          </w:p>
        </w:tc>
      </w:tr>
      <w:tr>
        <w:tc>
          <w:tcPr/>
          <w:p>
            <w:pPr>
              <w:pStyle w:val="Compact"/>
              <w:jc w:val="left"/>
            </w:pPr>
            <w:r>
              <w:rPr>
                <w:bCs/>
                <w:b/>
              </w:rPr>
              <w:t xml:space="preserve">Deadline: principal (6 years)</w:t>
            </w:r>
          </w:p>
        </w:tc>
        <w:tc>
          <w:tcPr/>
          <w:p>
            <w:pPr>
              <w:pStyle w:val="Compact"/>
              <w:jc w:val="left"/>
            </w:pPr>
            <w:r>
              <w:rPr>
                <w:bCs/>
                <w:b/>
              </w:rPr>
              <w:t xml:space="preserve">End of 2032</w:t>
            </w:r>
          </w:p>
        </w:tc>
        <w:tc>
          <w:tcPr/>
          <w:p>
            <w:pPr>
              <w:pStyle w:val="Compact"/>
              <w:jc w:val="left"/>
            </w:pPr>
            <w:r>
              <w:t xml:space="preserve">Must file Wniosek #2 before this date</w:t>
            </w:r>
          </w:p>
        </w:tc>
      </w:tr>
      <w:tr>
        <w:tc>
          <w:tcPr/>
          <w:p>
            <w:pPr>
              <w:pStyle w:val="Compact"/>
              <w:jc w:val="left"/>
            </w:pPr>
            <w:r>
              <w:rPr>
                <w:bCs/>
                <w:b/>
              </w:rPr>
              <w:t xml:space="preserve">Deadline: post-judgment interest (3 years)</w:t>
            </w:r>
          </w:p>
        </w:tc>
        <w:tc>
          <w:tcPr/>
          <w:p>
            <w:pPr>
              <w:pStyle w:val="Compact"/>
              <w:jc w:val="left"/>
            </w:pPr>
            <w:r>
              <w:rPr>
                <w:bCs/>
                <w:b/>
              </w:rPr>
              <w:t xml:space="preserve">End of 2029</w:t>
            </w:r>
          </w:p>
        </w:tc>
        <w:tc>
          <w:tcPr/>
          <w:p>
            <w:pPr>
              <w:pStyle w:val="Compact"/>
              <w:jc w:val="left"/>
            </w:pPr>
            <w:r>
              <w:t xml:space="preserve">Must file Wniosek #2 before this date</w:t>
            </w:r>
          </w:p>
        </w:tc>
      </w:tr>
      <w:tr>
        <w:tc>
          <w:tcPr/>
          <w:p>
            <w:pPr>
              <w:pStyle w:val="Compact"/>
              <w:jc w:val="left"/>
            </w:pPr>
            <w:r>
              <w:t xml:space="preserve">If Wniosek #2 filed in 2029 and</w:t>
            </w:r>
            <w:r>
              <w:t xml:space="preserve"> </w:t>
            </w:r>
            <w:r>
              <w:rPr>
                <w:iCs/>
                <w:i/>
              </w:rPr>
              <w:t xml:space="preserve">umorzona</w:t>
            </w:r>
            <w:r>
              <w:t xml:space="preserve"> </w:t>
            </w:r>
            <w:r>
              <w:t xml:space="preserve">again</w:t>
            </w:r>
          </w:p>
        </w:tc>
        <w:tc>
          <w:tcPr/>
          <w:p>
            <w:pPr>
              <w:pStyle w:val="Compact"/>
              <w:jc w:val="left"/>
            </w:pPr>
            <w:r>
              <w:t xml:space="preserve">~2029</w:t>
            </w:r>
          </w:p>
        </w:tc>
        <w:tc>
          <w:tcPr/>
          <w:p>
            <w:pPr>
              <w:pStyle w:val="Compact"/>
              <w:jc w:val="left"/>
            </w:pPr>
            <w:r>
              <w:t xml:space="preserve">Fresh periods restart from 2029</w:t>
            </w:r>
          </w:p>
        </w:tc>
      </w:tr>
      <w:tr>
        <w:tc>
          <w:tcPr/>
          <w:p>
            <w:pPr>
              <w:pStyle w:val="Compact"/>
              <w:jc w:val="left"/>
            </w:pPr>
            <w:r>
              <w:t xml:space="preserve">New principal deadline</w:t>
            </w:r>
          </w:p>
        </w:tc>
        <w:tc>
          <w:tcPr/>
          <w:p>
            <w:pPr>
              <w:pStyle w:val="Compact"/>
              <w:jc w:val="left"/>
            </w:pPr>
            <w:r>
              <w:t xml:space="preserve">End of 2035</w:t>
            </w:r>
          </w:p>
        </w:tc>
        <w:tc>
          <w:tcPr/>
          <w:p>
            <w:pPr>
              <w:pStyle w:val="Compact"/>
              <w:jc w:val="left"/>
            </w:pPr>
            <w:r>
              <w:t xml:space="preserve">6 years from 2029</w:t>
            </w:r>
          </w:p>
        </w:tc>
      </w:tr>
      <w:tr>
        <w:tc>
          <w:tcPr/>
          <w:p>
            <w:pPr>
              <w:pStyle w:val="Compact"/>
              <w:jc w:val="left"/>
            </w:pPr>
            <w:r>
              <w:t xml:space="preserve">New interest deadline</w:t>
            </w:r>
          </w:p>
        </w:tc>
        <w:tc>
          <w:tcPr/>
          <w:p>
            <w:pPr>
              <w:pStyle w:val="Compact"/>
              <w:jc w:val="left"/>
            </w:pPr>
            <w:r>
              <w:t xml:space="preserve">End of 2032</w:t>
            </w:r>
          </w:p>
        </w:tc>
        <w:tc>
          <w:tcPr/>
          <w:p>
            <w:pPr>
              <w:pStyle w:val="Compact"/>
              <w:jc w:val="left"/>
            </w:pPr>
            <w:r>
              <w:t xml:space="preserve">3 years from 2029</w:t>
            </w:r>
          </w:p>
        </w:tc>
      </w:tr>
    </w:tbl>
    <w:p>
      <w:pPr>
        <w:pStyle w:val="BodyText"/>
      </w:pPr>
      <w:r>
        <w:rPr>
          <w:bCs/>
          <w:b/>
        </w:rPr>
        <w:t xml:space="preserve">Analytical interpretation.</w:t>
      </w:r>
      <w:r>
        <w:t xml:space="preserve"> </w:t>
      </w:r>
      <w:r>
        <w:t xml:space="preserve">The timeline reveals the single most important action item for the creditor: calendar a filing deadline for</w:t>
      </w:r>
      <w:r>
        <w:t xml:space="preserve"> </w:t>
      </w:r>
      <w:r>
        <w:rPr>
          <w:bCs/>
          <w:b/>
        </w:rPr>
        <w:t xml:space="preserve">end of 2029</w:t>
      </w:r>
      <w:r>
        <w:t xml:space="preserve"> </w:t>
      </w:r>
      <w:r>
        <w:t xml:space="preserve">(3 years after the estimated first</w:t>
      </w:r>
      <w:r>
        <w:t xml:space="preserve"> </w:t>
      </w:r>
      <w:r>
        <w:rPr>
          <w:iCs/>
          <w:i/>
        </w:rPr>
        <w:t xml:space="preserve">umorzenie</w:t>
      </w:r>
      <w:r>
        <w:t xml:space="preserve">), not end of 2032. Filing in 2029 preserves both the full principal and all post-judgment interest accrued since mid-2026. Waiting until 2031 or 2032 would preserve the principal but forfeit interest from late 2027 through 2029 — a loss of roughly 35,000–50,000 zł depending on the statutory rate. Each subsequent re-enforcement should similarly be timed at 2.5–3 year intervals. The cost of this strategy is minimal: approximately 200 zł per filing plus the creditor’s administrative time. The komornik will conduct the same database searches each time, and if the debtor’s situation has not changed, another</w:t>
      </w:r>
      <w:r>
        <w:t xml:space="preserve"> </w:t>
      </w:r>
      <w:r>
        <w:rPr>
          <w:iCs/>
          <w:i/>
        </w:rPr>
        <w:t xml:space="preserve">bezskuteczność</w:t>
      </w:r>
      <w:r>
        <w:t xml:space="preserve"> </w:t>
      </w:r>
      <w:r>
        <w:rPr>
          <w:iCs/>
          <w:i/>
        </w:rPr>
        <w:t xml:space="preserve">umorzenie</w:t>
      </w:r>
      <w:r>
        <w:t xml:space="preserve"> </w:t>
      </w:r>
      <w:r>
        <w:t xml:space="preserve">will follow — but the limitation clock resets, and the interest window refreshes. If the debtor returns to Poland, acquires property, or registers a business, the creditor should file a new</w:t>
      </w:r>
      <w:r>
        <w:t xml:space="preserve"> </w:t>
      </w:r>
      <w:r>
        <w:rPr>
          <w:iCs/>
          <w:i/>
        </w:rPr>
        <w:t xml:space="preserve">wniosek</w:t>
      </w:r>
      <w:r>
        <w:t xml:space="preserve"> </w:t>
      </w:r>
      <w:r>
        <w:t xml:space="preserve">immediately rather than waiting for the next scheduled filing.</w:t>
      </w:r>
    </w:p>
    <w:p>
      <w:r>
        <w:pict>
          <v:rect style="width:0;height:1.5pt" o:hralign="center" o:hrstd="t" o:hr="t"/>
        </w:pict>
      </w:r>
    </w:p>
    <w:bookmarkEnd w:id="73"/>
    <w:bookmarkEnd w:id="74"/>
    <w:bookmarkEnd w:id="75"/>
    <w:bookmarkStart w:id="90" w:name="reaching-the-debtors-dutch-income"/>
    <w:p>
      <w:pPr>
        <w:pStyle w:val="Heading2"/>
      </w:pPr>
      <w:r>
        <w:t xml:space="preserve">4. Reaching the Debtor’s Dutch Income</w:t>
      </w:r>
    </w:p>
    <w:p>
      <w:pPr>
        <w:pStyle w:val="FirstParagraph"/>
      </w:pPr>
      <w:r>
        <w:t xml:space="preserve">The preceding chapter established that Polish enforcement against GPUcomputer’s domestic assets will likely fail: the JDG is dormant, the personal account is empty, and no real property has been located. The debtor’s only identifiable income stream is his full-time employment in the Netherlands. This chapter provides a high-level overview of the cross-border enforcement pathway from Poland to Dutch wages; a detailed procedural treatment of the Dutch enforcement phase follows in Chapter 6.</w:t>
      </w:r>
    </w:p>
    <w:p>
      <w:pPr>
        <w:pStyle w:val="BodyText"/>
      </w:pPr>
      <w:r>
        <w:t xml:space="preserve">The fundamental question is whether a Polish komornik can reach wages earned abroad. The answer is no — Polish enforcement authority stops at the border. However, the underlying Polish judgment can travel across borders through several EU legal instruments, and the most efficient of these converts the creditor’s EPU</w:t>
      </w:r>
      <w:r>
        <w:t xml:space="preserve"> </w:t>
      </w:r>
      <w:r>
        <w:rPr>
          <w:iCs/>
          <w:i/>
        </w:rPr>
        <w:t xml:space="preserve">nakaz zapłaty</w:t>
      </w:r>
      <w:r>
        <w:t xml:space="preserve"> </w:t>
      </w:r>
      <w:r>
        <w:t xml:space="preserve">into a direct enforcement title in the Netherlands without any Dutch court proceeding.</w:t>
      </w:r>
    </w:p>
    <w:bookmarkStart w:id="78" w:name="Xfe604d1ed9740f21ad0fdb85ea585724ee34bd1"/>
    <w:p>
      <w:pPr>
        <w:pStyle w:val="Heading3"/>
      </w:pPr>
      <w:r>
        <w:t xml:space="preserve">4.1 Polish Komornik Has No Cross-Border Reach</w:t>
      </w:r>
    </w:p>
    <w:bookmarkStart w:id="76" w:name="territorial-limit-art.-11104-1-kpc"/>
    <w:p>
      <w:pPr>
        <w:pStyle w:val="Heading4"/>
      </w:pPr>
      <w:r>
        <w:t xml:space="preserve">4.1.1 Territorial Limit: art. 1110(4) §1 KPC</w:t>
      </w:r>
    </w:p>
    <w:p>
      <w:pPr>
        <w:pStyle w:val="FirstParagraph"/>
      </w:pPr>
      <w:r>
        <w:t xml:space="preserve">Polish enforcement jurisdiction is strictly territorial. Article 1110(4) §1 KPC provides that enforcement matters fall within the exclusive jurisdiction of Polish courts only when enforcement is to be commenced or conducted within the Republic of Poland</w:t>
      </w:r>
      <w:r>
        <w:t xml:space="preserve"> </w:t>
      </w:r>
      <w:fldSimple w:instr="NOTEREF _Ref_Footnote_1 \h \f">
        <w:r>
          <w:rPr>
            <w:vertAlign w:val="superscript"/>
          </w:rPr>
          <w:t>1</w:t>
        </w:r>
      </w:fldSimple>
      <w:r>
        <w:t xml:space="preserve">. There is no statutory connecting factor that extends a komornik’s authority to assets or income located outside Poland. The provision reflects the broader principle that one state’s enforcement organs may not unilaterally exercise coercive powers on another state’s territory; to do so would violate the sovereignty of that state</w:t>
      </w:r>
      <w:r>
        <w:t xml:space="preserve"> </w:t>
      </w:r>
      <w:fldSimple w:instr="NOTEREF _Ref_Footnote_1 \h \f">
        <w:r>
          <w:rPr>
            <w:vertAlign w:val="superscript"/>
          </w:rPr>
          <w:t>1</w:t>
        </w:r>
      </w:fldSimple>
      <w:r>
        <w:t xml:space="preserve">.</w:t>
      </w:r>
    </w:p>
    <w:p>
      <w:pPr>
        <w:pStyle w:val="BodyText"/>
      </w:pPr>
      <w:r>
        <w:t xml:space="preserve">For the creditor, this means the komornik selected under art. 10 ust. 3</w:t>
      </w:r>
      <w:r>
        <w:t xml:space="preserve"> </w:t>
      </w:r>
      <w:r>
        <w:rPr>
          <w:iCs/>
          <w:i/>
        </w:rPr>
        <w:t xml:space="preserve">ustawy o komornikach sądowych</w:t>
      </w:r>
      <w:r>
        <w:t xml:space="preserve"> </w:t>
      </w:r>
      <w:r>
        <w:t xml:space="preserve">— even one acting under a fully valid</w:t>
      </w:r>
      <w:r>
        <w:t xml:space="preserve"> </w:t>
      </w:r>
      <w:r>
        <w:rPr>
          <w:iCs/>
          <w:i/>
        </w:rPr>
        <w:t xml:space="preserve">klauzula wykonalności</w:t>
      </w:r>
      <w:r>
        <w:t xml:space="preserve"> </w:t>
      </w:r>
      <w:r>
        <w:t xml:space="preserve">appended to the EPU</w:t>
      </w:r>
      <w:r>
        <w:t xml:space="preserve"> </w:t>
      </w:r>
      <w:r>
        <w:rPr>
          <w:iCs/>
          <w:i/>
        </w:rPr>
        <w:t xml:space="preserve">nakaz zapłaty</w:t>
      </w:r>
      <w:r>
        <w:t xml:space="preserve"> </w:t>
      </w:r>
      <w:r>
        <w:t xml:space="preserve">— cannot lawfully send a garnishment notice to a Dutch employer. Such an act would be</w:t>
      </w:r>
      <w:r>
        <w:t xml:space="preserve"> </w:t>
      </w:r>
      <w:r>
        <w:rPr>
          <w:iCs/>
          <w:i/>
        </w:rPr>
        <w:t xml:space="preserve">bezprawna i nieskuteczna</w:t>
      </w:r>
      <w:r>
        <w:t xml:space="preserve"> </w:t>
      </w:r>
      <w:r>
        <w:t xml:space="preserve">(unlawful and ineffective)</w:t>
      </w:r>
      <w:r>
        <w:t xml:space="preserve"> </w:t>
      </w:r>
      <w:fldSimple w:instr="NOTEREF _Ref_Footnote_1 \h \f">
        <w:r>
          <w:rPr>
            <w:vertAlign w:val="superscript"/>
          </w:rPr>
          <w:t>1</w:t>
        </w:r>
      </w:fldSimple>
      <w:r>
        <w:t xml:space="preserve">. The territorial limitation is absolute and admits of no exception for EU membership or reciprocal enforcement arrangements.</w:t>
      </w:r>
    </w:p>
    <w:bookmarkEnd w:id="76"/>
    <w:bookmarkStart w:id="77" w:name="X14f36da1a1335fc7728739767fc785a8189236c"/>
    <w:p>
      <w:pPr>
        <w:pStyle w:val="Heading4"/>
      </w:pPr>
      <w:r>
        <w:t xml:space="preserve">4.1.2 Cannot Garnish Dutch Wages, Seize NL Bank Accounts, or Attach NL Property</w:t>
      </w:r>
    </w:p>
    <w:p>
      <w:pPr>
        <w:pStyle w:val="FirstParagraph"/>
      </w:pPr>
      <w:r>
        <w:t xml:space="preserve">The komornik’s incapacity extends across all asset classes located in the Netherlands. He cannot:</w:t>
      </w:r>
    </w:p>
    <w:p>
      <w:pPr>
        <w:numPr>
          <w:ilvl w:val="0"/>
          <w:numId w:val="1001"/>
        </w:numPr>
        <w:pStyle w:val="Compact"/>
      </w:pPr>
      <w:r>
        <w:t xml:space="preserve">serve a</w:t>
      </w:r>
      <w:r>
        <w:t xml:space="preserve"> </w:t>
      </w:r>
      <w:r>
        <w:rPr>
          <w:iCs/>
          <w:i/>
        </w:rPr>
        <w:t xml:space="preserve">zajęcie wynagrodzenia</w:t>
      </w:r>
      <w:r>
        <w:t xml:space="preserve"> </w:t>
      </w:r>
      <w:r>
        <w:t xml:space="preserve">(wage garnishment) on a Dutch employer;</w:t>
      </w:r>
    </w:p>
    <w:p>
      <w:pPr>
        <w:numPr>
          <w:ilvl w:val="0"/>
          <w:numId w:val="1001"/>
        </w:numPr>
        <w:pStyle w:val="Compact"/>
      </w:pPr>
      <w:r>
        <w:t xml:space="preserve">seize funds held in a Dutch bank account (even if the account number is known);</w:t>
      </w:r>
    </w:p>
    <w:p>
      <w:pPr>
        <w:numPr>
          <w:ilvl w:val="0"/>
          <w:numId w:val="1001"/>
        </w:numPr>
        <w:pStyle w:val="Compact"/>
      </w:pPr>
      <w:r>
        <w:t xml:space="preserve">attach real property or movables located in the Netherlands; or</w:t>
      </w:r>
    </w:p>
    <w:p>
      <w:pPr>
        <w:numPr>
          <w:ilvl w:val="0"/>
          <w:numId w:val="1001"/>
        </w:numPr>
        <w:pStyle w:val="Compact"/>
      </w:pPr>
      <w:r>
        <w:t xml:space="preserve">compel a Dutch third party to disclose information about the debtor’s assets.</w:t>
      </w:r>
    </w:p>
    <w:p>
      <w:pPr>
        <w:pStyle w:val="FirstParagraph"/>
      </w:pPr>
      <w:r>
        <w:t xml:space="preserve">The sole, narrow exception arises when Dutch earnings are physically transferred to a Polish bank account. In that scenario, the komornik may seize the funds once they enter Polish territory under standard domestic enforcement rules</w:t>
      </w:r>
      <w:r>
        <w:t xml:space="preserve"> </w:t>
      </w:r>
      <w:fldSimple w:instr="NOTEREF _Ref_Footnote_2 \h \f">
        <w:r>
          <w:rPr>
            <w:vertAlign w:val="superscript"/>
          </w:rPr>
          <w:t>2</w:t>
        </w:r>
      </w:fldSimple>
      <w:r>
        <w:t xml:space="preserve">. Where the debtor’s wages remain in the Netherlands — paid into a Dutch account and spent in the Dutch economy — the Polish komornik has no recourse.</w:t>
      </w:r>
    </w:p>
    <w:p>
      <w:pPr>
        <w:pStyle w:val="BodyText"/>
      </w:pPr>
      <w:r>
        <w:t xml:space="preserve">This territorial barrier does not, however, render the Polish judgment worthless. The judgment itself remains fully enforceable; only the enforcement organ must change. The creditor must</w:t>
      </w:r>
      <w:r>
        <w:t xml:space="preserve"> </w:t>
      </w:r>
      <w:r>
        <w:t xml:space="preserve">“</w:t>
      </w:r>
      <w:r>
        <w:t xml:space="preserve">arm</w:t>
      </w:r>
      <w:r>
        <w:t xml:space="preserve">”</w:t>
      </w:r>
      <w:r>
        <w:t xml:space="preserve"> </w:t>
      </w:r>
      <w:r>
        <w:t xml:space="preserve">the Polish judgment with a European title that enables enforcement by a Dutch organ — specifically, a</w:t>
      </w:r>
      <w:r>
        <w:t xml:space="preserve"> </w:t>
      </w:r>
      <w:r>
        <w:rPr>
          <w:iCs/>
          <w:i/>
        </w:rPr>
        <w:t xml:space="preserve">gerechtsdeurwaarder</w:t>
      </w:r>
      <w:r>
        <w:t xml:space="preserve"> </w:t>
      </w:r>
      <w:r>
        <w:t xml:space="preserve">(Dutch bailiff)</w:t>
      </w:r>
      <w:r>
        <w:t xml:space="preserve"> </w:t>
      </w:r>
      <w:fldSimple w:instr="NOTEREF _Ref_Footnote_1 \h \f">
        <w:r>
          <w:rPr>
            <w:vertAlign w:val="superscript"/>
          </w:rPr>
          <w:t>1</w:t>
        </w:r>
      </w:fldSimple>
      <w:r>
        <w:t xml:space="preserve">.</w:t>
      </w:r>
    </w:p>
    <w:bookmarkEnd w:id="77"/>
    <w:bookmarkEnd w:id="78"/>
    <w:bookmarkStart w:id="83" w:name="the-eeo-dutch-deurwaarder-pathway"/>
    <w:p>
      <w:pPr>
        <w:pStyle w:val="Heading3"/>
      </w:pPr>
      <w:r>
        <w:t xml:space="preserve">4.2 The EEO + Dutch Deurwaarder Pathway</w:t>
      </w:r>
    </w:p>
    <w:bookmarkStart w:id="79" w:name="Xdf58327440b798407da9fee0f6d7c98022cf6ed"/>
    <w:p>
      <w:pPr>
        <w:pStyle w:val="Heading4"/>
      </w:pPr>
      <w:r>
        <w:t xml:space="preserve">4.2.1 EPU Nakaz Zapłaty Qualifies as an</w:t>
      </w:r>
      <w:r>
        <w:t xml:space="preserve"> </w:t>
      </w:r>
      <w:r>
        <w:t xml:space="preserve">“</w:t>
      </w:r>
      <w:r>
        <w:t xml:space="preserve">Uncontested Claim</w:t>
      </w:r>
      <w:r>
        <w:t xml:space="preserve">”</w:t>
      </w:r>
      <w:r>
        <w:t xml:space="preserve"> </w:t>
      </w:r>
      <w:r>
        <w:t xml:space="preserve">under Reg. 805/2004 (EEO)</w:t>
      </w:r>
    </w:p>
    <w:p>
      <w:pPr>
        <w:pStyle w:val="FirstParagraph"/>
      </w:pPr>
      <w:r>
        <w:t xml:space="preserve">The European Enforcement Order (EEO), established by Council Regulation (EC) No 805/2004, creates a certification procedure for</w:t>
      </w:r>
      <w:r>
        <w:t xml:space="preserve"> </w:t>
      </w:r>
      <w:r>
        <w:t xml:space="preserve">“</w:t>
      </w:r>
      <w:r>
        <w:t xml:space="preserve">uncontested claims.</w:t>
      </w:r>
      <w:r>
        <w:t xml:space="preserve">”</w:t>
      </w:r>
      <w:r>
        <w:t xml:space="preserve"> </w:t>
      </w:r>
      <w:r>
        <w:t xml:space="preserve">A claim is uncontested where the debtor never objected to it in accordance with the procedural requirements of the member state of origin</w:t>
      </w:r>
      <w:r>
        <w:t xml:space="preserve"> </w:t>
      </w:r>
      <w:fldSimple w:instr="NOTEREF _Ref_Footnote_3 \h \f">
        <w:r>
          <w:rPr>
            <w:vertAlign w:val="superscript"/>
          </w:rPr>
          <w:t>3</w:t>
        </w:r>
      </w:fldSimple>
      <w:r>
        <w:t xml:space="preserve">. An EPU</w:t>
      </w:r>
      <w:r>
        <w:t xml:space="preserve"> </w:t>
      </w:r>
      <w:r>
        <w:rPr>
          <w:iCs/>
          <w:i/>
        </w:rPr>
        <w:t xml:space="preserve">nakaz zapłaty</w:t>
      </w:r>
      <w:r>
        <w:t xml:space="preserve"> </w:t>
      </w:r>
      <w:r>
        <w:t xml:space="preserve">that becomes final because the debtor failed to file a</w:t>
      </w:r>
      <w:r>
        <w:t xml:space="preserve"> </w:t>
      </w:r>
      <w:r>
        <w:rPr>
          <w:iCs/>
          <w:i/>
        </w:rPr>
        <w:t xml:space="preserve">sprzeciw</w:t>
      </w:r>
      <w:r>
        <w:t xml:space="preserve"> </w:t>
      </w:r>
      <w:r>
        <w:t xml:space="preserve">(objection) within the statutory two-week period falls squarely within this definition</w:t>
      </w:r>
      <w:r>
        <w:t xml:space="preserve"> </w:t>
      </w:r>
      <w:fldSimple w:instr="NOTEREF _Ref_Footnote_3 \h \f">
        <w:r>
          <w:rPr>
            <w:vertAlign w:val="superscript"/>
          </w:rPr>
          <w:t>3</w:t>
        </w:r>
      </w:fldSimple>
      <w:r>
        <w:t xml:space="preserve">. The Regulation explicitly lists</w:t>
      </w:r>
      <w:r>
        <w:t xml:space="preserve"> </w:t>
      </w:r>
      <w:r>
        <w:rPr>
          <w:iCs/>
          <w:i/>
        </w:rPr>
        <w:t xml:space="preserve">nakazy zapłaty</w:t>
      </w:r>
      <w:r>
        <w:t xml:space="preserve"> </w:t>
      </w:r>
      <w:r>
        <w:t xml:space="preserve">(payment orders) and</w:t>
      </w:r>
      <w:r>
        <w:t xml:space="preserve"> </w:t>
      </w:r>
      <w:r>
        <w:rPr>
          <w:iCs/>
          <w:i/>
        </w:rPr>
        <w:t xml:space="preserve">wyroki zaoczne</w:t>
      </w:r>
      <w:r>
        <w:t xml:space="preserve"> </w:t>
      </w:r>
      <w:r>
        <w:t xml:space="preserve">(default judgments) as typical examples of uncontested claims</w:t>
      </w:r>
      <w:r>
        <w:t xml:space="preserve"> </w:t>
      </w:r>
      <w:fldSimple w:instr="NOTEREF _Ref_Footnote_3 \h \f">
        <w:r>
          <w:rPr>
            <w:vertAlign w:val="superscript"/>
          </w:rPr>
          <w:t>3</w:t>
        </w:r>
      </w:fldSimple>
      <w:r>
        <w:t xml:space="preserve">.</w:t>
      </w:r>
    </w:p>
    <w:p>
      <w:pPr>
        <w:pStyle w:val="BodyText"/>
      </w:pPr>
      <w:r>
        <w:t xml:space="preserve">For GPUcomputer’s creditor, this is decisive. Assuming the debtor did not file a</w:t>
      </w:r>
      <w:r>
        <w:t xml:space="preserve"> </w:t>
      </w:r>
      <w:r>
        <w:rPr>
          <w:iCs/>
          <w:i/>
        </w:rPr>
        <w:t xml:space="preserve">sprzeciw</w:t>
      </w:r>
      <w:r>
        <w:t xml:space="preserve"> </w:t>
      </w:r>
      <w:r>
        <w:t xml:space="preserve">against the EPU</w:t>
      </w:r>
      <w:r>
        <w:t xml:space="preserve"> </w:t>
      </w:r>
      <w:r>
        <w:rPr>
          <w:iCs/>
          <w:i/>
        </w:rPr>
        <w:t xml:space="preserve">nakaz zapłaty</w:t>
      </w:r>
      <w:r>
        <w:t xml:space="preserve">, the claim is uncontested and eligible for EEO certification. The EPU system itself provides that a</w:t>
      </w:r>
      <w:r>
        <w:t xml:space="preserve"> </w:t>
      </w:r>
      <w:r>
        <w:rPr>
          <w:iCs/>
          <w:i/>
        </w:rPr>
        <w:t xml:space="preserve">nakaz zapłaty</w:t>
      </w:r>
      <w:r>
        <w:t xml:space="preserve"> </w:t>
      </w:r>
      <w:r>
        <w:t xml:space="preserve">not opposed by the debtor becomes an executory title (</w:t>
      </w:r>
      <w:r>
        <w:rPr>
          <w:iCs/>
          <w:i/>
        </w:rPr>
        <w:t xml:space="preserve">tytuł egzekucyjny</w:t>
      </w:r>
      <w:r>
        <w:t xml:space="preserve">)</w:t>
      </w:r>
      <w:r>
        <w:t xml:space="preserve"> </w:t>
      </w:r>
      <w:fldSimple w:instr="NOTEREF _Ref_Footnote_4 \h \f">
        <w:r>
          <w:rPr>
            <w:vertAlign w:val="superscript"/>
          </w:rPr>
          <w:t>4</w:t>
        </w:r>
      </w:fldSimple>
      <w:r>
        <w:t xml:space="preserve">, and the same non-opposition satisfies the EEO’s uncontested-claim requirement.</w:t>
      </w:r>
    </w:p>
    <w:bookmarkEnd w:id="79"/>
    <w:bookmarkStart w:id="80" w:name="X84131f840ea6eb4e6e029aa65dbb112c78a1ac0"/>
    <w:p>
      <w:pPr>
        <w:pStyle w:val="Heading4"/>
      </w:pPr>
      <w:r>
        <w:t xml:space="preserve">4.2.2 EEO Certificate: 50 zł from e-Sąd; Debtor Cannot Challenge Recognition in NL</w:t>
      </w:r>
    </w:p>
    <w:p>
      <w:pPr>
        <w:pStyle w:val="FirstParagraph"/>
      </w:pPr>
      <w:r>
        <w:t xml:space="preserve">The creditor applies for the EEO certificate under art. 795¹ KPC at the court that issued the EPU</w:t>
      </w:r>
      <w:r>
        <w:t xml:space="preserve"> </w:t>
      </w:r>
      <w:r>
        <w:rPr>
          <w:iCs/>
          <w:i/>
        </w:rPr>
        <w:t xml:space="preserve">nakaz zapłaty</w:t>
      </w:r>
      <w:r>
        <w:t xml:space="preserve"> </w:t>
      </w:r>
      <w:r>
        <w:t xml:space="preserve">— in practice, the e-Sąd in Lublin. The court fee is 50 zł</w:t>
      </w:r>
      <w:r>
        <w:t xml:space="preserve"> </w:t>
      </w:r>
      <w:fldSimple w:instr="NOTEREF _Ref_Footnote_5 \h \f">
        <w:r>
          <w:rPr>
            <w:vertAlign w:val="superscript"/>
          </w:rPr>
          <w:t>5</w:t>
        </w:r>
      </w:fldSimple>
      <w:r>
        <w:t xml:space="preserve">. The court verifies only that the claim meets the uncontested-claim criteria and issues the certificate using a standard EU form. The certificate acts as a</w:t>
      </w:r>
      <w:r>
        <w:t xml:space="preserve"> </w:t>
      </w:r>
      <w:r>
        <w:t xml:space="preserve">“</w:t>
      </w:r>
      <w:r>
        <w:t xml:space="preserve">European passport</w:t>
      </w:r>
      <w:r>
        <w:t xml:space="preserve">”</w:t>
      </w:r>
      <w:r>
        <w:t xml:space="preserve"> </w:t>
      </w:r>
      <w:r>
        <w:t xml:space="preserve">for the judgment</w:t>
      </w:r>
      <w:r>
        <w:t xml:space="preserve"> </w:t>
      </w:r>
      <w:fldSimple w:instr="NOTEREF _Ref_Footnote_5 \h \f">
        <w:r>
          <w:rPr>
            <w:vertAlign w:val="superscript"/>
          </w:rPr>
          <w:t>5</w:t>
        </w:r>
      </w:fldSimple>
      <w:r>
        <w:t xml:space="preserve">.</w:t>
      </w:r>
    </w:p>
    <w:p>
      <w:pPr>
        <w:pStyle w:val="BodyText"/>
      </w:pPr>
      <w:r>
        <w:t xml:space="preserve">The EEO’s decisive procedural advantage is that the debtor</w:t>
      </w:r>
      <w:r>
        <w:t xml:space="preserve"> </w:t>
      </w:r>
      <w:r>
        <w:rPr>
          <w:bCs/>
          <w:b/>
        </w:rPr>
        <w:t xml:space="preserve">cannot challenge recognition</w:t>
      </w:r>
      <w:r>
        <w:t xml:space="preserve"> </w:t>
      </w:r>
      <w:r>
        <w:t xml:space="preserve">of the EEO-certified judgment in the Netherlands or any other enforcing member state</w:t>
      </w:r>
      <w:r>
        <w:t xml:space="preserve"> </w:t>
      </w:r>
      <w:fldSimple w:instr="NOTEREF _Ref_Footnote_6 \h \f">
        <w:r>
          <w:rPr>
            <w:vertAlign w:val="superscript"/>
          </w:rPr>
          <w:t>6</w:t>
        </w:r>
      </w:fldSimple>
      <w:r>
        <w:t xml:space="preserve">. Unlike enforcement under Brussels I bis (where art. 45 provides limited grounds for refusal), an EEO judgment is enforceable</w:t>
      </w:r>
      <w:r>
        <w:t xml:space="preserve"> </w:t>
      </w:r>
      <w:r>
        <w:t xml:space="preserve">“</w:t>
      </w:r>
      <w:r>
        <w:t xml:space="preserve">without any intermediate procedure and without the possibility of opposing its recognition</w:t>
      </w:r>
      <w:r>
        <w:t xml:space="preserve">”</w:t>
      </w:r>
      <w:r>
        <w:t xml:space="preserve"> </w:t>
      </w:r>
      <w:fldSimple w:instr="NOTEREF _Ref_Footnote_6 \h \f">
        <w:r>
          <w:rPr>
            <w:vertAlign w:val="superscript"/>
          </w:rPr>
          <w:t>6</w:t>
        </w:r>
      </w:fldSimple>
      <w:r>
        <w:t xml:space="preserve">. The debtor retains only three narrow remedies: (a) challenge the enforcement procedure itself in the enforcing state; (b) apply to the Polish originating court to withdraw the EEO certificate; or (c) seek suspension of enforcement in exceptional circumstances</w:t>
      </w:r>
      <w:r>
        <w:t xml:space="preserve"> </w:t>
      </w:r>
      <w:fldSimple w:instr="NOTEREF _Ref_Footnote_7 \h \f">
        <w:r>
          <w:rPr>
            <w:vertAlign w:val="superscript"/>
          </w:rPr>
          <w:t>7</w:t>
        </w:r>
      </w:fldSimple>
      <w:r>
        <w:t xml:space="preserve">. None of these block the initial</w:t>
      </w:r>
      <w:r>
        <w:t xml:space="preserve"> </w:t>
      </w:r>
      <w:r>
        <w:rPr>
          <w:iCs/>
          <w:i/>
        </w:rPr>
        <w:t xml:space="preserve">loonbeslag</w:t>
      </w:r>
      <w:r>
        <w:t xml:space="preserve">.</w:t>
      </w:r>
    </w:p>
    <w:bookmarkEnd w:id="80"/>
    <w:bookmarkStart w:id="81" w:name="X66b1aef57a3901b888506b9605e1d3fb5e7a004"/>
    <w:p>
      <w:pPr>
        <w:pStyle w:val="Heading4"/>
      </w:pPr>
      <w:r>
        <w:t xml:space="preserve">4.2.3 Dutch Loonbeslag: Deurwaarder Serves Employer; Beslagvrije Voet Protection</w:t>
      </w:r>
    </w:p>
    <w:p>
      <w:pPr>
        <w:pStyle w:val="FirstParagraph"/>
      </w:pPr>
      <w:r>
        <w:t xml:space="preserve">With the EEO certificate and a sworn Dutch translation of the</w:t>
      </w:r>
      <w:r>
        <w:t xml:space="preserve"> </w:t>
      </w:r>
      <w:r>
        <w:rPr>
          <w:iCs/>
          <w:i/>
        </w:rPr>
        <w:t xml:space="preserve">nakaz zapłaty</w:t>
      </w:r>
      <w:r>
        <w:t xml:space="preserve">, the creditor instructs a Dutch</w:t>
      </w:r>
      <w:r>
        <w:t xml:space="preserve"> </w:t>
      </w:r>
      <w:r>
        <w:rPr>
          <w:iCs/>
          <w:i/>
        </w:rPr>
        <w:t xml:space="preserve">gerechtsdeurwaarder</w:t>
      </w:r>
      <w:r>
        <w:t xml:space="preserve"> </w:t>
      </w:r>
      <w:r>
        <w:t xml:space="preserve">in the district where the debtor resides or where the employer is located</w:t>
      </w:r>
      <w:r>
        <w:t xml:space="preserve"> </w:t>
      </w:r>
      <w:fldSimple w:instr="NOTEREF _Ref_Footnote_8 \h \f">
        <w:r>
          <w:rPr>
            <w:vertAlign w:val="superscript"/>
          </w:rPr>
          <w:t>8</w:t>
        </w:r>
      </w:fldSimple>
      <w:r>
        <w:t xml:space="preserve">. The</w:t>
      </w:r>
      <w:r>
        <w:t xml:space="preserve"> </w:t>
      </w:r>
      <w:r>
        <w:rPr>
          <w:iCs/>
          <w:i/>
        </w:rPr>
        <w:t xml:space="preserve">deurwaarder</w:t>
      </w:r>
      <w:r>
        <w:t xml:space="preserve"> </w:t>
      </w:r>
      <w:r>
        <w:t xml:space="preserve">first serves the executory title on the debtor (a mandatory first step under Dutch law), then serves a</w:t>
      </w:r>
      <w:r>
        <w:t xml:space="preserve"> </w:t>
      </w:r>
      <w:r>
        <w:rPr>
          <w:iCs/>
          <w:i/>
        </w:rPr>
        <w:t xml:space="preserve">beslagexploot</w:t>
      </w:r>
      <w:r>
        <w:t xml:space="preserve"> </w:t>
      </w:r>
      <w:r>
        <w:t xml:space="preserve">(garnishment order) directly on the employer</w:t>
      </w:r>
      <w:r>
        <w:t xml:space="preserve"> </w:t>
      </w:r>
      <w:fldSimple w:instr="NOTEREF _Ref_Footnote_9 \h \f">
        <w:r>
          <w:rPr>
            <w:vertAlign w:val="superscript"/>
          </w:rPr>
          <w:t>9</w:t>
        </w:r>
      </w:fldSimple>
      <w:r>
        <w:t xml:space="preserve">.</w:t>
      </w:r>
    </w:p>
    <w:p>
      <w:pPr>
        <w:pStyle w:val="BodyText"/>
      </w:pPr>
      <w:r>
        <w:t xml:space="preserve">The employer becomes the</w:t>
      </w:r>
      <w:r>
        <w:t xml:space="preserve"> </w:t>
      </w:r>
      <w:r>
        <w:t xml:space="preserve">“</w:t>
      </w:r>
      <w:r>
        <w:t xml:space="preserve">third party</w:t>
      </w:r>
      <w:r>
        <w:t xml:space="preserve">”</w:t>
      </w:r>
      <w:r>
        <w:t xml:space="preserve"> </w:t>
      </w:r>
      <w:r>
        <w:t xml:space="preserve">(</w:t>
      </w:r>
      <w:r>
        <w:rPr>
          <w:iCs/>
          <w:i/>
        </w:rPr>
        <w:t xml:space="preserve">derde</w:t>
      </w:r>
      <w:r>
        <w:t xml:space="preserve">) who holds the debtor’s wage claim. Dutch law obligates the employer to: (a) confirm employment within 14 days on a</w:t>
      </w:r>
      <w:r>
        <w:t xml:space="preserve"> </w:t>
      </w:r>
      <w:r>
        <w:rPr>
          <w:iCs/>
          <w:i/>
        </w:rPr>
        <w:t xml:space="preserve">verklaring derdenbeslag</w:t>
      </w:r>
      <w:r>
        <w:t xml:space="preserve"> </w:t>
      </w:r>
      <w:r>
        <w:t xml:space="preserve">form; (b) withhold the garnishable portion of wages monthly; and (c) remit the withheld amount to the</w:t>
      </w:r>
      <w:r>
        <w:t xml:space="preserve"> </w:t>
      </w:r>
      <w:r>
        <w:rPr>
          <w:iCs/>
          <w:i/>
        </w:rPr>
        <w:t xml:space="preserve">deurwaarder</w:t>
      </w:r>
      <w:r>
        <w:t xml:space="preserve"> </w:t>
      </w:r>
      <w:fldSimple w:instr="NOTEREF _Ref_Footnote_10 \h \f">
        <w:r>
          <w:rPr>
            <w:vertAlign w:val="superscript"/>
          </w:rPr>
          <w:t>10</w:t>
        </w:r>
      </w:fldSimple>
      <w:r>
        <w:t xml:space="preserve">. Non-cooperation exposes the employer to liability.</w:t>
      </w:r>
    </w:p>
    <w:p>
      <w:pPr>
        <w:pStyle w:val="BodyText"/>
      </w:pPr>
      <w:r>
        <w:t xml:space="preserve">Critical for the creditor’s expectations: Dutch wage garnishment operates under the</w:t>
      </w:r>
      <w:r>
        <w:t xml:space="preserve"> </w:t>
      </w:r>
      <w:r>
        <w:rPr>
          <w:iCs/>
          <w:i/>
        </w:rPr>
        <w:t xml:space="preserve">beslagvrije voet</w:t>
      </w:r>
      <w:r>
        <w:t xml:space="preserve"> </w:t>
      </w:r>
      <w:r>
        <w:t xml:space="preserve">(protected minimum income), not the Polish</w:t>
      </w:r>
      <w:r>
        <w:t xml:space="preserve"> </w:t>
      </w:r>
      <w:r>
        <w:rPr>
          <w:iCs/>
          <w:i/>
        </w:rPr>
        <w:t xml:space="preserve">kwota wolna od zajęcia</w:t>
      </w:r>
      <w:r>
        <w:t xml:space="preserve">. The</w:t>
      </w:r>
      <w:r>
        <w:t xml:space="preserve"> </w:t>
      </w:r>
      <w:r>
        <w:rPr>
          <w:iCs/>
          <w:i/>
        </w:rPr>
        <w:t xml:space="preserve">beslagvrije voet</w:t>
      </w:r>
      <w:r>
        <w:t xml:space="preserve"> </w:t>
      </w:r>
      <w:r>
        <w:t xml:space="preserve">equals 90% of the applicable social assistance norm (</w:t>
      </w:r>
      <w:r>
        <w:rPr>
          <w:iCs/>
          <w:i/>
        </w:rPr>
        <w:t xml:space="preserve">bijstandsnorm</w:t>
      </w:r>
      <w:r>
        <w:t xml:space="preserve">) based on the debtor’s age and family situation, plus net housing costs, plus health insurance premiums</w:t>
      </w:r>
      <w:r>
        <w:t xml:space="preserve"> </w:t>
      </w:r>
      <w:fldSimple w:instr="NOTEREF _Ref_Footnote_9 \h \f">
        <w:r>
          <w:rPr>
            <w:vertAlign w:val="superscript"/>
          </w:rPr>
          <w:t>9</w:t>
        </w:r>
      </w:fldSimple>
      <w:r>
        <w:t xml:space="preserve">. This amount is substantially more generous than Polish salary protection. Only the income exceeding the</w:t>
      </w:r>
      <w:r>
        <w:t xml:space="preserve"> </w:t>
      </w:r>
      <w:r>
        <w:rPr>
          <w:iCs/>
          <w:i/>
        </w:rPr>
        <w:t xml:space="preserve">beslagvrije voet</w:t>
      </w:r>
      <w:r>
        <w:t xml:space="preserve"> </w:t>
      </w:r>
      <w:r>
        <w:t xml:space="preserve">is garnishable. If the debtor fails to declare income sources, the</w:t>
      </w:r>
      <w:r>
        <w:t xml:space="preserve"> </w:t>
      </w:r>
      <w:r>
        <w:rPr>
          <w:iCs/>
          <w:i/>
        </w:rPr>
        <w:t xml:space="preserve">beslagvrije voet</w:t>
      </w:r>
      <w:r>
        <w:t xml:space="preserve"> </w:t>
      </w:r>
      <w:r>
        <w:t xml:space="preserve">is halved until disclosure is made; if the debtor has no Dutch residence, the</w:t>
      </w:r>
      <w:r>
        <w:t xml:space="preserve"> </w:t>
      </w:r>
      <w:r>
        <w:rPr>
          <w:iCs/>
          <w:i/>
        </w:rPr>
        <w:t xml:space="preserve">beslagvrije voet</w:t>
      </w:r>
      <w:r>
        <w:t xml:space="preserve"> </w:t>
      </w:r>
      <w:r>
        <w:t xml:space="preserve">is theoretically zero, though a Dutch</w:t>
      </w:r>
      <w:r>
        <w:t xml:space="preserve"> </w:t>
      </w:r>
      <w:r>
        <w:rPr>
          <w:iCs/>
          <w:i/>
        </w:rPr>
        <w:t xml:space="preserve">kantonrechter</w:t>
      </w:r>
      <w:r>
        <w:t xml:space="preserve"> </w:t>
      </w:r>
      <w:r>
        <w:t xml:space="preserve">may set an appropriate amount upon request</w:t>
      </w:r>
      <w:r>
        <w:t xml:space="preserve"> </w:t>
      </w:r>
      <w:fldSimple w:instr="NOTEREF _Ref_Footnote_9 \h \f">
        <w:r>
          <w:rPr>
            <w:vertAlign w:val="superscript"/>
          </w:rPr>
          <w:t>9</w:t>
        </w:r>
      </w:fldSimple>
      <w:r>
        <w:t xml:space="preserve">.</w:t>
      </w:r>
    </w:p>
    <w:bookmarkEnd w:id="81"/>
    <w:bookmarkStart w:id="82" w:name="X81a134d77925e6f319c042c0e4b769644408167"/>
    <w:p>
      <w:pPr>
        <w:pStyle w:val="Heading4"/>
      </w:pPr>
      <w:r>
        <w:t xml:space="preserve">4.2.4 Timeline: 4–8 Weeks to First Collection; No Dutch Court Proceedings Required</w:t>
      </w:r>
    </w:p>
    <w:p>
      <w:pPr>
        <w:pStyle w:val="FirstParagraph"/>
      </w:pPr>
      <w:r>
        <w:t xml:space="preserve">The EEO pathway is the fastest cross-border route because it bypasses Dutch court proceedings entirely. The timeline from EPU title to first wage withholding is:</w:t>
      </w:r>
    </w:p>
    <w:tbl>
      <w:tblPr>
        <w:tblStyle w:val="Table"/>
        <w:tblW w:type="pct" w:w="5000"/>
        <w:tblLook w:firstRow="1" w:lastRow="0" w:firstColumn="0" w:lastColumn="0" w:noHBand="0" w:noVBand="0" w:val="0020"/>
      </w:tblPr>
      <w:tblGrid>
        <w:gridCol w:w="1680"/>
        <w:gridCol w:w="2400"/>
        <w:gridCol w:w="3840"/>
      </w:tblGrid>
      <w:tr>
        <w:trPr>
          <w:tblHeader w:val="true"/>
        </w:trPr>
        <w:tc>
          <w:tcPr/>
          <w:p>
            <w:pPr>
              <w:pStyle w:val="Compact"/>
              <w:jc w:val="left"/>
            </w:pPr>
            <w:r>
              <w:t xml:space="preserve">Stage</w:t>
            </w:r>
          </w:p>
        </w:tc>
        <w:tc>
          <w:tcPr/>
          <w:p>
            <w:pPr>
              <w:pStyle w:val="Compact"/>
              <w:jc w:val="left"/>
            </w:pPr>
            <w:r>
              <w:t xml:space="preserve">Duration</w:t>
            </w:r>
          </w:p>
        </w:tc>
        <w:tc>
          <w:tcPr/>
          <w:p>
            <w:pPr>
              <w:pStyle w:val="Compact"/>
              <w:jc w:val="left"/>
            </w:pPr>
            <w:r>
              <w:t xml:space="preserve">Estimated Cost</w:t>
            </w:r>
          </w:p>
        </w:tc>
      </w:tr>
      <w:tr>
        <w:tc>
          <w:tcPr/>
          <w:p>
            <w:pPr>
              <w:pStyle w:val="Compact"/>
              <w:jc w:val="left"/>
            </w:pPr>
            <w:r>
              <w:t xml:space="preserve">Obtain EEO certificate (Poland)</w:t>
            </w:r>
          </w:p>
        </w:tc>
        <w:tc>
          <w:tcPr/>
          <w:p>
            <w:pPr>
              <w:pStyle w:val="Compact"/>
              <w:jc w:val="left"/>
            </w:pPr>
            <w:r>
              <w:t xml:space="preserve">1–2 weeks</w:t>
            </w:r>
          </w:p>
        </w:tc>
        <w:tc>
          <w:tcPr/>
          <w:p>
            <w:pPr>
              <w:pStyle w:val="Compact"/>
              <w:jc w:val="left"/>
            </w:pPr>
            <w:r>
              <w:t xml:space="preserve">50 zł (~€12)</w:t>
            </w:r>
            <w:r>
              <w:t xml:space="preserve"> </w:t>
            </w:r>
            <w:fldSimple w:instr="NOTEREF _Ref_Footnote_5 \h \f">
              <w:r>
                <w:rPr>
                  <w:vertAlign w:val="superscript"/>
                </w:rPr>
                <w:t>5</w:t>
              </w:r>
            </w:fldSimple>
          </w:p>
        </w:tc>
      </w:tr>
      <w:tr>
        <w:tc>
          <w:tcPr/>
          <w:p>
            <w:pPr>
              <w:pStyle w:val="Compact"/>
              <w:jc w:val="left"/>
            </w:pPr>
            <w:r>
              <w:t xml:space="preserve">Sworn translation to Dutch</w:t>
            </w:r>
          </w:p>
        </w:tc>
        <w:tc>
          <w:tcPr/>
          <w:p>
            <w:pPr>
              <w:pStyle w:val="Compact"/>
              <w:jc w:val="left"/>
            </w:pPr>
            <w:r>
              <w:t xml:space="preserve">1 week</w:t>
            </w:r>
          </w:p>
        </w:tc>
        <w:tc>
          <w:tcPr/>
          <w:p>
            <w:pPr>
              <w:pStyle w:val="Compact"/>
              <w:jc w:val="left"/>
            </w:pPr>
            <w:r>
              <w:t xml:space="preserve">€150–300</w:t>
            </w:r>
          </w:p>
        </w:tc>
      </w:tr>
      <w:tr>
        <w:tc>
          <w:tcPr/>
          <w:p>
            <w:pPr>
              <w:pStyle w:val="Compact"/>
              <w:jc w:val="left"/>
            </w:pPr>
            <w:r>
              <w:t xml:space="preserve">Instruct Dutch</w:t>
            </w:r>
            <w:r>
              <w:t xml:space="preserve"> </w:t>
            </w:r>
            <w:r>
              <w:rPr>
                <w:iCs/>
                <w:i/>
              </w:rPr>
              <w:t xml:space="preserve">deurwaarder</w:t>
            </w:r>
          </w:p>
        </w:tc>
        <w:tc>
          <w:tcPr/>
          <w:p>
            <w:pPr>
              <w:pStyle w:val="Compact"/>
              <w:jc w:val="left"/>
            </w:pPr>
            <w:r>
              <w:t xml:space="preserve">Immediate</w:t>
            </w:r>
          </w:p>
        </w:tc>
        <w:tc>
          <w:tcPr/>
          <w:p>
            <w:pPr>
              <w:pStyle w:val="Compact"/>
              <w:jc w:val="left"/>
            </w:pPr>
            <w:r>
              <w:t xml:space="preserve">Negotiable advance</w:t>
            </w:r>
          </w:p>
        </w:tc>
      </w:tr>
      <w:tr>
        <w:tc>
          <w:tcPr/>
          <w:p>
            <w:pPr>
              <w:pStyle w:val="Compact"/>
              <w:jc w:val="left"/>
            </w:pPr>
            <w:r>
              <w:t xml:space="preserve">Service on debtor (</w:t>
            </w:r>
            <w:r>
              <w:rPr>
                <w:iCs/>
                <w:i/>
              </w:rPr>
              <w:t xml:space="preserve">betekening</w:t>
            </w:r>
            <w:r>
              <w:t xml:space="preserve">)</w:t>
            </w:r>
          </w:p>
        </w:tc>
        <w:tc>
          <w:tcPr/>
          <w:p>
            <w:pPr>
              <w:pStyle w:val="Compact"/>
              <w:jc w:val="left"/>
            </w:pPr>
            <w:r>
              <w:t xml:space="preserve">1–2 weeks</w:t>
            </w:r>
          </w:p>
        </w:tc>
        <w:tc>
          <w:tcPr/>
          <w:p>
            <w:pPr>
              <w:pStyle w:val="Compact"/>
              <w:jc w:val="left"/>
            </w:pPr>
            <w:r>
              <w:t xml:space="preserve">~€137 (statutory)</w:t>
            </w:r>
            <w:r>
              <w:t xml:space="preserve"> </w:t>
            </w:r>
            <w:fldSimple w:instr="NOTEREF _Ref_Footnote_11 \h \f">
              <w:r>
                <w:rPr>
                  <w:vertAlign w:val="superscript"/>
                </w:rPr>
                <w:t>11</w:t>
              </w:r>
            </w:fldSimple>
          </w:p>
        </w:tc>
      </w:tr>
      <w:tr>
        <w:tc>
          <w:tcPr/>
          <w:p>
            <w:pPr>
              <w:pStyle w:val="Compact"/>
              <w:jc w:val="left"/>
            </w:pPr>
            <w:r>
              <w:rPr>
                <w:iCs/>
                <w:i/>
              </w:rPr>
              <w:t xml:space="preserve">Loonbeslag</w:t>
            </w:r>
            <w:r>
              <w:t xml:space="preserve"> </w:t>
            </w:r>
            <w:r>
              <w:t xml:space="preserve">service on employer</w:t>
            </w:r>
          </w:p>
        </w:tc>
        <w:tc>
          <w:tcPr/>
          <w:p>
            <w:pPr>
              <w:pStyle w:val="Compact"/>
              <w:jc w:val="left"/>
            </w:pPr>
            <w:r>
              <w:t xml:space="preserve">1–2 weeks</w:t>
            </w:r>
          </w:p>
        </w:tc>
        <w:tc>
          <w:tcPr/>
          <w:p>
            <w:pPr>
              <w:pStyle w:val="Compact"/>
              <w:jc w:val="left"/>
            </w:pPr>
            <w:r>
              <w:t xml:space="preserve">~€185 (statutory)</w:t>
            </w:r>
            <w:r>
              <w:t xml:space="preserve"> </w:t>
            </w:r>
            <w:fldSimple w:instr="NOTEREF _Ref_Footnote_11 \h \f">
              <w:r>
                <w:rPr>
                  <w:vertAlign w:val="superscript"/>
                </w:rPr>
                <w:t>11</w:t>
              </w:r>
            </w:fldSimple>
          </w:p>
        </w:tc>
      </w:tr>
      <w:tr>
        <w:tc>
          <w:tcPr/>
          <w:p>
            <w:pPr>
              <w:pStyle w:val="Compact"/>
              <w:jc w:val="left"/>
            </w:pPr>
            <w:r>
              <w:t xml:space="preserve">First monthly withholding</w:t>
            </w:r>
          </w:p>
        </w:tc>
        <w:tc>
          <w:tcPr/>
          <w:p>
            <w:pPr>
              <w:pStyle w:val="Compact"/>
              <w:jc w:val="left"/>
            </w:pPr>
            <w:r>
              <w:t xml:space="preserve">Following payroll cycle</w:t>
            </w:r>
          </w:p>
        </w:tc>
        <w:tc>
          <w:tcPr/>
          <w:p>
            <w:pPr>
              <w:pStyle w:val="Compact"/>
              <w:jc w:val="left"/>
            </w:pPr>
            <w:r>
              <w:t xml:space="preserve">—</w:t>
            </w:r>
          </w:p>
        </w:tc>
      </w:tr>
      <w:tr>
        <w:tc>
          <w:tcPr/>
          <w:p>
            <w:pPr>
              <w:pStyle w:val="Compact"/>
              <w:jc w:val="left"/>
            </w:pPr>
            <w:r>
              <w:rPr>
                <w:bCs/>
                <w:b/>
              </w:rPr>
              <w:t xml:space="preserve">Total to first collection</w:t>
            </w:r>
          </w:p>
        </w:tc>
        <w:tc>
          <w:tcPr/>
          <w:p>
            <w:pPr>
              <w:pStyle w:val="Compact"/>
              <w:jc w:val="left"/>
            </w:pPr>
            <w:r>
              <w:rPr>
                <w:bCs/>
                <w:b/>
              </w:rPr>
              <w:t xml:space="preserve">4–8 weeks</w:t>
            </w:r>
          </w:p>
        </w:tc>
        <w:tc>
          <w:tcPr/>
          <w:p>
            <w:pPr>
              <w:pStyle w:val="Compact"/>
              <w:jc w:val="left"/>
            </w:pPr>
            <w:r>
              <w:rPr>
                <w:bCs/>
                <w:b/>
              </w:rPr>
              <w:t xml:space="preserve">€400–700 + translation</w:t>
            </w:r>
          </w:p>
        </w:tc>
      </w:tr>
    </w:tbl>
    <w:p>
      <w:pPr>
        <w:pStyle w:val="BodyText"/>
      </w:pPr>
      <w:r>
        <w:t xml:space="preserve">Once the</w:t>
      </w:r>
      <w:r>
        <w:t xml:space="preserve"> </w:t>
      </w:r>
      <w:r>
        <w:rPr>
          <w:iCs/>
          <w:i/>
        </w:rPr>
        <w:t xml:space="preserve">beslagexploot</w:t>
      </w:r>
      <w:r>
        <w:t xml:space="preserve"> </w:t>
      </w:r>
      <w:r>
        <w:t xml:space="preserve">is served on the employer, collections begin with the next payroll cycle. Monthly collection fees range from €15.80 (single garnishment) to €43.86 (four or more concurrent garnishments)</w:t>
      </w:r>
      <w:r>
        <w:t xml:space="preserve"> </w:t>
      </w:r>
      <w:fldSimple w:instr="NOTEREF _Ref_Footnote_11 \h \f">
        <w:r>
          <w:rPr>
            <w:vertAlign w:val="superscript"/>
          </w:rPr>
          <w:t>11</w:t>
        </w:r>
      </w:fldSimple>
      <w:r>
        <w:t xml:space="preserve">. The employer may also charge up to €80 in administrative costs recoverable from the debtor</w:t>
      </w:r>
      <w:r>
        <w:t xml:space="preserve"> </w:t>
      </w:r>
      <w:fldSimple w:instr="NOTEREF _Ref_Footnote_11 \h \f">
        <w:r>
          <w:rPr>
            <w:vertAlign w:val="superscript"/>
          </w:rPr>
          <w:t>11</w:t>
        </w:r>
      </w:fldSimple>
      <w:r>
        <w:t xml:space="preserve">.</w:t>
      </w:r>
    </w:p>
    <w:bookmarkEnd w:id="82"/>
    <w:bookmarkEnd w:id="83"/>
    <w:bookmarkStart w:id="86" w:name="Xde43df730472491a5e1f9a7a52d473fbce85fdf"/>
    <w:p>
      <w:pPr>
        <w:pStyle w:val="Heading3"/>
      </w:pPr>
      <w:r>
        <w:t xml:space="preserve">4.3 Alternative: Brussels I bis Standard Route</w:t>
      </w:r>
    </w:p>
    <w:bookmarkStart w:id="84" w:name="Xda258e4d8197be0b34f607687802774fa5d83fa"/>
    <w:p>
      <w:pPr>
        <w:pStyle w:val="Heading4"/>
      </w:pPr>
      <w:r>
        <w:t xml:space="preserve">4.3.1 Reg. 1215/2012: Polish Judgment Directly Enforceable in NL</w:t>
      </w:r>
    </w:p>
    <w:p>
      <w:pPr>
        <w:pStyle w:val="FirstParagraph"/>
      </w:pPr>
      <w:r>
        <w:t xml:space="preserve">If the EEO route is unavailable — for instance, if the debtor filed a</w:t>
      </w:r>
      <w:r>
        <w:t xml:space="preserve"> </w:t>
      </w:r>
      <w:r>
        <w:rPr>
          <w:iCs/>
          <w:i/>
        </w:rPr>
        <w:t xml:space="preserve">sprzeciw</w:t>
      </w:r>
      <w:r>
        <w:t xml:space="preserve"> </w:t>
      </w:r>
      <w:r>
        <w:t xml:space="preserve">in the EPU proceedings, rendering the claim contested — the fallback is Regulation (EU) No 1215/2012 (Brussels I bis). Under this Regulation, judgments from EU member states are automatically recognized and enforceable in other member states without any declaration of enforceability (</w:t>
      </w:r>
      <w:r>
        <w:rPr>
          <w:iCs/>
          <w:i/>
        </w:rPr>
        <w:t xml:space="preserve">exequatur</w:t>
      </w:r>
      <w:r>
        <w:t xml:space="preserve">)</w:t>
      </w:r>
      <w:r>
        <w:t xml:space="preserve"> </w:t>
      </w:r>
      <w:fldSimple w:instr="NOTEREF _Ref_Footnote_12 \h \f">
        <w:r>
          <w:rPr>
            <w:vertAlign w:val="superscript"/>
          </w:rPr>
          <w:t>12</w:t>
        </w:r>
      </w:fldSimple>
      <w:r>
        <w:t xml:space="preserve">. For proceedings commenced on or after 10 January 2015, Brussels I bis abolished the exequatur requirement entirely</w:t>
      </w:r>
      <w:r>
        <w:t xml:space="preserve"> </w:t>
      </w:r>
      <w:fldSimple w:instr="NOTEREF _Ref_Footnote_12 \h \f">
        <w:r>
          <w:rPr>
            <w:vertAlign w:val="superscript"/>
          </w:rPr>
          <w:t>12</w:t>
        </w:r>
      </w:fldSimple>
      <w:r>
        <w:t xml:space="preserve">.</w:t>
      </w:r>
    </w:p>
    <w:p>
      <w:pPr>
        <w:pStyle w:val="BodyText"/>
      </w:pPr>
      <w:r>
        <w:t xml:space="preserve">The creditor needs three documents: (1) an official copy of the Polish judgment; (2) a certificate under art. 53 of the Regulation confirming enforceability in the state of origin; and (3) a sworn translation into Dutch</w:t>
      </w:r>
      <w:r>
        <w:t xml:space="preserve"> </w:t>
      </w:r>
      <w:fldSimple w:instr="NOTEREF _Ref_Footnote_12 \h \f">
        <w:r>
          <w:rPr>
            <w:vertAlign w:val="superscript"/>
          </w:rPr>
          <w:t>12</w:t>
        </w:r>
      </w:fldSimple>
      <w:r>
        <w:t xml:space="preserve">. The art. 53 certificate costs 300 zł in Poland</w:t>
      </w:r>
      <w:r>
        <w:t xml:space="preserve"> </w:t>
      </w:r>
      <w:fldSimple w:instr="NOTEREF _Ref_Footnote_13 \h \f">
        <w:r>
          <w:rPr>
            <w:vertAlign w:val="superscript"/>
          </w:rPr>
          <w:t>13</w:t>
        </w:r>
      </w:fldSimple>
      <w:r>
        <w:t xml:space="preserve">. With these documents, the creditor proceeds directly to a Dutch</w:t>
      </w:r>
      <w:r>
        <w:t xml:space="preserve"> </w:t>
      </w:r>
      <w:r>
        <w:rPr>
          <w:iCs/>
          <w:i/>
        </w:rPr>
        <w:t xml:space="preserve">deurwaarder</w:t>
      </w:r>
      <w:r>
        <w:t xml:space="preserve"> </w:t>
      </w:r>
      <w:r>
        <w:t xml:space="preserve">— no Dutch court recognition proceeding is required</w:t>
      </w:r>
      <w:r>
        <w:t xml:space="preserve"> </w:t>
      </w:r>
      <w:fldSimple w:instr="NOTEREF _Ref_Footnote_14 \h \f">
        <w:r>
          <w:rPr>
            <w:vertAlign w:val="superscript"/>
          </w:rPr>
          <w:t>14</w:t>
        </w:r>
      </w:fldSimple>
      <w:r>
        <w:t xml:space="preserve">.</w:t>
      </w:r>
    </w:p>
    <w:bookmarkEnd w:id="84"/>
    <w:bookmarkStart w:id="85" w:name="Xc25501b09513d76b107656be6adb1228e61dcac"/>
    <w:p>
      <w:pPr>
        <w:pStyle w:val="Heading4"/>
      </w:pPr>
      <w:r>
        <w:t xml:space="preserve">4.3.2 Slower Than EEO but Available if EEO Certificate Is Denied</w:t>
      </w:r>
    </w:p>
    <w:p>
      <w:pPr>
        <w:pStyle w:val="FirstParagraph"/>
      </w:pPr>
      <w:r>
        <w:t xml:space="preserve">The Brussels I bis route is functionally similar to the EEO route in the Netherlands but carries one material disadvantage for the creditor: the debtor retains limited grounds to challenge enforcement under art. 45 of the Regulation</w:t>
      </w:r>
      <w:r>
        <w:t xml:space="preserve"> </w:t>
      </w:r>
      <w:fldSimple w:instr="NOTEREF _Ref_Footnote_6 \h \f">
        <w:r>
          <w:rPr>
            <w:vertAlign w:val="superscript"/>
          </w:rPr>
          <w:t>6</w:t>
        </w:r>
      </w:fldSimple>
      <w:r>
        <w:t xml:space="preserve">. These grounds are narrow (public policy, insufficient service, irreconcilability with an earlier judgment) and rarely successful, but their existence alone creates a procedural opening the debtor may exploit to delay enforcement. For this reason, the EEO remains the preferred instrument wherever the claim qualifies as uncontested. Brussels I bis serves as a reliable fallback, not a substitute.</w:t>
      </w:r>
    </w:p>
    <w:bookmarkEnd w:id="85"/>
    <w:bookmarkEnd w:id="86"/>
    <w:bookmarkStart w:id="89" w:name="eapo-for-dutch-bank-accounts"/>
    <w:p>
      <w:pPr>
        <w:pStyle w:val="Heading3"/>
      </w:pPr>
      <w:r>
        <w:t xml:space="preserve">4.4 EAPO for Dutch Bank Accounts</w:t>
      </w:r>
    </w:p>
    <w:bookmarkStart w:id="87" w:name="Xc3264fe362a283dab6a4d8cc6b1f395ddab3f54"/>
    <w:p>
      <w:pPr>
        <w:pStyle w:val="Heading4"/>
      </w:pPr>
      <w:r>
        <w:t xml:space="preserve">4.4.1 Reg. 655/2014: Freeze NL Bank Accounts Cross-Border; Ex Parte; 14-Day Bank Response</w:t>
      </w:r>
    </w:p>
    <w:p>
      <w:pPr>
        <w:pStyle w:val="FirstParagraph"/>
      </w:pPr>
      <w:r>
        <w:t xml:space="preserve">Regulation (EU) No 655/2014 established the European Account Preservation Order (EAPO), a procedure allowing a court in one member state to order the freezing of funds in a debtor’s bank account located in another member state</w:t>
      </w:r>
      <w:r>
        <w:t xml:space="preserve"> </w:t>
      </w:r>
      <w:fldSimple w:instr="NOTEREF _Ref_Footnote_15 \h \f">
        <w:r>
          <w:rPr>
            <w:vertAlign w:val="superscript"/>
          </w:rPr>
          <w:t>15</w:t>
        </w:r>
      </w:fldSimple>
      <w:r>
        <w:t xml:space="preserve">. The EAPO applies only to cross-border cases — meaning the account must be in a member state other than the court issuing the order or the creditor’s domicile</w:t>
      </w:r>
      <w:r>
        <w:t xml:space="preserve"> </w:t>
      </w:r>
      <w:fldSimple w:instr="NOTEREF _Ref_Footnote_16 \h \f">
        <w:r>
          <w:rPr>
            <w:vertAlign w:val="superscript"/>
          </w:rPr>
          <w:t>16</w:t>
        </w:r>
      </w:fldSimple>
      <w:r>
        <w:t xml:space="preserve">. For a Polish creditor seeking to freeze a Dutch account, this condition is satisfied.</w:t>
      </w:r>
    </w:p>
    <w:p>
      <w:pPr>
        <w:pStyle w:val="BodyText"/>
      </w:pPr>
      <w:r>
        <w:t xml:space="preserve">The EAPO is issued</w:t>
      </w:r>
      <w:r>
        <w:t xml:space="preserve"> </w:t>
      </w:r>
      <w:r>
        <w:rPr>
          <w:iCs/>
          <w:i/>
        </w:rPr>
        <w:t xml:space="preserve">ex parte</w:t>
      </w:r>
      <w:r>
        <w:t xml:space="preserve">; the debtor is not informed before the freeze takes effect</w:t>
      </w:r>
      <w:r>
        <w:t xml:space="preserve"> </w:t>
      </w:r>
      <w:fldSimple w:instr="NOTEREF _Ref_Footnote_15 \h \f">
        <w:r>
          <w:rPr>
            <w:vertAlign w:val="superscript"/>
          </w:rPr>
          <w:t>15</w:t>
        </w:r>
      </w:fldSimple>
      <w:r>
        <w:t xml:space="preserve">. The order is served directly on the bank, which must respond within 14 days</w:t>
      </w:r>
      <w:r>
        <w:t xml:space="preserve"> </w:t>
      </w:r>
      <w:fldSimple w:instr="NOTEREF _Ref_Footnote_15 \h \f">
        <w:r>
          <w:rPr>
            <w:vertAlign w:val="superscript"/>
          </w:rPr>
          <w:t>15</w:t>
        </w:r>
      </w:fldSimple>
      <w:r>
        <w:t xml:space="preserve">. A key practical advantage is the built-in information-gathering mechanism under art. 14 of the Regulation, which can help identify the debtor’s bank account details in the Netherlands even if the creditor does not know them</w:t>
      </w:r>
      <w:r>
        <w:t xml:space="preserve"> </w:t>
      </w:r>
      <w:fldSimple w:instr="NOTEREF _Ref_Footnote_16 \h \f">
        <w:r>
          <w:rPr>
            <w:vertAlign w:val="superscript"/>
          </w:rPr>
          <w:t>16</w:t>
        </w:r>
      </w:fldSimple>
      <w:r>
        <w:t xml:space="preserve">.</w:t>
      </w:r>
    </w:p>
    <w:bookmarkEnd w:id="87"/>
    <w:bookmarkStart w:id="88" w:name="X46c23973d530127bd3e827549bee334cd53d7f8"/>
    <w:p>
      <w:pPr>
        <w:pStyle w:val="Heading4"/>
      </w:pPr>
      <w:r>
        <w:t xml:space="preserve">4.4.2 Complementary to Loonbeslag, Not a Replacement</w:t>
      </w:r>
    </w:p>
    <w:p>
      <w:pPr>
        <w:pStyle w:val="FirstParagraph"/>
      </w:pPr>
      <w:r>
        <w:t xml:space="preserve">The EAPO is not a substitute for wage garnishment. It targets bank accounts, not income streams. Its proper role in the creditor’s strategy is complementary: while the</w:t>
      </w:r>
      <w:r>
        <w:t xml:space="preserve"> </w:t>
      </w:r>
      <w:r>
        <w:rPr>
          <w:iCs/>
          <w:i/>
        </w:rPr>
        <w:t xml:space="preserve">deurwaarder</w:t>
      </w:r>
      <w:r>
        <w:t xml:space="preserve"> </w:t>
      </w:r>
      <w:r>
        <w:t xml:space="preserve">pursues</w:t>
      </w:r>
      <w:r>
        <w:t xml:space="preserve"> </w:t>
      </w:r>
      <w:r>
        <w:rPr>
          <w:iCs/>
          <w:i/>
        </w:rPr>
        <w:t xml:space="preserve">loonbeslag</w:t>
      </w:r>
      <w:r>
        <w:t xml:space="preserve"> </w:t>
      </w:r>
      <w:r>
        <w:t xml:space="preserve">against the debtor’s wages, the creditor may simultaneously (or in advance) seek an EAPO to freeze any lump sums sitting in Dutch bank accounts</w:t>
      </w:r>
      <w:r>
        <w:t xml:space="preserve"> </w:t>
      </w:r>
      <w:fldSimple w:instr="NOTEREF _Ref_Footnote_15 \h \f">
        <w:r>
          <w:rPr>
            <w:vertAlign w:val="superscript"/>
          </w:rPr>
          <w:t>15</w:t>
        </w:r>
      </w:fldSimple>
      <w:r>
        <w:t xml:space="preserve">. The two instruments target different asset classes and operate through different enforcement organs. An EAPO is particularly valuable if the creditor suspects the debtor holds significant savings in the Netherlands or may dissipate funds upon learning of the</w:t>
      </w:r>
      <w:r>
        <w:t xml:space="preserve"> </w:t>
      </w:r>
      <w:r>
        <w:rPr>
          <w:iCs/>
          <w:i/>
        </w:rPr>
        <w:t xml:space="preserve">loonbeslag</w:t>
      </w:r>
      <w:r>
        <w:t xml:space="preserve">.</w:t>
      </w:r>
    </w:p>
    <w:p>
      <w:pPr>
        <w:pStyle w:val="BodyText"/>
      </w:pPr>
      <w:r>
        <w:t xml:space="preserve">The table below summarizes the three EU instruments available to the creditor:</w:t>
      </w:r>
    </w:p>
    <w:tbl>
      <w:tblPr>
        <w:tblStyle w:val="Table"/>
        <w:tblW w:type="pct" w:w="5000"/>
        <w:tblLook w:firstRow="1" w:lastRow="0" w:firstColumn="0" w:lastColumn="0" w:noHBand="0" w:noVBand="0" w:val="0020"/>
      </w:tblPr>
      <w:tblGrid>
        <w:gridCol w:w="828"/>
        <w:gridCol w:w="1933"/>
        <w:gridCol w:w="3131"/>
        <w:gridCol w:w="2026"/>
      </w:tblGrid>
      <w:tr>
        <w:trPr>
          <w:tblHeader w:val="true"/>
        </w:trPr>
        <w:tc>
          <w:tcPr/>
          <w:p>
            <w:pPr>
              <w:pStyle w:val="Compact"/>
              <w:jc w:val="left"/>
            </w:pPr>
            <w:r>
              <w:t xml:space="preserve">Feature</w:t>
            </w:r>
          </w:p>
        </w:tc>
        <w:tc>
          <w:tcPr/>
          <w:p>
            <w:pPr>
              <w:pStyle w:val="Compact"/>
              <w:jc w:val="left"/>
            </w:pPr>
            <w:r>
              <w:t xml:space="preserve">EEO (Reg. 805/2004)</w:t>
            </w:r>
          </w:p>
        </w:tc>
        <w:tc>
          <w:tcPr/>
          <w:p>
            <w:pPr>
              <w:pStyle w:val="Compact"/>
              <w:jc w:val="left"/>
            </w:pPr>
            <w:r>
              <w:t xml:space="preserve">Brussels I bis (Reg. 1215/2012)</w:t>
            </w:r>
          </w:p>
        </w:tc>
        <w:tc>
          <w:tcPr/>
          <w:p>
            <w:pPr>
              <w:pStyle w:val="Compact"/>
              <w:jc w:val="left"/>
            </w:pPr>
            <w:r>
              <w:t xml:space="preserve">EAPO (Reg. 655/2014)</w:t>
            </w:r>
          </w:p>
        </w:tc>
      </w:tr>
      <w:tr>
        <w:tc>
          <w:tcPr/>
          <w:p>
            <w:pPr>
              <w:pStyle w:val="Compact"/>
              <w:jc w:val="left"/>
            </w:pPr>
            <w:r>
              <w:rPr>
                <w:bCs/>
                <w:b/>
              </w:rPr>
              <w:t xml:space="preserve">Claim type required</w:t>
            </w:r>
          </w:p>
        </w:tc>
        <w:tc>
          <w:tcPr/>
          <w:p>
            <w:pPr>
              <w:pStyle w:val="Compact"/>
              <w:jc w:val="left"/>
            </w:pPr>
            <w:r>
              <w:t xml:space="preserve">Uncontested only</w:t>
            </w:r>
          </w:p>
        </w:tc>
        <w:tc>
          <w:tcPr/>
          <w:p>
            <w:pPr>
              <w:pStyle w:val="Compact"/>
              <w:jc w:val="left"/>
            </w:pPr>
            <w:r>
              <w:t xml:space="preserve">Contested or uncontested</w:t>
            </w:r>
          </w:p>
        </w:tc>
        <w:tc>
          <w:tcPr/>
          <w:p>
            <w:pPr>
              <w:pStyle w:val="Compact"/>
              <w:jc w:val="left"/>
            </w:pPr>
            <w:r>
              <w:t xml:space="preserve">Any (civil/commercial)</w:t>
            </w:r>
          </w:p>
        </w:tc>
      </w:tr>
      <w:tr>
        <w:tc>
          <w:tcPr/>
          <w:p>
            <w:pPr>
              <w:pStyle w:val="Compact"/>
              <w:jc w:val="left"/>
            </w:pPr>
            <w:r>
              <w:rPr>
                <w:bCs/>
                <w:b/>
              </w:rPr>
              <w:t xml:space="preserve">Dutch court needed?</w:t>
            </w:r>
          </w:p>
        </w:tc>
        <w:tc>
          <w:tcPr/>
          <w:p>
            <w:pPr>
              <w:pStyle w:val="Compact"/>
              <w:jc w:val="left"/>
            </w:pPr>
            <w:r>
              <w:t xml:space="preserve">No — direct to</w:t>
            </w:r>
            <w:r>
              <w:t xml:space="preserve"> </w:t>
            </w:r>
            <w:r>
              <w:rPr>
                <w:iCs/>
                <w:i/>
              </w:rPr>
              <w:t xml:space="preserve">deurwaarder</w:t>
            </w:r>
          </w:p>
        </w:tc>
        <w:tc>
          <w:tcPr/>
          <w:p>
            <w:pPr>
              <w:pStyle w:val="Compact"/>
              <w:jc w:val="left"/>
            </w:pPr>
            <w:r>
              <w:t xml:space="preserve">No — direct to</w:t>
            </w:r>
            <w:r>
              <w:t xml:space="preserve"> </w:t>
            </w:r>
            <w:r>
              <w:rPr>
                <w:iCs/>
                <w:i/>
              </w:rPr>
              <w:t xml:space="preserve">deurwaarder</w:t>
            </w:r>
          </w:p>
        </w:tc>
        <w:tc>
          <w:tcPr/>
          <w:p>
            <w:pPr>
              <w:pStyle w:val="Compact"/>
              <w:jc w:val="left"/>
            </w:pPr>
            <w:r>
              <w:t xml:space="preserve">No — served on bank directly</w:t>
            </w:r>
          </w:p>
        </w:tc>
      </w:tr>
      <w:tr>
        <w:tc>
          <w:tcPr/>
          <w:p>
            <w:pPr>
              <w:pStyle w:val="Compact"/>
              <w:jc w:val="left"/>
            </w:pPr>
            <w:r>
              <w:rPr>
                <w:bCs/>
                <w:b/>
              </w:rPr>
              <w:t xml:space="preserve">Debtor can challenge recognition in NL?</w:t>
            </w:r>
          </w:p>
        </w:tc>
        <w:tc>
          <w:tcPr/>
          <w:p>
            <w:pPr>
              <w:pStyle w:val="Compact"/>
              <w:jc w:val="left"/>
            </w:pPr>
            <w:r>
              <w:t xml:space="preserve">No — absolute bar</w:t>
            </w:r>
            <w:r>
              <w:t xml:space="preserve"> </w:t>
            </w:r>
            <w:fldSimple w:instr="NOTEREF _Ref_Footnote_6 \h \f">
              <w:r>
                <w:rPr>
                  <w:vertAlign w:val="superscript"/>
                </w:rPr>
                <w:t>6</w:t>
              </w:r>
            </w:fldSimple>
          </w:p>
        </w:tc>
        <w:tc>
          <w:tcPr/>
          <w:p>
            <w:pPr>
              <w:pStyle w:val="Compact"/>
              <w:jc w:val="left"/>
            </w:pPr>
            <w:r>
              <w:t xml:space="preserve">Yes — limited art. 45 grounds</w:t>
            </w:r>
            <w:r>
              <w:t xml:space="preserve"> </w:t>
            </w:r>
            <w:fldSimple w:instr="NOTEREF _Ref_Footnote_6 \h \f">
              <w:r>
                <w:rPr>
                  <w:vertAlign w:val="superscript"/>
                </w:rPr>
                <w:t>6</w:t>
              </w:r>
            </w:fldSimple>
          </w:p>
        </w:tc>
        <w:tc>
          <w:tcPr/>
          <w:p>
            <w:pPr>
              <w:pStyle w:val="Compact"/>
              <w:jc w:val="left"/>
            </w:pPr>
            <w:r>
              <w:t xml:space="preserve">N/A (preservative, not enforce-ment title)</w:t>
            </w:r>
          </w:p>
        </w:tc>
      </w:tr>
      <w:tr>
        <w:tc>
          <w:tcPr/>
          <w:p>
            <w:pPr>
              <w:pStyle w:val="Compact"/>
              <w:jc w:val="left"/>
            </w:pPr>
            <w:r>
              <w:rPr>
                <w:bCs/>
                <w:b/>
              </w:rPr>
              <w:t xml:space="preserve">Target asset</w:t>
            </w:r>
          </w:p>
        </w:tc>
        <w:tc>
          <w:tcPr/>
          <w:p>
            <w:pPr>
              <w:pStyle w:val="Compact"/>
              <w:jc w:val="left"/>
            </w:pPr>
            <w:r>
              <w:t xml:space="preserve">Any (wages, property, bank accounts)</w:t>
            </w:r>
          </w:p>
        </w:tc>
        <w:tc>
          <w:tcPr/>
          <w:p>
            <w:pPr>
              <w:pStyle w:val="Compact"/>
              <w:jc w:val="left"/>
            </w:pPr>
            <w:r>
              <w:t xml:space="preserve">Any (wages, property, bank accounts)</w:t>
            </w:r>
          </w:p>
        </w:tc>
        <w:tc>
          <w:tcPr/>
          <w:p>
            <w:pPr>
              <w:pStyle w:val="Compact"/>
              <w:jc w:val="left"/>
            </w:pPr>
            <w:r>
              <w:t xml:space="preserve">Bank accounts only</w:t>
            </w:r>
            <w:r>
              <w:t xml:space="preserve"> </w:t>
            </w:r>
            <w:fldSimple w:instr="NOTEREF _Ref_Footnote_15 \h \f">
              <w:r>
                <w:rPr>
                  <w:vertAlign w:val="superscript"/>
                </w:rPr>
                <w:t>15</w:t>
              </w:r>
            </w:fldSimple>
          </w:p>
        </w:tc>
      </w:tr>
      <w:tr>
        <w:tc>
          <w:tcPr/>
          <w:p>
            <w:pPr>
              <w:pStyle w:val="Compact"/>
              <w:jc w:val="left"/>
            </w:pPr>
            <w:r>
              <w:rPr>
                <w:bCs/>
                <w:b/>
              </w:rPr>
              <w:t xml:space="preserve">Cost of certificate</w:t>
            </w:r>
          </w:p>
        </w:tc>
        <w:tc>
          <w:tcPr/>
          <w:p>
            <w:pPr>
              <w:pStyle w:val="Compact"/>
              <w:jc w:val="left"/>
            </w:pPr>
            <w:r>
              <w:t xml:space="preserve">50 zł (art. 795¹ KPC)</w:t>
            </w:r>
            <w:r>
              <w:t xml:space="preserve"> </w:t>
            </w:r>
            <w:fldSimple w:instr="NOTEREF _Ref_Footnote_5 \h \f">
              <w:r>
                <w:rPr>
                  <w:vertAlign w:val="superscript"/>
                </w:rPr>
                <w:t>5</w:t>
              </w:r>
            </w:fldSimple>
          </w:p>
        </w:tc>
        <w:tc>
          <w:tcPr/>
          <w:p>
            <w:pPr>
              <w:pStyle w:val="Compact"/>
              <w:jc w:val="left"/>
            </w:pPr>
            <w:r>
              <w:t xml:space="preserve">300 zł (art. 53 certificate)</w:t>
            </w:r>
            <w:r>
              <w:t xml:space="preserve"> </w:t>
            </w:r>
            <w:fldSimple w:instr="NOTEREF _Ref_Footnote_13 \h \f">
              <w:r>
                <w:rPr>
                  <w:vertAlign w:val="superscript"/>
                </w:rPr>
                <w:t>13</w:t>
              </w:r>
            </w:fldSimple>
          </w:p>
        </w:tc>
        <w:tc>
          <w:tcPr/>
          <w:p>
            <w:pPr>
              <w:pStyle w:val="Compact"/>
              <w:jc w:val="left"/>
            </w:pPr>
            <w:r>
              <w:t xml:space="preserve">Court fee varies</w:t>
            </w:r>
          </w:p>
        </w:tc>
      </w:tr>
      <w:tr>
        <w:tc>
          <w:tcPr/>
          <w:p>
            <w:pPr>
              <w:pStyle w:val="Compact"/>
              <w:jc w:val="left"/>
            </w:pPr>
            <w:r>
              <w:rPr>
                <w:bCs/>
                <w:b/>
              </w:rPr>
              <w:t xml:space="preserve">Timeline to first action</w:t>
            </w:r>
          </w:p>
        </w:tc>
        <w:tc>
          <w:tcPr/>
          <w:p>
            <w:pPr>
              <w:pStyle w:val="Compact"/>
              <w:jc w:val="left"/>
            </w:pPr>
            <w:r>
              <w:t xml:space="preserve">4–8 weeks</w:t>
            </w:r>
          </w:p>
        </w:tc>
        <w:tc>
          <w:tcPr/>
          <w:p>
            <w:pPr>
              <w:pStyle w:val="Compact"/>
              <w:jc w:val="left"/>
            </w:pPr>
            <w:r>
              <w:t xml:space="preserve">4–8 weeks</w:t>
            </w:r>
          </w:p>
        </w:tc>
        <w:tc>
          <w:tcPr/>
          <w:p>
            <w:pPr>
              <w:pStyle w:val="Compact"/>
              <w:jc w:val="left"/>
            </w:pPr>
            <w:r>
              <w:t xml:space="preserve">2–4 weeks (ex parte)</w:t>
            </w:r>
            <w:r>
              <w:t xml:space="preserve"> </w:t>
            </w:r>
            <w:fldSimple w:instr="NOTEREF _Ref_Footnote_15 \h \f">
              <w:r>
                <w:rPr>
                  <w:vertAlign w:val="superscript"/>
                </w:rPr>
                <w:t>15</w:t>
              </w:r>
            </w:fldSimple>
          </w:p>
        </w:tc>
      </w:tr>
      <w:tr>
        <w:tc>
          <w:tcPr/>
          <w:p>
            <w:pPr>
              <w:pStyle w:val="Compact"/>
              <w:jc w:val="left"/>
            </w:pPr>
            <w:r>
              <w:rPr>
                <w:bCs/>
                <w:b/>
              </w:rPr>
              <w:t xml:space="preserve">Best use for this case</w:t>
            </w:r>
          </w:p>
        </w:tc>
        <w:tc>
          <w:tcPr/>
          <w:p>
            <w:pPr>
              <w:pStyle w:val="Compact"/>
              <w:jc w:val="left"/>
            </w:pPr>
            <w:r>
              <w:rPr>
                <w:bCs/>
                <w:b/>
              </w:rPr>
              <w:t xml:space="preserve">Primary route</w:t>
            </w:r>
            <w:r>
              <w:t xml:space="preserve"> </w:t>
            </w:r>
            <w:r>
              <w:t xml:space="preserve">— wages</w:t>
            </w:r>
          </w:p>
        </w:tc>
        <w:tc>
          <w:tcPr/>
          <w:p>
            <w:pPr>
              <w:pStyle w:val="Compact"/>
              <w:jc w:val="left"/>
            </w:pPr>
            <w:r>
              <w:t xml:space="preserve">Fallback if EEO unavailable</w:t>
            </w:r>
          </w:p>
        </w:tc>
        <w:tc>
          <w:tcPr/>
          <w:p>
            <w:pPr>
              <w:pStyle w:val="Compact"/>
              <w:jc w:val="left"/>
            </w:pPr>
            <w:r>
              <w:t xml:space="preserve">Complementary — freeze NL savings</w:t>
            </w:r>
          </w:p>
        </w:tc>
      </w:tr>
    </w:tbl>
    <w:p>
      <w:pPr>
        <w:pStyle w:val="BodyText"/>
      </w:pPr>
      <w:r>
        <w:t xml:space="preserve">For GPUcomputer’s creditor, the strategic hierarchy is clear. The EEO is the primary instrument: it converts the (presumably) uncontested EPU</w:t>
      </w:r>
      <w:r>
        <w:t xml:space="preserve"> </w:t>
      </w:r>
      <w:r>
        <w:rPr>
          <w:iCs/>
          <w:i/>
        </w:rPr>
        <w:t xml:space="preserve">nakaz zapłaty</w:t>
      </w:r>
      <w:r>
        <w:t xml:space="preserve"> </w:t>
      </w:r>
      <w:r>
        <w:t xml:space="preserve">into a Netherlands-enforceable title at the lowest cost (50 zł), with the strongest creditor protection (no debtor challenge possible), and the fastest path to</w:t>
      </w:r>
      <w:r>
        <w:t xml:space="preserve"> </w:t>
      </w:r>
      <w:r>
        <w:rPr>
          <w:iCs/>
          <w:i/>
        </w:rPr>
        <w:t xml:space="preserve">loonbeslag</w:t>
      </w:r>
      <w:r>
        <w:t xml:space="preserve">. Brussels I bis stands ready as a fallback. The EAPO adds a parallel freezing capacity for Dutch bank accounts but does not reach the wage stream itself. The creditor should obtain the EEO certificate as soon as the</w:t>
      </w:r>
      <w:r>
        <w:t xml:space="preserve"> </w:t>
      </w:r>
      <w:r>
        <w:rPr>
          <w:iCs/>
          <w:i/>
        </w:rPr>
        <w:t xml:space="preserve">nakaz zapłaty</w:t>
      </w:r>
      <w:r>
        <w:t xml:space="preserve"> </w:t>
      </w:r>
      <w:r>
        <w:t xml:space="preserve">becomes final — this single document is the gateway to the entire Dutch enforcement phase.</w:t>
      </w:r>
    </w:p>
    <w:p>
      <w:pPr>
        <w:pStyle w:val="BodyText"/>
      </w:pPr>
      <w:fldSimple w:instr="NOTEREF _Ref_Footnote_1 \h \f">
        <w:r>
          <w:rPr>
            <w:vertAlign w:val="superscript"/>
          </w:rPr>
          <w:t>1</w:t>
        </w:r>
      </w:fldSimple>
      <w:r>
        <w:t xml:space="preserve">: Planspłaty / GospodarkaMorska.pl — art. 1110(4) §1 KPC territorial analysis; ePorady24.pl (foreign wage seizure limited to Polish accounts).</w:t>
      </w:r>
      <w:r>
        <w:t xml:space="preserve"> </w:t>
      </w:r>
      <w:fldSimple w:instr="NOTEREF _Ref_Footnote_2 \h \f">
        <w:r>
          <w:rPr>
            <w:vertAlign w:val="superscript"/>
          </w:rPr>
          <w:t>2</w:t>
        </w:r>
      </w:fldSimple>
      <w:r>
        <w:t xml:space="preserve">: ePorady24.pl — komornik may seize foreign wages only if transferred to Polish bank account.</w:t>
      </w:r>
      <w:r>
        <w:t xml:space="preserve"> </w:t>
      </w:r>
      <w:fldSimple w:instr="NOTEREF _Ref_Footnote_3 \h \f">
        <w:r>
          <w:rPr>
            <w:vertAlign w:val="superscript"/>
          </w:rPr>
          <w:t>3</w:t>
        </w:r>
      </w:fldSimple>
      <w:r>
        <w:t xml:space="preserve">: CCKA.pl / Vindicat.pl / MamDlugi.pl — EEO applicability to</w:t>
      </w:r>
      <w:r>
        <w:t xml:space="preserve"> </w:t>
      </w:r>
      <w:r>
        <w:rPr>
          <w:iCs/>
          <w:i/>
        </w:rPr>
        <w:t xml:space="preserve">nakazy zapłaty</w:t>
      </w:r>
      <w:r>
        <w:t xml:space="preserve"> </w:t>
      </w:r>
      <w:r>
        <w:t xml:space="preserve">not opposed by debtor under Reg. 805/2004.</w:t>
      </w:r>
      <w:r>
        <w:t xml:space="preserve"> </w:t>
      </w:r>
      <w:fldSimple w:instr="NOTEREF _Ref_Footnote_4 \h \f">
        <w:r>
          <w:rPr>
            <w:vertAlign w:val="superscript"/>
          </w:rPr>
          <w:t>4</w:t>
        </w:r>
      </w:fldSimple>
      <w:r>
        <w:t xml:space="preserve">: CCKA.pl — EPU</w:t>
      </w:r>
      <w:r>
        <w:t xml:space="preserve"> </w:t>
      </w:r>
      <w:r>
        <w:rPr>
          <w:iCs/>
          <w:i/>
        </w:rPr>
        <w:t xml:space="preserve">nakaz zapłaty</w:t>
      </w:r>
      <w:r>
        <w:t xml:space="preserve"> </w:t>
      </w:r>
      <w:r>
        <w:t xml:space="preserve">not opposed becomes executory title under Polish EPU system.</w:t>
      </w:r>
      <w:r>
        <w:t xml:space="preserve"> </w:t>
      </w:r>
      <w:fldSimple w:instr="NOTEREF _Ref_Footnote_5 \h \f">
        <w:r>
          <w:rPr>
            <w:vertAlign w:val="superscript"/>
          </w:rPr>
          <w:t>5</w:t>
        </w:r>
      </w:fldSimple>
      <w:r>
        <w:t xml:space="preserve">: Vindicat.pl / Komornik Komar — art. 795¹ KPC EEO application procedure, 50 zł fee.</w:t>
      </w:r>
      <w:r>
        <w:t xml:space="preserve"> </w:t>
      </w:r>
      <w:fldSimple w:instr="NOTEREF _Ref_Footnote_6 \h \f">
        <w:r>
          <w:rPr>
            <w:vertAlign w:val="superscript"/>
          </w:rPr>
          <w:t>6</w:t>
        </w:r>
      </w:fldSimple>
      <w:r>
        <w:t xml:space="preserve">: MAAK Advocaten / CCKA.pl — EEO enforceable without intermediate procedure; debtor cannot oppose recognition.</w:t>
      </w:r>
      <w:r>
        <w:t xml:space="preserve"> </w:t>
      </w:r>
      <w:fldSimple w:instr="NOTEREF _Ref_Footnote_7 \h \f">
        <w:r>
          <w:rPr>
            <w:vertAlign w:val="superscript"/>
          </w:rPr>
          <w:t>7</w:t>
        </w:r>
      </w:fldSimple>
      <w:r>
        <w:t xml:space="preserve">: MAAK Advocaten / MamDlugi.pl — debtor remedies limited to challenging enforcement procedure or applying to originating court.</w:t>
      </w:r>
      <w:r>
        <w:t xml:space="preserve"> </w:t>
      </w:r>
      <w:fldSimple w:instr="NOTEREF _Ref_Footnote_8 \h \f">
        <w:r>
          <w:rPr>
            <w:vertAlign w:val="superscript"/>
          </w:rPr>
          <w:t>8</w:t>
        </w:r>
      </w:fldSimple>
      <w:r>
        <w:t xml:space="preserve">: Adwokat Wasowicz / Global Law Experts — Dutch</w:t>
      </w:r>
      <w:r>
        <w:t xml:space="preserve"> </w:t>
      </w:r>
      <w:r>
        <w:rPr>
          <w:iCs/>
          <w:i/>
        </w:rPr>
        <w:t xml:space="preserve">deurwaarder</w:t>
      </w:r>
      <w:r>
        <w:t xml:space="preserve"> </w:t>
      </w:r>
      <w:r>
        <w:t xml:space="preserve">competence at debtor residence or asset location.</w:t>
      </w:r>
      <w:r>
        <w:t xml:space="preserve"> </w:t>
      </w:r>
      <w:fldSimple w:instr="NOTEREF _Ref_Footnote_9 \h \f">
        <w:r>
          <w:rPr>
            <w:vertAlign w:val="superscript"/>
          </w:rPr>
          <w:t>9</w:t>
        </w:r>
      </w:fldSimple>
      <w:r>
        <w:t xml:space="preserve">: Van Zijl Advocaten / KBVG —</w:t>
      </w:r>
      <w:r>
        <w:t xml:space="preserve"> </w:t>
      </w:r>
      <w:r>
        <w:rPr>
          <w:iCs/>
          <w:i/>
        </w:rPr>
        <w:t xml:space="preserve">loonbeslag</w:t>
      </w:r>
      <w:r>
        <w:t xml:space="preserve"> </w:t>
      </w:r>
      <w:r>
        <w:t xml:space="preserve">mechanics and</w:t>
      </w:r>
      <w:r>
        <w:t xml:space="preserve"> </w:t>
      </w:r>
      <w:r>
        <w:rPr>
          <w:iCs/>
          <w:i/>
        </w:rPr>
        <w:t xml:space="preserve">beslagvrije voet</w:t>
      </w:r>
      <w:r>
        <w:t xml:space="preserve"> </w:t>
      </w:r>
      <w:r>
        <w:t xml:space="preserve">calculation.</w:t>
      </w:r>
      <w:r>
        <w:t xml:space="preserve"> </w:t>
      </w:r>
      <w:fldSimple w:instr="NOTEREF _Ref_Footnote_10 \h \f">
        <w:r>
          <w:rPr>
            <w:vertAlign w:val="superscript"/>
          </w:rPr>
          <w:t>10</w:t>
        </w:r>
      </w:fldSimple>
      <w:r>
        <w:t xml:space="preserve">: Incassokantoor Geldrop / KBVG — employer obligations under</w:t>
      </w:r>
      <w:r>
        <w:t xml:space="preserve"> </w:t>
      </w:r>
      <w:r>
        <w:rPr>
          <w:iCs/>
          <w:i/>
        </w:rPr>
        <w:t xml:space="preserve">loonbeslag</w:t>
      </w:r>
      <w:r>
        <w:t xml:space="preserve">: 14-day declaration, monthly withholding.</w:t>
      </w:r>
      <w:r>
        <w:t xml:space="preserve"> </w:t>
      </w:r>
      <w:fldSimple w:instr="NOTEREF _Ref_Footnote_11 \h \f">
        <w:r>
          <w:rPr>
            <w:vertAlign w:val="superscript"/>
          </w:rPr>
          <w:t>11</w:t>
        </w:r>
      </w:fldSimple>
      <w:r>
        <w:t xml:space="preserve">: Schuldinfo.nl — Dutch</w:t>
      </w:r>
      <w:r>
        <w:t xml:space="preserve"> </w:t>
      </w:r>
      <w:r>
        <w:rPr>
          <w:iCs/>
          <w:i/>
        </w:rPr>
        <w:t xml:space="preserve">loonbeslag</w:t>
      </w:r>
      <w:r>
        <w:t xml:space="preserve"> </w:t>
      </w:r>
      <w:r>
        <w:t xml:space="preserve">cost breakdown (2026 tariffs): ~€411.73 fixed + €15.80–43.86 monthly.</w:t>
      </w:r>
      <w:r>
        <w:t xml:space="preserve"> </w:t>
      </w:r>
      <w:fldSimple w:instr="NOTEREF _Ref_Footnote_12 \h \f">
        <w:r>
          <w:rPr>
            <w:vertAlign w:val="superscript"/>
          </w:rPr>
          <w:t>12</w:t>
        </w:r>
      </w:fldSimple>
      <w:r>
        <w:t xml:space="preserve">: Karniol &amp; Wspólnicy / Morawski.eu / Co do Zasady — Brussels I bis automatic enforceability, no</w:t>
      </w:r>
      <w:r>
        <w:t xml:space="preserve"> </w:t>
      </w:r>
      <w:r>
        <w:rPr>
          <w:iCs/>
          <w:i/>
        </w:rPr>
        <w:t xml:space="preserve">exequatur</w:t>
      </w:r>
      <w:r>
        <w:t xml:space="preserve">; art. 53 certificate requirements.</w:t>
      </w:r>
      <w:r>
        <w:t xml:space="preserve"> </w:t>
      </w:r>
      <w:fldSimple w:instr="NOTEREF _Ref_Footnote_13 \h \f">
        <w:r>
          <w:rPr>
            <w:vertAlign w:val="superscript"/>
          </w:rPr>
          <w:t>13</w:t>
        </w:r>
      </w:fldSimple>
      <w:r>
        <w:t xml:space="preserve">: Multilaw / Dudkowiak — art. 53 certificate cost: 300 zł in Poland.</w:t>
      </w:r>
      <w:r>
        <w:t xml:space="preserve"> </w:t>
      </w:r>
      <w:fldSimple w:instr="NOTEREF _Ref_Footnote_14 \h \f">
        <w:r>
          <w:rPr>
            <w:vertAlign w:val="superscript"/>
          </w:rPr>
          <w:t>14</w:t>
        </w:r>
      </w:fldSimple>
      <w:r>
        <w:t xml:space="preserve">: Global Law Experts / Dutch-Law.com — direct enforcement via</w:t>
      </w:r>
      <w:r>
        <w:t xml:space="preserve"> </w:t>
      </w:r>
      <w:r>
        <w:rPr>
          <w:iCs/>
          <w:i/>
        </w:rPr>
        <w:t xml:space="preserve">deurwaarder</w:t>
      </w:r>
      <w:r>
        <w:t xml:space="preserve"> </w:t>
      </w:r>
      <w:r>
        <w:t xml:space="preserve">without Dutch court proceedings.</w:t>
      </w:r>
      <w:r>
        <w:t xml:space="preserve"> </w:t>
      </w:r>
      <w:fldSimple w:instr="NOTEREF _Ref_Footnote_15 \h \f">
        <w:r>
          <w:rPr>
            <w:vertAlign w:val="superscript"/>
          </w:rPr>
          <w:t>15</w:t>
        </w:r>
      </w:fldSimple>
      <w:r>
        <w:t xml:space="preserve">: EUR-Lex / European e-Justice Portal — EAPO (Reg. 655/2014): cross-border account freezing, ex parte, 14-day bank response.</w:t>
      </w:r>
      <w:r>
        <w:t xml:space="preserve"> </w:t>
      </w:r>
      <w:fldSimple w:instr="NOTEREF _Ref_Footnote_16 \h \f">
        <w:r>
          <w:rPr>
            <w:vertAlign w:val="superscript"/>
          </w:rPr>
          <w:t>16</w:t>
        </w:r>
      </w:fldSimple>
      <w:r>
        <w:t xml:space="preserve">: Clifford Chance / Mikov Attorneys — EAPO cross-border requirement and art. 14 information-gathering mechanism; EAPO alternative to national procedures.</w:t>
      </w:r>
    </w:p>
    <w:p>
      <w:r>
        <w:pict>
          <v:rect style="width:0;height:1.5pt" o:hralign="center" o:hrstd="t" o:hr="t"/>
        </w:pict>
      </w:r>
    </w:p>
    <w:bookmarkEnd w:id="88"/>
    <w:bookmarkEnd w:id="89"/>
    <w:bookmarkEnd w:id="90"/>
    <w:bookmarkStart w:id="101" w:name="X7470ec0e6dc163fea14273a4da2eef846c500aa"/>
    <w:p>
      <w:pPr>
        <w:pStyle w:val="Heading2"/>
      </w:pPr>
      <w:r>
        <w:t xml:space="preserve">5. Anti-Dissipation: Protective Steps Post-Nakaz</w:t>
      </w:r>
    </w:p>
    <w:p>
      <w:pPr>
        <w:pStyle w:val="FirstParagraph"/>
      </w:pPr>
      <w:r>
        <w:t xml:space="preserve">The creditor who suspects the debtor will dissipate assets upon learning of the</w:t>
      </w:r>
      <w:r>
        <w:t xml:space="preserve"> </w:t>
      </w:r>
      <w:r>
        <w:rPr>
          <w:iCs/>
          <w:i/>
        </w:rPr>
        <w:t xml:space="preserve">nakaz zapłaty</w:t>
      </w:r>
      <w:r>
        <w:t xml:space="preserve"> </w:t>
      </w:r>
      <w:r>
        <w:t xml:space="preserve">faces a narrow window. The instinct is to seek</w:t>
      </w:r>
      <w:r>
        <w:t xml:space="preserve"> </w:t>
      </w:r>
      <w:r>
        <w:rPr>
          <w:iCs/>
          <w:i/>
        </w:rPr>
        <w:t xml:space="preserve">zabezpieczenie roszczenia</w:t>
      </w:r>
      <w:r>
        <w:t xml:space="preserve"> </w:t>
      </w:r>
      <w:r>
        <w:t xml:space="preserve">(security for the claim) to freeze assets before they vanish. Yet the procedural path after an EPU</w:t>
      </w:r>
      <w:r>
        <w:t xml:space="preserve"> </w:t>
      </w:r>
      <w:r>
        <w:rPr>
          <w:iCs/>
          <w:i/>
        </w:rPr>
        <w:t xml:space="preserve">nakaz</w:t>
      </w:r>
      <w:r>
        <w:t xml:space="preserve"> </w:t>
      </w:r>
      <w:r>
        <w:t xml:space="preserve">is more constrained than many assume. This chapter explains why post-title</w:t>
      </w:r>
      <w:r>
        <w:t xml:space="preserve"> </w:t>
      </w:r>
      <w:r>
        <w:rPr>
          <w:iCs/>
          <w:i/>
        </w:rPr>
        <w:t xml:space="preserve">zabezpieczenie</w:t>
      </w:r>
      <w:r>
        <w:t xml:space="preserve"> </w:t>
      </w:r>
      <w:r>
        <w:t xml:space="preserve">is generally unavailable here, what protective steps remain, and which is fastest.</w:t>
      </w:r>
    </w:p>
    <w:bookmarkStart w:id="93" w:name="X2f92f00e149e0184b6b14fd71532b0714a15eee"/>
    <w:p>
      <w:pPr>
        <w:pStyle w:val="Heading3"/>
      </w:pPr>
      <w:r>
        <w:t xml:space="preserve">5.1 Post-Title Zabezpieczenie Is Generally Barred</w:t>
      </w:r>
    </w:p>
    <w:bookmarkStart w:id="91" w:name="the-statutory-barrier-art.-730-2-kpc"/>
    <w:p>
      <w:pPr>
        <w:pStyle w:val="Heading4"/>
      </w:pPr>
      <w:r>
        <w:t xml:space="preserve">5.1.1 The Statutory Barrier: Art. 730 §2 KPC</w:t>
      </w:r>
    </w:p>
    <w:p>
      <w:pPr>
        <w:pStyle w:val="FirstParagraph"/>
      </w:pPr>
      <w:r>
        <w:t xml:space="preserve">Under art. 730 §2 KPC, once the creditor holds a</w:t>
      </w:r>
      <w:r>
        <w:t xml:space="preserve"> </w:t>
      </w:r>
      <w:r>
        <w:rPr>
          <w:iCs/>
          <w:i/>
        </w:rPr>
        <w:t xml:space="preserve">tytuł wykonawczy</w:t>
      </w:r>
      <w:r>
        <w:t xml:space="preserve"> </w:t>
      </w:r>
      <w:r>
        <w:t xml:space="preserve">(fully enforceable title),</w:t>
      </w:r>
      <w:r>
        <w:t xml:space="preserve"> </w:t>
      </w:r>
      <w:r>
        <w:rPr>
          <w:iCs/>
          <w:i/>
        </w:rPr>
        <w:t xml:space="preserve">zabezpieczenie</w:t>
      </w:r>
      <w:r>
        <w:t xml:space="preserve"> </w:t>
      </w:r>
      <w:r>
        <w:t xml:space="preserve">is permissible only for claims whose payment deadline has not yet arrived — future alimony instalments or rent, for example</w:t>
      </w:r>
      <w:fldSimple w:instr="NOTEREF _Ref_Footnote_1 \h \f">
        <w:r>
          <w:rPr>
            <w:vertAlign w:val="superscript"/>
          </w:rPr>
          <w:t>1</w:t>
        </w:r>
      </w:fldSimple>
      <w:r>
        <w:t xml:space="preserve">. A debt already</w:t>
      </w:r>
      <w:r>
        <w:t xml:space="preserve"> </w:t>
      </w:r>
      <w:r>
        <w:rPr>
          <w:iCs/>
          <w:i/>
        </w:rPr>
        <w:t xml:space="preserve">wymagalne</w:t>
      </w:r>
      <w:r>
        <w:t xml:space="preserve"> </w:t>
      </w:r>
      <w:r>
        <w:t xml:space="preserve">(due and payable) when the title issues cannot be the subject of post-title</w:t>
      </w:r>
      <w:r>
        <w:t xml:space="preserve"> </w:t>
      </w:r>
      <w:r>
        <w:rPr>
          <w:iCs/>
          <w:i/>
        </w:rPr>
        <w:t xml:space="preserve">zabezpieczenie</w:t>
      </w:r>
      <w:r>
        <w:t xml:space="preserve">; doctrine consistently holds that a creditor with an enforceable title should proceed directly to</w:t>
      </w:r>
      <w:r>
        <w:t xml:space="preserve"> </w:t>
      </w:r>
      <w:r>
        <w:rPr>
          <w:iCs/>
          <w:i/>
        </w:rPr>
        <w:t xml:space="preserve">egzekucja komornicza</w:t>
      </w:r>
      <w:r>
        <w:t xml:space="preserve"> </w:t>
      </w:r>
      <w:r>
        <w:t xml:space="preserve">(bailiff enforcement)</w:t>
      </w:r>
      <w:fldSimple w:instr="NOTEREF _Ref_Footnote_2 \h \f">
        <w:r>
          <w:rPr>
            <w:vertAlign w:val="superscript"/>
          </w:rPr>
          <w:t>2</w:t>
        </w:r>
      </w:fldSimple>
      <w:r>
        <w:t xml:space="preserve">. If the 155,000 zł debt was already overdue when the EPU</w:t>
      </w:r>
      <w:r>
        <w:t xml:space="preserve"> </w:t>
      </w:r>
      <w:r>
        <w:rPr>
          <w:iCs/>
          <w:i/>
        </w:rPr>
        <w:t xml:space="preserve">nakaz</w:t>
      </w:r>
      <w:r>
        <w:t xml:space="preserve"> </w:t>
      </w:r>
      <w:r>
        <w:t xml:space="preserve">issued, the creditor cannot, after obtaining the</w:t>
      </w:r>
      <w:r>
        <w:t xml:space="preserve"> </w:t>
      </w:r>
      <w:r>
        <w:rPr>
          <w:iCs/>
          <w:i/>
        </w:rPr>
        <w:t xml:space="preserve">klauzula wykonalności</w:t>
      </w:r>
      <w:r>
        <w:t xml:space="preserve">, seek</w:t>
      </w:r>
      <w:r>
        <w:t xml:space="preserve"> </w:t>
      </w:r>
      <w:r>
        <w:rPr>
          <w:iCs/>
          <w:i/>
        </w:rPr>
        <w:t xml:space="preserve">zabezpieczenie</w:t>
      </w:r>
      <w:r>
        <w:t xml:space="preserve"> </w:t>
      </w:r>
      <w:r>
        <w:t xml:space="preserve">of that same debt. The remedy is enforcement, not security.</w:t>
      </w:r>
    </w:p>
    <w:bookmarkEnd w:id="91"/>
    <w:bookmarkStart w:id="92" w:name="Xa8664c174002300f0bd4030bdcb00f8376a377c"/>
    <w:p>
      <w:pPr>
        <w:pStyle w:val="Heading4"/>
      </w:pPr>
      <w:r>
        <w:t xml:space="preserve">5.1.2 The EPU Nakaz Does Not Qualify as an Art. 492 Security Title</w:t>
      </w:r>
    </w:p>
    <w:p>
      <w:pPr>
        <w:pStyle w:val="FirstParagraph"/>
      </w:pPr>
      <w:r>
        <w:t xml:space="preserve">Some creditors conflate the EPU</w:t>
      </w:r>
      <w:r>
        <w:t xml:space="preserve"> </w:t>
      </w:r>
      <w:r>
        <w:rPr>
          <w:iCs/>
          <w:i/>
        </w:rPr>
        <w:t xml:space="preserve">nakaz zapłaty</w:t>
      </w:r>
      <w:r>
        <w:t xml:space="preserve"> </w:t>
      </w:r>
      <w:r>
        <w:t xml:space="preserve">with the</w:t>
      </w:r>
      <w:r>
        <w:t xml:space="preserve"> </w:t>
      </w:r>
      <w:r>
        <w:rPr>
          <w:iCs/>
          <w:i/>
        </w:rPr>
        <w:t xml:space="preserve">nakaz zapłaty</w:t>
      </w:r>
      <w:r>
        <w:t xml:space="preserve"> </w:t>
      </w:r>
      <w:r>
        <w:t xml:space="preserve">issued in</w:t>
      </w:r>
      <w:r>
        <w:t xml:space="preserve"> </w:t>
      </w:r>
      <w:r>
        <w:rPr>
          <w:iCs/>
          <w:i/>
        </w:rPr>
        <w:t xml:space="preserve">postępowanie nakazowe</w:t>
      </w:r>
      <w:r>
        <w:t xml:space="preserve"> </w:t>
      </w:r>
      <w:r>
        <w:t xml:space="preserve">(order proceedings) under art. 492 KPC. Art. 492 §1 KPC provides that a</w:t>
      </w:r>
      <w:r>
        <w:t xml:space="preserve"> </w:t>
      </w:r>
      <w:r>
        <w:rPr>
          <w:iCs/>
          <w:i/>
        </w:rPr>
        <w:t xml:space="preserve">nakaz</w:t>
      </w:r>
      <w:r>
        <w:t xml:space="preserve"> </w:t>
      </w:r>
      <w:r>
        <w:t xml:space="preserve">in</w:t>
      </w:r>
      <w:r>
        <w:t xml:space="preserve"> </w:t>
      </w:r>
      <w:r>
        <w:rPr>
          <w:iCs/>
          <w:i/>
        </w:rPr>
        <w:t xml:space="preserve">postępowanie nakazowe</w:t>
      </w:r>
      <w:r>
        <w:t xml:space="preserve"> </w:t>
      </w:r>
      <w:r>
        <w:t xml:space="preserve">constitutes a</w:t>
      </w:r>
      <w:r>
        <w:t xml:space="preserve"> </w:t>
      </w:r>
      <w:r>
        <w:rPr>
          <w:iCs/>
          <w:i/>
        </w:rPr>
        <w:t xml:space="preserve">tytuł zabezpieczenia</w:t>
      </w:r>
      <w:r>
        <w:t xml:space="preserve"> </w:t>
      </w:r>
      <w:r>
        <w:t xml:space="preserve">(security title) from issuance, enforceable without a</w:t>
      </w:r>
      <w:r>
        <w:t xml:space="preserve"> </w:t>
      </w:r>
      <w:r>
        <w:rPr>
          <w:iCs/>
          <w:i/>
        </w:rPr>
        <w:t xml:space="preserve">klauzula wykonalności</w:t>
      </w:r>
      <w:fldSimple w:instr="NOTEREF _Ref_Footnote_10 \h \f">
        <w:r>
          <w:rPr>
            <w:vertAlign w:val="superscript"/>
          </w:rPr>
          <w:t>10</w:t>
        </w:r>
      </w:fldSimple>
      <w:r>
        <w:t xml:space="preserve">. But art. 492 applies</w:t>
      </w:r>
      <w:r>
        <w:t xml:space="preserve"> </w:t>
      </w:r>
      <w:r>
        <w:rPr>
          <w:bCs/>
          <w:b/>
        </w:rPr>
        <w:t xml:space="preserve">exclusively</w:t>
      </w:r>
      <w:r>
        <w:t xml:space="preserve"> </w:t>
      </w:r>
      <w:r>
        <w:t xml:space="preserve">to</w:t>
      </w:r>
      <w:r>
        <w:t xml:space="preserve"> </w:t>
      </w:r>
      <w:r>
        <w:rPr>
          <w:iCs/>
          <w:i/>
        </w:rPr>
        <w:t xml:space="preserve">postępowanie nakazowe</w:t>
      </w:r>
      <w:r>
        <w:t xml:space="preserve">, not to</w:t>
      </w:r>
      <w:r>
        <w:t xml:space="preserve"> </w:t>
      </w:r>
      <w:r>
        <w:rPr>
          <w:iCs/>
          <w:i/>
        </w:rPr>
        <w:t xml:space="preserve">postępowanie upominawcze</w:t>
      </w:r>
      <w:r>
        <w:t xml:space="preserve"> </w:t>
      </w:r>
      <w:r>
        <w:t xml:space="preserve">(reminder proceedings)</w:t>
      </w:r>
      <w:fldSimple w:instr="NOTEREF _Ref_Footnote_11 \h \f">
        <w:r>
          <w:rPr>
            <w:vertAlign w:val="superscript"/>
          </w:rPr>
          <w:t>11</w:t>
        </w:r>
      </w:fldSimple>
      <w:r>
        <w:t xml:space="preserve">, and EPU is structurally a variant of the latter</w:t>
      </w:r>
      <w:fldSimple w:instr="NOTEREF _Ref_Footnote_8 \h \f">
        <w:r>
          <w:rPr>
            <w:vertAlign w:val="superscript"/>
          </w:rPr>
          <w:t>8</w:t>
        </w:r>
      </w:fldSimple>
      <w:r>
        <w:t xml:space="preserve">. An EPU</w:t>
      </w:r>
      <w:r>
        <w:t xml:space="preserve"> </w:t>
      </w:r>
      <w:r>
        <w:rPr>
          <w:iCs/>
          <w:i/>
        </w:rPr>
        <w:t xml:space="preserve">nakaz</w:t>
      </w:r>
      <w:r>
        <w:t xml:space="preserve"> </w:t>
      </w:r>
      <w:r>
        <w:t xml:space="preserve">therefore does</w:t>
      </w:r>
      <w:r>
        <w:t xml:space="preserve"> </w:t>
      </w:r>
      <w:r>
        <w:rPr>
          <w:bCs/>
          <w:b/>
        </w:rPr>
        <w:t xml:space="preserve">not</w:t>
      </w:r>
      <w:r>
        <w:t xml:space="preserve"> </w:t>
      </w:r>
      <w:r>
        <w:t xml:space="preserve">enjoy security-title status. It becomes a</w:t>
      </w:r>
      <w:r>
        <w:t xml:space="preserve"> </w:t>
      </w:r>
      <w:r>
        <w:rPr>
          <w:iCs/>
          <w:i/>
        </w:rPr>
        <w:t xml:space="preserve">tytuł egzekucyjny</w:t>
      </w:r>
      <w:r>
        <w:t xml:space="preserve"> </w:t>
      </w:r>
      <w:r>
        <w:t xml:space="preserve">(enforcement title) only after</w:t>
      </w:r>
      <w:r>
        <w:t xml:space="preserve"> </w:t>
      </w:r>
      <w:r>
        <w:rPr>
          <w:iCs/>
          <w:i/>
        </w:rPr>
        <w:t xml:space="preserve">uprawomocnienie</w:t>
      </w:r>
      <w:r>
        <w:t xml:space="preserve"> </w:t>
      </w:r>
      <w:r>
        <w:t xml:space="preserve">(finality) and with the</w:t>
      </w:r>
      <w:r>
        <w:t xml:space="preserve"> </w:t>
      </w:r>
      <w:r>
        <w:rPr>
          <w:iCs/>
          <w:i/>
        </w:rPr>
        <w:t xml:space="preserve">klauzula wykonalności</w:t>
      </w:r>
      <w:r>
        <w:t xml:space="preserve"> </w:t>
      </w:r>
      <w:r>
        <w:t xml:space="preserve">attached</w:t>
      </w:r>
      <w:r>
        <w:t xml:space="preserve"> </w:t>
      </w:r>
      <w:r>
        <w:rPr>
          <w:iCs/>
          <w:i/>
        </w:rPr>
        <w:t xml:space="preserve">ex officio</w:t>
      </w:r>
      <w:r>
        <w:t xml:space="preserve"> </w:t>
      </w:r>
      <w:r>
        <w:t xml:space="preserve">by the e-Sąd</w:t>
      </w:r>
      <w:fldSimple w:instr="NOTEREF _Ref_Footnote_13 \h \f">
        <w:r>
          <w:rPr>
            <w:vertAlign w:val="superscript"/>
          </w:rPr>
          <w:t>13</w:t>
        </w:r>
      </w:fldSimple>
      <w:r>
        <w:t xml:space="preserve">. The lawyer who advised that pre-judgment</w:t>
      </w:r>
      <w:r>
        <w:t xml:space="preserve"> </w:t>
      </w:r>
      <w:r>
        <w:rPr>
          <w:iCs/>
          <w:i/>
        </w:rPr>
        <w:t xml:space="preserve">zabezpieczenie</w:t>
      </w:r>
      <w:r>
        <w:t xml:space="preserve"> </w:t>
      </w:r>
      <w:r>
        <w:t xml:space="preserve">within EPU is unavailable was correct: the EPU system does not handle protective measures, and the</w:t>
      </w:r>
      <w:r>
        <w:t xml:space="preserve"> </w:t>
      </w:r>
      <w:r>
        <w:rPr>
          <w:iCs/>
          <w:i/>
        </w:rPr>
        <w:t xml:space="preserve">nakaz</w:t>
      </w:r>
      <w:r>
        <w:t xml:space="preserve"> </w:t>
      </w:r>
      <w:r>
        <w:t xml:space="preserve">it produces is not a security title.</w:t>
      </w:r>
    </w:p>
    <w:bookmarkEnd w:id="92"/>
    <w:bookmarkEnd w:id="93"/>
    <w:bookmarkStart w:id="97" w:name="fastest-available-protective-steps"/>
    <w:p>
      <w:pPr>
        <w:pStyle w:val="Heading3"/>
      </w:pPr>
      <w:r>
        <w:t xml:space="preserve">5.2 Fastest Available Protective Steps</w:t>
      </w:r>
    </w:p>
    <w:p>
      <w:pPr>
        <w:pStyle w:val="FirstParagraph"/>
      </w:pPr>
      <w:r>
        <w:t xml:space="preserve">Although the classical post-title</w:t>
      </w:r>
      <w:r>
        <w:t xml:space="preserve"> </w:t>
      </w:r>
      <w:r>
        <w:rPr>
          <w:iCs/>
          <w:i/>
        </w:rPr>
        <w:t xml:space="preserve">zabezpieczenie</w:t>
      </w:r>
      <w:r>
        <w:t xml:space="preserve"> </w:t>
      </w:r>
      <w:r>
        <w:t xml:space="preserve">path is blocked, three protective avenues remain open to the creditor. Their speed varies by orders of magnitude.</w:t>
      </w:r>
    </w:p>
    <w:bookmarkStart w:id="94" w:name="X42c4ea319436ef8ebee82c71f813ef704724c23"/>
    <w:p>
      <w:pPr>
        <w:pStyle w:val="Heading4"/>
      </w:pPr>
      <w:r>
        <w:t xml:space="preserve">5.2.1 Immediate Enforcement Filing: OGNIVO Bank Block Within Hours</w:t>
      </w:r>
    </w:p>
    <w:p>
      <w:pPr>
        <w:pStyle w:val="FirstParagraph"/>
      </w:pPr>
      <w:r>
        <w:t xml:space="preserve">The fastest protection under Polish law is paradoxically not a</w:t>
      </w:r>
      <w:r>
        <w:t xml:space="preserve"> </w:t>
      </w:r>
      <w:r>
        <w:rPr>
          <w:iCs/>
          <w:i/>
        </w:rPr>
        <w:t xml:space="preserve">zabezpieczenie</w:t>
      </w:r>
      <w:r>
        <w:t xml:space="preserve"> </w:t>
      </w:r>
      <w:r>
        <w:t xml:space="preserve">at all — it is enforcement itself. The moment the</w:t>
      </w:r>
      <w:r>
        <w:t xml:space="preserve"> </w:t>
      </w:r>
      <w:r>
        <w:rPr>
          <w:iCs/>
          <w:i/>
        </w:rPr>
        <w:t xml:space="preserve">nakaz</w:t>
      </w:r>
      <w:r>
        <w:t xml:space="preserve"> </w:t>
      </w:r>
      <w:r>
        <w:t xml:space="preserve">becomes</w:t>
      </w:r>
      <w:r>
        <w:t xml:space="preserve"> </w:t>
      </w:r>
      <w:r>
        <w:rPr>
          <w:iCs/>
          <w:i/>
        </w:rPr>
        <w:t xml:space="preserve">prawomocny</w:t>
      </w:r>
      <w:r>
        <w:t xml:space="preserve"> </w:t>
      </w:r>
      <w:r>
        <w:t xml:space="preserve">and the e-Sąd attaches the</w:t>
      </w:r>
      <w:r>
        <w:t xml:space="preserve"> </w:t>
      </w:r>
      <w:r>
        <w:rPr>
          <w:iCs/>
          <w:i/>
        </w:rPr>
        <w:t xml:space="preserve">klauzula wykonalności</w:t>
      </w:r>
      <w:r>
        <w:t xml:space="preserve">, the creditor should file a</w:t>
      </w:r>
      <w:r>
        <w:t xml:space="preserve"> </w:t>
      </w:r>
      <w:r>
        <w:rPr>
          <w:iCs/>
          <w:i/>
        </w:rPr>
        <w:t xml:space="preserve">wniosek egzekucyjny</w:t>
      </w:r>
      <w:r>
        <w:t xml:space="preserve"> </w:t>
      </w:r>
      <w:r>
        <w:t xml:space="preserve">(enforcement application) through the EPU system, directing the</w:t>
      </w:r>
      <w:r>
        <w:t xml:space="preserve"> </w:t>
      </w:r>
      <w:r>
        <w:rPr>
          <w:iCs/>
          <w:i/>
        </w:rPr>
        <w:t xml:space="preserve">komornik</w:t>
      </w:r>
      <w:r>
        <w:t xml:space="preserve"> </w:t>
      </w:r>
      <w:r>
        <w:t xml:space="preserve">to seize bank accounts first</w:t>
      </w:r>
      <w:fldSimple w:instr="NOTEREF _Ref_Footnote_21 \h \f">
        <w:r>
          <w:rPr>
            <w:vertAlign w:val="superscript"/>
          </w:rPr>
          <w:t>21</w:t>
        </w:r>
      </w:fldSimple>
      <w:r>
        <w:t xml:space="preserve">. The</w:t>
      </w:r>
      <w:r>
        <w:t xml:space="preserve"> </w:t>
      </w:r>
      <w:r>
        <w:rPr>
          <w:iCs/>
          <w:i/>
        </w:rPr>
        <w:t xml:space="preserve">komornik</w:t>
      </w:r>
      <w:r>
        <w:t xml:space="preserve"> </w:t>
      </w:r>
      <w:r>
        <w:t xml:space="preserve">queries OGNIVO, reaching all 554 Polish banks simultaneously in real time</w:t>
      </w:r>
      <w:fldSimple w:instr="NOTEREF _Ref_Footnote_20 \h \f">
        <w:r>
          <w:rPr>
            <w:vertAlign w:val="superscript"/>
          </w:rPr>
          <w:t>20</w:t>
        </w:r>
      </w:fldSimple>
      <w:r>
        <w:t xml:space="preserve">. Positive responses trigger electronic seizure notices; the bank blocks the account immediately upon receipt. Because the electronic seizure reaches the bank before the debtor’s postal notification arrives, the account is typically frozen</w:t>
      </w:r>
      <w:r>
        <w:t xml:space="preserve"> </w:t>
      </w:r>
      <w:r>
        <w:rPr>
          <w:bCs/>
          <w:b/>
        </w:rPr>
        <w:t xml:space="preserve">within hours</w:t>
      </w:r>
      <w:r>
        <w:t xml:space="preserve"> </w:t>
      </w:r>
      <w:r>
        <w:t xml:space="preserve">and</w:t>
      </w:r>
      <w:r>
        <w:t xml:space="preserve"> </w:t>
      </w:r>
      <w:r>
        <w:rPr>
          <w:bCs/>
          <w:b/>
        </w:rPr>
        <w:t xml:space="preserve">before the debtor learns of the enforcement</w:t>
      </w:r>
      <w:fldSimple w:instr="NOTEREF _Ref_Footnote_20 \h \f">
        <w:r>
          <w:rPr>
            <w:vertAlign w:val="superscript"/>
          </w:rPr>
          <w:t>20</w:t>
        </w:r>
      </w:fldSimple>
      <w:r>
        <w:t xml:space="preserve">. This is the only protective step measured in hours, not days.</w:t>
      </w:r>
    </w:p>
    <w:p>
      <w:pPr>
        <w:pStyle w:val="BodyText"/>
      </w:pPr>
      <w:r>
        <w:t xml:space="preserve">The creditor should indicate the known Alior business account (PL84 2490 0005 0000 4530 9127 6540) in section 6.2 of the</w:t>
      </w:r>
      <w:r>
        <w:t xml:space="preserve"> </w:t>
      </w:r>
      <w:r>
        <w:rPr>
          <w:iCs/>
          <w:i/>
        </w:rPr>
        <w:t xml:space="preserve">wniosek egzekucyjny</w:t>
      </w:r>
      <w:r>
        <w:t xml:space="preserve">. Business accounts carry</w:t>
      </w:r>
      <w:r>
        <w:t xml:space="preserve"> </w:t>
      </w:r>
      <w:r>
        <w:rPr>
          <w:bCs/>
          <w:b/>
        </w:rPr>
        <w:t xml:space="preserve">no</w:t>
      </w:r>
      <w:r>
        <w:t xml:space="preserve"> </w:t>
      </w:r>
      <w:r>
        <w:rPr>
          <w:iCs/>
          <w:i/>
        </w:rPr>
        <w:t xml:space="preserve">kwota wolna</w:t>
      </w:r>
      <w:r>
        <w:t xml:space="preserve"> </w:t>
      </w:r>
      <w:r>
        <w:t xml:space="preserve">— the</w:t>
      </w:r>
      <w:r>
        <w:t xml:space="preserve"> </w:t>
      </w:r>
      <w:r>
        <w:rPr>
          <w:iCs/>
          <w:i/>
        </w:rPr>
        <w:t xml:space="preserve">komornik</w:t>
      </w:r>
      <w:r>
        <w:t xml:space="preserve"> </w:t>
      </w:r>
      <w:r>
        <w:t xml:space="preserve">can seize 100% of funds. Even if the account is empty at seizure, art. 890 KPC captures all future deposits automatically.</w:t>
      </w:r>
    </w:p>
    <w:bookmarkEnd w:id="94"/>
    <w:bookmarkStart w:id="95" w:name="X731eb79f56ff0034c4ace236dd5ed26a64b14ba"/>
    <w:p>
      <w:pPr>
        <w:pStyle w:val="Heading4"/>
      </w:pPr>
      <w:r>
        <w:t xml:space="preserve">5.2.2 Separate Parallel Zabezpieczenie in Sąd Rejonowy Under Art. 730 KPC</w:t>
      </w:r>
    </w:p>
    <w:p>
      <w:pPr>
        <w:pStyle w:val="FirstParagraph"/>
      </w:pPr>
      <w:r>
        <w:t xml:space="preserve">If the creditor wishes to obtain a formal asset freeze</w:t>
      </w:r>
      <w:r>
        <w:t xml:space="preserve"> </w:t>
      </w:r>
      <w:r>
        <w:rPr>
          <w:bCs/>
          <w:b/>
        </w:rPr>
        <w:t xml:space="preserve">before</w:t>
      </w:r>
      <w:r>
        <w:t xml:space="preserve"> </w:t>
      </w:r>
      <w:r>
        <w:t xml:space="preserve">the</w:t>
      </w:r>
      <w:r>
        <w:t xml:space="preserve"> </w:t>
      </w:r>
      <w:r>
        <w:rPr>
          <w:iCs/>
          <w:i/>
        </w:rPr>
        <w:t xml:space="preserve">nakaz</w:t>
      </w:r>
      <w:r>
        <w:t xml:space="preserve"> </w:t>
      </w:r>
      <w:r>
        <w:t xml:space="preserve">becomes</w:t>
      </w:r>
      <w:r>
        <w:t xml:space="preserve"> </w:t>
      </w:r>
      <w:r>
        <w:rPr>
          <w:iCs/>
          <w:i/>
        </w:rPr>
        <w:t xml:space="preserve">prawomocny</w:t>
      </w:r>
      <w:r>
        <w:t xml:space="preserve"> </w:t>
      </w:r>
      <w:r>
        <w:t xml:space="preserve">— for instance, during the 14-day</w:t>
      </w:r>
      <w:r>
        <w:t xml:space="preserve"> </w:t>
      </w:r>
      <w:r>
        <w:rPr>
          <w:iCs/>
          <w:i/>
        </w:rPr>
        <w:t xml:space="preserve">sprzeciw</w:t>
      </w:r>
      <w:r>
        <w:t xml:space="preserve"> </w:t>
      </w:r>
      <w:r>
        <w:t xml:space="preserve">period — a separate</w:t>
      </w:r>
      <w:r>
        <w:t xml:space="preserve"> </w:t>
      </w:r>
      <w:r>
        <w:rPr>
          <w:iCs/>
          <w:i/>
        </w:rPr>
        <w:t xml:space="preserve">wniosek o udzielenie zabezpieczenia roszczenia</w:t>
      </w:r>
      <w:r>
        <w:t xml:space="preserve"> </w:t>
      </w:r>
      <w:r>
        <w:t xml:space="preserve">can be filed in the</w:t>
      </w:r>
      <w:r>
        <w:t xml:space="preserve"> </w:t>
      </w:r>
      <w:r>
        <w:rPr>
          <w:iCs/>
          <w:i/>
        </w:rPr>
        <w:t xml:space="preserve">sąd rejonowy</w:t>
      </w:r>
      <w:r>
        <w:t xml:space="preserve"> </w:t>
      </w:r>
      <w:r>
        <w:t xml:space="preserve">(district court) with proper jurisdiction under art. 730 KPC. This proceeding is entirely distinct from the EPU track and does not interact with the e-Sąd system</w:t>
      </w:r>
      <w:fldSimple w:instr="NOTEREF _Ref_Footnote_2 \h \f">
        <w:r>
          <w:rPr>
            <w:vertAlign w:val="superscript"/>
          </w:rPr>
          <w:t>2</w:t>
        </w:r>
      </w:fldSimple>
      <w:r>
        <w:t xml:space="preserve">. The creditor must demonstrate two cumulative prerequisites:</w:t>
      </w:r>
      <w:r>
        <w:t xml:space="preserve"> </w:t>
      </w:r>
      <w:r>
        <w:rPr>
          <w:iCs/>
          <w:i/>
        </w:rPr>
        <w:t xml:space="preserve">uprawdopodobnienie roszczenia</w:t>
      </w:r>
      <w:r>
        <w:t xml:space="preserve"> </w:t>
      </w:r>
      <w:r>
        <w:t xml:space="preserve">(making the claim probable, which the issued EPU</w:t>
      </w:r>
      <w:r>
        <w:t xml:space="preserve"> </w:t>
      </w:r>
      <w:r>
        <w:rPr>
          <w:iCs/>
          <w:i/>
        </w:rPr>
        <w:t xml:space="preserve">nakaz</w:t>
      </w:r>
      <w:r>
        <w:t xml:space="preserve"> </w:t>
      </w:r>
      <w:r>
        <w:t xml:space="preserve">strongly supports) and</w:t>
      </w:r>
      <w:r>
        <w:t xml:space="preserve"> </w:t>
      </w:r>
      <w:r>
        <w:rPr>
          <w:iCs/>
          <w:i/>
        </w:rPr>
        <w:t xml:space="preserve">interes prawny</w:t>
      </w:r>
      <w:r>
        <w:t xml:space="preserve"> </w:t>
      </w:r>
      <w:r>
        <w:t xml:space="preserve">(legal interest, satisfied by evidence that the debtor is transferring or concealing assets)</w:t>
      </w:r>
      <w:fldSimple w:instr="NOTEREF _Ref_Footnote_4 \h \f">
        <w:r>
          <w:rPr>
            <w:vertAlign w:val="superscript"/>
          </w:rPr>
          <w:t>4</w:t>
        </w:r>
      </w:fldSimple>
      <w:r>
        <w:t xml:space="preserve">. The court must decide</w:t>
      </w:r>
      <w:r>
        <w:t xml:space="preserve"> </w:t>
      </w:r>
      <w:r>
        <w:rPr>
          <w:iCs/>
          <w:i/>
        </w:rPr>
        <w:t xml:space="preserve">bezzwłocznie, nie później jednak niż w terminie tygodnia</w:t>
      </w:r>
      <w:r>
        <w:t xml:space="preserve"> </w:t>
      </w:r>
      <w:r>
        <w:t xml:space="preserve">(immediately, but no later than one week) from filing under art. 737 KPC</w:t>
      </w:r>
      <w:fldSimple w:instr="NOTEREF _Ref_Footnote_19 \h \f">
        <w:r>
          <w:rPr>
            <w:vertAlign w:val="superscript"/>
          </w:rPr>
          <w:t>19</w:t>
        </w:r>
      </w:fldSimple>
      <w:r>
        <w:t xml:space="preserve">. In practice, with documented dissipation risk, decisions can issue within 24–48 hours.</w:t>
      </w:r>
    </w:p>
    <w:p>
      <w:pPr>
        <w:pStyle w:val="BodyText"/>
      </w:pPr>
      <w:r>
        <w:t xml:space="preserve">Once the court grants the</w:t>
      </w:r>
      <w:r>
        <w:t xml:space="preserve"> </w:t>
      </w:r>
      <w:r>
        <w:rPr>
          <w:iCs/>
          <w:i/>
        </w:rPr>
        <w:t xml:space="preserve">postanowienie o udzieleniu zabezpieczenia</w:t>
      </w:r>
      <w:r>
        <w:t xml:space="preserve"> </w:t>
      </w:r>
      <w:r>
        <w:t xml:space="preserve">(with</w:t>
      </w:r>
      <w:r>
        <w:t xml:space="preserve"> </w:t>
      </w:r>
      <w:r>
        <w:rPr>
          <w:iCs/>
          <w:i/>
        </w:rPr>
        <w:t xml:space="preserve">klauzula wykonalności</w:t>
      </w:r>
      <w:r>
        <w:t xml:space="preserve"> </w:t>
      </w:r>
      <w:r>
        <w:t xml:space="preserve">attached</w:t>
      </w:r>
      <w:r>
        <w:t xml:space="preserve"> </w:t>
      </w:r>
      <w:r>
        <w:rPr>
          <w:iCs/>
          <w:i/>
        </w:rPr>
        <w:t xml:space="preserve">ex officio</w:t>
      </w:r>
      <w:r>
        <w:t xml:space="preserve"> </w:t>
      </w:r>
      <w:r>
        <w:t xml:space="preserve">under art. 739 KPC), the creditor delivers it to a</w:t>
      </w:r>
      <w:r>
        <w:t xml:space="preserve"> </w:t>
      </w:r>
      <w:r>
        <w:rPr>
          <w:iCs/>
          <w:i/>
        </w:rPr>
        <w:t xml:space="preserve">komornik</w:t>
      </w:r>
      <w:r>
        <w:t xml:space="preserve"> </w:t>
      </w:r>
      <w:r>
        <w:t xml:space="preserve">with a</w:t>
      </w:r>
      <w:r>
        <w:t xml:space="preserve"> </w:t>
      </w:r>
      <w:r>
        <w:rPr>
          <w:iCs/>
          <w:i/>
        </w:rPr>
        <w:t xml:space="preserve">wniosek o wykonanie zabezpieczenia</w:t>
      </w:r>
      <w:r>
        <w:t xml:space="preserve"> </w:t>
      </w:r>
      <w:r>
        <w:t xml:space="preserve">(fixed 300 zł fee). The</w:t>
      </w:r>
      <w:r>
        <w:t xml:space="preserve"> </w:t>
      </w:r>
      <w:r>
        <w:rPr>
          <w:iCs/>
          <w:i/>
        </w:rPr>
        <w:t xml:space="preserve">komornik</w:t>
      </w:r>
      <w:r>
        <w:t xml:space="preserve"> </w:t>
      </w:r>
      <w:r>
        <w:t xml:space="preserve">executes the bank freeze through OGNIVO on the same timeline described above.</w:t>
      </w:r>
    </w:p>
    <w:bookmarkEnd w:id="95"/>
    <w:bookmarkStart w:id="96" w:name="Xd49130084a9b3cf30c9fec4e956699d50f80504"/>
    <w:p>
      <w:pPr>
        <w:pStyle w:val="Heading4"/>
      </w:pPr>
      <w:r>
        <w:t xml:space="preserve">5.2.3 EAPO for Cross-Border Bank Freeze if Dutch Accounts Are Suspected</w:t>
      </w:r>
    </w:p>
    <w:p>
      <w:pPr>
        <w:pStyle w:val="FirstParagraph"/>
      </w:pPr>
      <w:r>
        <w:t xml:space="preserve">If the debtor maintains bank accounts in the Netherlands, the European Account Preservation Order (EAPO) under Regulation (EU) No 655/2014 offers a cross-border freeze</w:t>
      </w:r>
      <w:fldSimple w:instr="NOTEREF _Ref_Footnote_15 \h \f">
        <w:r>
          <w:rPr>
            <w:vertAlign w:val="superscript"/>
          </w:rPr>
          <w:t>15</w:t>
        </w:r>
      </w:fldSimple>
      <w:r>
        <w:t xml:space="preserve">. EAPO is available only in</w:t>
      </w:r>
      <w:r>
        <w:t xml:space="preserve"> </w:t>
      </w:r>
      <w:r>
        <w:rPr>
          <w:iCs/>
          <w:i/>
        </w:rPr>
        <w:t xml:space="preserve">sprawy transgraniczne</w:t>
      </w:r>
      <w:r>
        <w:t xml:space="preserve"> </w:t>
      </w:r>
      <w:r>
        <w:t xml:space="preserve">(cross-border matters) — satisfied here because the debtor’s accounts are in a different EU state than the creditor’s court</w:t>
      </w:r>
      <w:fldSimple w:instr="NOTEREF _Ref_Footnote_15 \h \f">
        <w:r>
          <w:rPr>
            <w:vertAlign w:val="superscript"/>
          </w:rPr>
          <w:t>15</w:t>
        </w:r>
      </w:fldSimple>
      <w:r>
        <w:t xml:space="preserve">. The procedure is</w:t>
      </w:r>
      <w:r>
        <w:t xml:space="preserve"> </w:t>
      </w:r>
      <w:r>
        <w:rPr>
          <w:iCs/>
          <w:i/>
        </w:rPr>
        <w:t xml:space="preserve">ex parte</w:t>
      </w:r>
      <w:r>
        <w:t xml:space="preserve">; the bank must implement the order within 14 working days</w:t>
      </w:r>
      <w:fldSimple w:instr="NOTEREF _Ref_Footnote_18 \h \f">
        <w:r>
          <w:rPr>
            <w:vertAlign w:val="superscript"/>
          </w:rPr>
          <w:t>18</w:t>
        </w:r>
      </w:fldSimple>
      <w:r>
        <w:t xml:space="preserve">. In Poland, EAPO is executed by a</w:t>
      </w:r>
      <w:r>
        <w:t xml:space="preserve"> </w:t>
      </w:r>
      <w:r>
        <w:rPr>
          <w:iCs/>
          <w:i/>
        </w:rPr>
        <w:t xml:space="preserve">komornik</w:t>
      </w:r>
      <w:fldSimple w:instr="NOTEREF _Ref_Footnote_16 \h \f">
        <w:r>
          <w:rPr>
            <w:vertAlign w:val="superscript"/>
          </w:rPr>
          <w:t>16</w:t>
        </w:r>
      </w:fldSimple>
      <w:r>
        <w:t xml:space="preserve">. EAPO cannot be combined with domestic security measures for the same accounts</w:t>
      </w:r>
      <w:fldSimple w:instr="NOTEREF _Ref_Footnote_15 \h \f">
        <w:r>
          <w:rPr>
            <w:vertAlign w:val="superscript"/>
          </w:rPr>
          <w:t>15</w:t>
        </w:r>
      </w:fldSimple>
      <w:r>
        <w:t xml:space="preserve">, and its value here depends on whether the creditor has reason to believe the debtor holds Dutch accounts.</w:t>
      </w:r>
    </w:p>
    <w:bookmarkEnd w:id="96"/>
    <w:bookmarkEnd w:id="97"/>
    <w:bookmarkStart w:id="100" w:name="practical-recommendation"/>
    <w:p>
      <w:pPr>
        <w:pStyle w:val="Heading3"/>
      </w:pPr>
      <w:r>
        <w:t xml:space="preserve">5.3 Practical Recommendation</w:t>
      </w:r>
    </w:p>
    <w:bookmarkStart w:id="98" w:name="Xbf91eed367e0b29f01ad9babf35f868ed2031c7"/>
    <w:p>
      <w:pPr>
        <w:pStyle w:val="Heading4"/>
      </w:pPr>
      <w:r>
        <w:t xml:space="preserve">5.3.1 File the Wniosek Egzekucyjny Immediately Upon Obtaining the Klauzula</w:t>
      </w:r>
    </w:p>
    <w:p>
      <w:pPr>
        <w:pStyle w:val="FirstParagraph"/>
      </w:pPr>
      <w:r>
        <w:t xml:space="preserve">For a debtor residing abroad with no visible Polish assets, the most probable Polish-seizable funds are the dormant business account or any tax overpayment at the</w:t>
      </w:r>
      <w:r>
        <w:t xml:space="preserve"> </w:t>
      </w:r>
      <w:r>
        <w:rPr>
          <w:iCs/>
          <w:i/>
        </w:rPr>
        <w:t xml:space="preserve">Urząd Skarbowy</w:t>
      </w:r>
      <w:r>
        <w:t xml:space="preserve"> </w:t>
      </w:r>
      <w:r>
        <w:t xml:space="preserve">(see Chapters 2 and 3). Enforcement itself — not</w:t>
      </w:r>
      <w:r>
        <w:t xml:space="preserve"> </w:t>
      </w:r>
      <w:r>
        <w:rPr>
          <w:iCs/>
          <w:i/>
        </w:rPr>
        <w:t xml:space="preserve">zabezpieczenie</w:t>
      </w:r>
      <w:r>
        <w:t xml:space="preserve"> </w:t>
      </w:r>
      <w:r>
        <w:t xml:space="preserve">— is the best protection because it triggers OGNIVO and the</w:t>
      </w:r>
      <w:r>
        <w:t xml:space="preserve"> </w:t>
      </w:r>
      <w:r>
        <w:rPr>
          <w:iCs/>
          <w:i/>
        </w:rPr>
        <w:t xml:space="preserve">komornik’s</w:t>
      </w:r>
      <w:r>
        <w:t xml:space="preserve"> </w:t>
      </w:r>
      <w:r>
        <w:t xml:space="preserve">full investigative toolkit within hours. Every hour of delay between</w:t>
      </w:r>
      <w:r>
        <w:t xml:space="preserve"> </w:t>
      </w:r>
      <w:r>
        <w:rPr>
          <w:iCs/>
          <w:i/>
        </w:rPr>
        <w:t xml:space="preserve">klauzula</w:t>
      </w:r>
      <w:r>
        <w:t xml:space="preserve"> </w:t>
      </w:r>
      <w:r>
        <w:t xml:space="preserve">issuance and</w:t>
      </w:r>
      <w:r>
        <w:t xml:space="preserve"> </w:t>
      </w:r>
      <w:r>
        <w:rPr>
          <w:iCs/>
          <w:i/>
        </w:rPr>
        <w:t xml:space="preserve">wniosek egzekucyjny</w:t>
      </w:r>
      <w:r>
        <w:t xml:space="preserve"> </w:t>
      </w:r>
      <w:r>
        <w:t xml:space="preserve">filing is an hour in which the debtor can transfer funds. The creditor should prepare the</w:t>
      </w:r>
      <w:r>
        <w:t xml:space="preserve"> </w:t>
      </w:r>
      <w:r>
        <w:rPr>
          <w:iCs/>
          <w:i/>
        </w:rPr>
        <w:t xml:space="preserve">wniosek egzekucyjny</w:t>
      </w:r>
      <w:r>
        <w:t xml:space="preserve"> </w:t>
      </w:r>
      <w:r>
        <w:t xml:space="preserve">in draft so it can be filed the same day the</w:t>
      </w:r>
      <w:r>
        <w:t xml:space="preserve"> </w:t>
      </w:r>
      <w:r>
        <w:rPr>
          <w:iCs/>
          <w:i/>
        </w:rPr>
        <w:t xml:space="preserve">klauzula</w:t>
      </w:r>
      <w:r>
        <w:t xml:space="preserve"> </w:t>
      </w:r>
      <w:r>
        <w:t xml:space="preserve">appears.</w:t>
      </w:r>
    </w:p>
    <w:bookmarkEnd w:id="98"/>
    <w:bookmarkStart w:id="99" w:name="Xd74ae16f51540755cc2954c81ba5bf3a4035ee7"/>
    <w:p>
      <w:pPr>
        <w:pStyle w:val="Heading4"/>
      </w:pPr>
      <w:r>
        <w:t xml:space="preserve">5.3.2 If Separate Zabezpieczenie Is Needed, File It Concurrently with EPU — Not After Nakaz</w:t>
      </w:r>
    </w:p>
    <w:p>
      <w:pPr>
        <w:pStyle w:val="FirstParagraph"/>
      </w:pPr>
      <w:r>
        <w:t xml:space="preserve">The separate art. 730</w:t>
      </w:r>
      <w:r>
        <w:t xml:space="preserve"> </w:t>
      </w:r>
      <w:r>
        <w:rPr>
          <w:iCs/>
          <w:i/>
        </w:rPr>
        <w:t xml:space="preserve">zabezpieczenie</w:t>
      </w:r>
      <w:r>
        <w:t xml:space="preserve"> </w:t>
      </w:r>
      <w:r>
        <w:t xml:space="preserve">path is available</w:t>
      </w:r>
      <w:r>
        <w:t xml:space="preserve"> </w:t>
      </w:r>
      <w:r>
        <w:rPr>
          <w:bCs/>
          <w:b/>
        </w:rPr>
        <w:t xml:space="preserve">now</w:t>
      </w:r>
      <w:r>
        <w:t xml:space="preserve">, while the EPU proceeding is still pending. A creditor who waits until after the</w:t>
      </w:r>
      <w:r>
        <w:t xml:space="preserve"> </w:t>
      </w:r>
      <w:r>
        <w:rPr>
          <w:iCs/>
          <w:i/>
        </w:rPr>
        <w:t xml:space="preserve">nakaz</w:t>
      </w:r>
      <w:r>
        <w:t xml:space="preserve"> </w:t>
      </w:r>
      <w:r>
        <w:t xml:space="preserve">issues to consult counsel about protective measures loses precious days. The</w:t>
      </w:r>
      <w:r>
        <w:t xml:space="preserve"> </w:t>
      </w:r>
      <w:r>
        <w:rPr>
          <w:iCs/>
          <w:i/>
        </w:rPr>
        <w:t xml:space="preserve">wniosek o zabezpieczenie</w:t>
      </w:r>
      <w:r>
        <w:t xml:space="preserve"> </w:t>
      </w:r>
      <w:r>
        <w:t xml:space="preserve">should be filed in the</w:t>
      </w:r>
      <w:r>
        <w:t xml:space="preserve"> </w:t>
      </w:r>
      <w:r>
        <w:rPr>
          <w:iCs/>
          <w:i/>
        </w:rPr>
        <w:t xml:space="preserve">sąd rejonowy</w:t>
      </w:r>
      <w:r>
        <w:t xml:space="preserve"> </w:t>
      </w:r>
      <w:r>
        <w:t xml:space="preserve">concurrently with — or even before — the EPU application, so the security proceeding runs on a parallel track. The cost is modest: 100 zł during pending proceedings, or one-quarter of the</w:t>
      </w:r>
      <w:r>
        <w:t xml:space="preserve"> </w:t>
      </w:r>
      <w:r>
        <w:rPr>
          <w:iCs/>
          <w:i/>
        </w:rPr>
        <w:t xml:space="preserve">pozew</w:t>
      </w:r>
      <w:r>
        <w:t xml:space="preserve"> </w:t>
      </w:r>
      <w:r>
        <w:t xml:space="preserve">fee pre-action</w:t>
      </w:r>
      <w:fldSimple w:instr="NOTEREF _Ref_Footnote_1 \h \f">
        <w:r>
          <w:rPr>
            <w:vertAlign w:val="superscript"/>
          </w:rPr>
          <w:t>1</w:t>
        </w:r>
      </w:fldSimple>
      <w:r>
        <w:t xml:space="preserve">. A court-ordered asset freeze enforceable by</w:t>
      </w:r>
      <w:r>
        <w:t xml:space="preserve"> </w:t>
      </w:r>
      <w:r>
        <w:rPr>
          <w:iCs/>
          <w:i/>
        </w:rPr>
        <w:t xml:space="preserve">komornik</w:t>
      </w:r>
      <w:r>
        <w:t xml:space="preserve"> </w:t>
      </w:r>
      <w:r>
        <w:t xml:space="preserve">within one week far outweighs this cost for a creditor with genuine dissipation concerns.</w:t>
      </w:r>
    </w:p>
    <w:p>
      <w:pPr>
        <w:pStyle w:val="BodyText"/>
      </w:pPr>
      <w:r>
        <w:rPr>
          <w:bCs/>
          <w:b/>
        </w:rPr>
        <w:t xml:space="preserve">Table: Available Post-Nakaz Protective Measures — Speed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Measure</w:t>
            </w:r>
          </w:p>
        </w:tc>
        <w:tc>
          <w:tcPr/>
          <w:p>
            <w:pPr>
              <w:pStyle w:val="Compact"/>
              <w:jc w:val="left"/>
            </w:pPr>
            <w:r>
              <w:t xml:space="preserve">Legal Basis</w:t>
            </w:r>
          </w:p>
        </w:tc>
        <w:tc>
          <w:tcPr/>
          <w:p>
            <w:pPr>
              <w:pStyle w:val="Compact"/>
              <w:jc w:val="left"/>
            </w:pPr>
            <w:r>
              <w:t xml:space="preserve">Timeline to Account Freeze</w:t>
            </w:r>
          </w:p>
        </w:tc>
        <w:tc>
          <w:tcPr/>
          <w:p>
            <w:pPr>
              <w:pStyle w:val="Compact"/>
              <w:jc w:val="left"/>
            </w:pPr>
            <w:r>
              <w:t xml:space="preserve">Cost to Creditor</w:t>
            </w:r>
          </w:p>
        </w:tc>
        <w:tc>
          <w:tcPr/>
          <w:p>
            <w:pPr>
              <w:pStyle w:val="Compact"/>
              <w:jc w:val="left"/>
            </w:pPr>
            <w:r>
              <w:t xml:space="preserve">Cross-Border Reach</w:t>
            </w:r>
          </w:p>
        </w:tc>
        <w:tc>
          <w:tcPr/>
          <w:p>
            <w:pPr>
              <w:pStyle w:val="Compact"/>
              <w:jc w:val="left"/>
            </w:pPr>
            <w:r>
              <w:t xml:space="preserve">Key Limitation</w:t>
            </w:r>
          </w:p>
        </w:tc>
      </w:tr>
      <w:tr>
        <w:tc>
          <w:tcPr/>
          <w:p>
            <w:pPr>
              <w:pStyle w:val="Compact"/>
              <w:jc w:val="left"/>
            </w:pPr>
            <w:r>
              <w:t xml:space="preserve">OGNIVO bank seizure via</w:t>
            </w:r>
            <w:r>
              <w:t xml:space="preserve"> </w:t>
            </w:r>
            <w:r>
              <w:rPr>
                <w:iCs/>
                <w:i/>
              </w:rPr>
              <w:t xml:space="preserve">wniosek egzekucyjny</w:t>
            </w:r>
          </w:p>
        </w:tc>
        <w:tc>
          <w:tcPr/>
          <w:p>
            <w:pPr>
              <w:pStyle w:val="Compact"/>
              <w:jc w:val="left"/>
            </w:pPr>
            <w:r>
              <w:t xml:space="preserve">Art. 889–890 KPC + OGNIVO</w:t>
            </w:r>
          </w:p>
        </w:tc>
        <w:tc>
          <w:tcPr/>
          <w:p>
            <w:pPr>
              <w:pStyle w:val="Compact"/>
              <w:jc w:val="left"/>
            </w:pPr>
            <w:r>
              <w:t xml:space="preserve">Hours (same day)</w:t>
            </w:r>
          </w:p>
        </w:tc>
        <w:tc>
          <w:tcPr/>
          <w:p>
            <w:pPr>
              <w:pStyle w:val="Compact"/>
              <w:jc w:val="left"/>
            </w:pPr>
            <w:r>
              <w:t xml:space="preserve">~100–150 zł</w:t>
            </w:r>
            <w:r>
              <w:t xml:space="preserve"> </w:t>
            </w:r>
            <w:r>
              <w:rPr>
                <w:iCs/>
                <w:i/>
              </w:rPr>
              <w:t xml:space="preserve">zaliczka</w:t>
            </w:r>
          </w:p>
        </w:tc>
        <w:tc>
          <w:tcPr/>
          <w:p>
            <w:pPr>
              <w:pStyle w:val="Compact"/>
              <w:jc w:val="left"/>
            </w:pPr>
            <w:r>
              <w:t xml:space="preserve">No — Polish accounts only</w:t>
            </w:r>
          </w:p>
        </w:tc>
        <w:tc>
          <w:tcPr/>
          <w:p>
            <w:pPr>
              <w:pStyle w:val="Compact"/>
              <w:jc w:val="left"/>
            </w:pPr>
            <w:r>
              <w:t xml:space="preserve">Requires</w:t>
            </w:r>
            <w:r>
              <w:t xml:space="preserve"> </w:t>
            </w:r>
            <w:r>
              <w:rPr>
                <w:iCs/>
                <w:i/>
              </w:rPr>
              <w:t xml:space="preserve">klauzula wykonalności</w:t>
            </w:r>
            <w:r>
              <w:t xml:space="preserve">; nakaz must be</w:t>
            </w:r>
            <w:r>
              <w:t xml:space="preserve"> </w:t>
            </w:r>
            <w:r>
              <w:rPr>
                <w:iCs/>
                <w:i/>
              </w:rPr>
              <w:t xml:space="preserve">prawomocny</w:t>
            </w:r>
          </w:p>
        </w:tc>
      </w:tr>
      <w:tr>
        <w:tc>
          <w:tcPr/>
          <w:p>
            <w:pPr>
              <w:pStyle w:val="Compact"/>
              <w:jc w:val="left"/>
            </w:pPr>
            <w:r>
              <w:t xml:space="preserve">Separate art. 730</w:t>
            </w:r>
            <w:r>
              <w:t xml:space="preserve"> </w:t>
            </w:r>
            <w:r>
              <w:rPr>
                <w:iCs/>
                <w:i/>
              </w:rPr>
              <w:t xml:space="preserve">zabezpieczenie</w:t>
            </w:r>
          </w:p>
        </w:tc>
        <w:tc>
          <w:tcPr/>
          <w:p>
            <w:pPr>
              <w:pStyle w:val="Compact"/>
              <w:jc w:val="left"/>
            </w:pPr>
            <w:r>
              <w:t xml:space="preserve">Art. 730–737 KPC</w:t>
            </w:r>
          </w:p>
        </w:tc>
        <w:tc>
          <w:tcPr/>
          <w:p>
            <w:pPr>
              <w:pStyle w:val="Compact"/>
              <w:jc w:val="left"/>
            </w:pPr>
            <w:r>
              <w:t xml:space="preserve">1 week (court) + hours (</w:t>
            </w:r>
            <w:r>
              <w:rPr>
                <w:iCs/>
                <w:i/>
              </w:rPr>
              <w:t xml:space="preserve">komornik</w:t>
            </w:r>
            <w:r>
              <w:t xml:space="preserve">)</w:t>
            </w:r>
          </w:p>
        </w:tc>
        <w:tc>
          <w:tcPr/>
          <w:p>
            <w:pPr>
              <w:pStyle w:val="Compact"/>
              <w:jc w:val="left"/>
            </w:pPr>
            <w:r>
              <w:t xml:space="preserve">100 zł (or 1/4</w:t>
            </w:r>
            <w:r>
              <w:t xml:space="preserve"> </w:t>
            </w:r>
            <w:r>
              <w:rPr>
                <w:iCs/>
                <w:i/>
              </w:rPr>
              <w:t xml:space="preserve">pozew</w:t>
            </w:r>
            <w:r>
              <w:t xml:space="preserve"> </w:t>
            </w:r>
            <w:r>
              <w:t xml:space="preserve">fee) + 300 zł execution</w:t>
            </w:r>
          </w:p>
        </w:tc>
        <w:tc>
          <w:tcPr/>
          <w:p>
            <w:pPr>
              <w:pStyle w:val="Compact"/>
              <w:jc w:val="left"/>
            </w:pPr>
            <w:r>
              <w:t xml:space="preserve">No — Polish execution only</w:t>
            </w:r>
          </w:p>
        </w:tc>
        <w:tc>
          <w:tcPr/>
          <w:p>
            <w:pPr>
              <w:pStyle w:val="Compact"/>
              <w:jc w:val="left"/>
            </w:pPr>
            <w:r>
              <w:t xml:space="preserve">Must prove</w:t>
            </w:r>
            <w:r>
              <w:t xml:space="preserve"> </w:t>
            </w:r>
            <w:r>
              <w:rPr>
                <w:iCs/>
                <w:i/>
              </w:rPr>
              <w:t xml:space="preserve">interes prawny</w:t>
            </w:r>
            <w:r>
              <w:t xml:space="preserve">; barred after</w:t>
            </w:r>
            <w:r>
              <w:t xml:space="preserve"> </w:t>
            </w:r>
            <w:r>
              <w:rPr>
                <w:iCs/>
                <w:i/>
              </w:rPr>
              <w:t xml:space="preserve">tytuł wykonawczy</w:t>
            </w:r>
            <w:r>
              <w:t xml:space="preserve"> </w:t>
            </w:r>
            <w:r>
              <w:t xml:space="preserve">issues for due debts</w:t>
            </w:r>
          </w:p>
        </w:tc>
      </w:tr>
      <w:tr>
        <w:tc>
          <w:tcPr/>
          <w:p>
            <w:pPr>
              <w:pStyle w:val="Compact"/>
              <w:jc w:val="left"/>
            </w:pPr>
            <w:r>
              <w:t xml:space="preserve">EAPO</w:t>
            </w:r>
          </w:p>
        </w:tc>
        <w:tc>
          <w:tcPr/>
          <w:p>
            <w:pPr>
              <w:pStyle w:val="Compact"/>
              <w:jc w:val="left"/>
            </w:pPr>
            <w:r>
              <w:t xml:space="preserve">Regulation (EU) No 655/2014</w:t>
            </w:r>
          </w:p>
        </w:tc>
        <w:tc>
          <w:tcPr/>
          <w:p>
            <w:pPr>
              <w:pStyle w:val="Compact"/>
              <w:jc w:val="left"/>
            </w:pPr>
            <w:r>
              <w:t xml:space="preserve">14 working days (bank implementation)</w:t>
            </w:r>
          </w:p>
        </w:tc>
        <w:tc>
          <w:tcPr/>
          <w:p>
            <w:pPr>
              <w:pStyle w:val="Compact"/>
              <w:jc w:val="left"/>
            </w:pPr>
            <w:r>
              <w:t xml:space="preserve">100 zł application fee</w:t>
            </w:r>
          </w:p>
        </w:tc>
        <w:tc>
          <w:tcPr/>
          <w:p>
            <w:pPr>
              <w:pStyle w:val="Compact"/>
              <w:jc w:val="left"/>
            </w:pPr>
            <w:r>
              <w:t xml:space="preserve">Yes — all EU accounts</w:t>
            </w:r>
          </w:p>
        </w:tc>
        <w:tc>
          <w:tcPr/>
          <w:p>
            <w:pPr>
              <w:pStyle w:val="Compact"/>
              <w:jc w:val="left"/>
            </w:pPr>
            <w:r>
              <w:t xml:space="preserve">Requires cross-border element; cannot overlap with domestic measures</w:t>
            </w:r>
          </w:p>
        </w:tc>
      </w:tr>
    </w:tbl>
    <w:p>
      <w:pPr>
        <w:pStyle w:val="BodyText"/>
      </w:pPr>
      <w:r>
        <w:t xml:space="preserve">The hierarchy is clear. OGNIVO-triggered enforcement is an order of magnitude faster than any</w:t>
      </w:r>
      <w:r>
        <w:t xml:space="preserve"> </w:t>
      </w:r>
      <w:r>
        <w:rPr>
          <w:iCs/>
          <w:i/>
        </w:rPr>
        <w:t xml:space="preserve">zabezpieczenie</w:t>
      </w:r>
      <w:r>
        <w:t xml:space="preserve"> </w:t>
      </w:r>
      <w:r>
        <w:t xml:space="preserve">— but it requires the</w:t>
      </w:r>
      <w:r>
        <w:t xml:space="preserve"> </w:t>
      </w:r>
      <w:r>
        <w:rPr>
          <w:iCs/>
          <w:i/>
        </w:rPr>
        <w:t xml:space="preserve">nakaz</w:t>
      </w:r>
      <w:r>
        <w:t xml:space="preserve"> </w:t>
      </w:r>
      <w:r>
        <w:t xml:space="preserve">to be</w:t>
      </w:r>
      <w:r>
        <w:t xml:space="preserve"> </w:t>
      </w:r>
      <w:r>
        <w:rPr>
          <w:iCs/>
          <w:i/>
        </w:rPr>
        <w:t xml:space="preserve">prawomocny</w:t>
      </w:r>
      <w:r>
        <w:t xml:space="preserve"> </w:t>
      </w:r>
      <w:r>
        <w:t xml:space="preserve">with</w:t>
      </w:r>
      <w:r>
        <w:t xml:space="preserve"> </w:t>
      </w:r>
      <w:r>
        <w:rPr>
          <w:iCs/>
          <w:i/>
        </w:rPr>
        <w:t xml:space="preserve">klauzula</w:t>
      </w:r>
      <w:r>
        <w:t xml:space="preserve">. The separate art. 730 proceeding is the only option operating</w:t>
      </w:r>
      <w:r>
        <w:t xml:space="preserve"> </w:t>
      </w:r>
      <w:r>
        <w:rPr>
          <w:bCs/>
          <w:b/>
        </w:rPr>
        <w:t xml:space="preserve">before</w:t>
      </w:r>
      <w:r>
        <w:t xml:space="preserve"> </w:t>
      </w:r>
      <w:r>
        <w:t xml:space="preserve">finality, yet it requires a court application with evidentiary support and is measured in days. EAPO fills the cross-border gap on a 14-day timeline but presupposes knowledge of foreign accounts. The optimal strategy is sequential: (1) file art. 730</w:t>
      </w:r>
      <w:r>
        <w:t xml:space="preserve"> </w:t>
      </w:r>
      <w:r>
        <w:rPr>
          <w:iCs/>
          <w:i/>
        </w:rPr>
        <w:t xml:space="preserve">zabezpieczenie</w:t>
      </w:r>
      <w:r>
        <w:t xml:space="preserve"> </w:t>
      </w:r>
      <w:r>
        <w:rPr>
          <w:bCs/>
          <w:b/>
        </w:rPr>
        <w:t xml:space="preserve">now</w:t>
      </w:r>
      <w:r>
        <w:t xml:space="preserve">, concurrently with EPU; (2) the instant</w:t>
      </w:r>
      <w:r>
        <w:t xml:space="preserve"> </w:t>
      </w:r>
      <w:r>
        <w:rPr>
          <w:iCs/>
          <w:i/>
        </w:rPr>
        <w:t xml:space="preserve">klauzula</w:t>
      </w:r>
      <w:r>
        <w:t xml:space="preserve"> </w:t>
      </w:r>
      <w:r>
        <w:t xml:space="preserve">attaches, file the</w:t>
      </w:r>
      <w:r>
        <w:t xml:space="preserve"> </w:t>
      </w:r>
      <w:r>
        <w:rPr>
          <w:iCs/>
          <w:i/>
        </w:rPr>
        <w:t xml:space="preserve">wniosek egzekucyjny</w:t>
      </w:r>
      <w:r>
        <w:t xml:space="preserve"> </w:t>
      </w:r>
      <w:r>
        <w:t xml:space="preserve">to trigger OGNIVO; and (3) investigate Dutch accounts to determine whether EAPO is worth pursuing.</w:t>
      </w:r>
    </w:p>
    <w:bookmarkEnd w:id="99"/>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Verdict Partners. https://verdictpartners.pl/en/foreigners/debt-recovery-in-poland/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Kancelaria Restrukturyzacyjna KPR. https://kpr-restrukturyzacja.pl/art-824-kpc-kiedy-stwierdza-sie-bezskutecznosc-egzekucji-komorniczej/</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Serwis Newsowy. https://wschodstudio.pl/blog/art-824-kpc-kompleksowy-przewodnik-po-umorzeniu-postepowania-egzekucyjnego-z-urzedu</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hww.pl. https://hww.pl/publikacje/umorzenie-postepowania-egzekucyjnego-co-dalej/</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lomza.so.gov.pl. https://lomza.so.gov.pl/plik.php?id=893</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ktzr.pl. https://www.ktzr.pl/niecelowa-egzekucja-koszty/</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jablonski-restrukturyzacja.pl. https://jablonski-restrukturyzacja.pl/wyjawienie-majatku-i-wykaz-majatku</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DCMR LEGAL. https://www.dcmrlegal.com/en/post/limitation-periods-in-poland-explained-when-is-it-too-late-to-claim-your-money</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INSTYTUT WYMIARU SPRAWIEDLIWOŚCI. https://iws.gov.pl/wp-content/uploads/2025/09/Marek-Jaslikowski-Instytucja-wyjawienia-majatku-w-praktyce-sadow-powszechnych-87.pdf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https://www.komorniknaslasku.pl/postepowanie-zabezpieczajace/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https://jastrzebie-komornik.pl/postepowanie-egzekucyjne/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INSTYTUT WYMIARU SPRAWIEDLIWOŚCI. https://iws.gov.pl/wp-content/uploads/PDF/2011/PRAWO%20PRYWATNE/AR_Warci%C5%84ski-M-Zabezpieczenie-maj%C4%85tkowe-2011.pdf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Help Hero. https://helphero.pl/blog/wniosek-o-wyjawienie-majatku-jak-go-zlozyc/</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ArsLege. https://arslege.pl/kodeks-postepowania-cywilnego/k14/s722/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United Nations Office on Drugs and Crime. https://www.unodc.org/cld/uploads/res/uncac/LegalLibrary/Poland/Laws/Criminal%20Code%20(Poland).pdf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Białe kołnierzyki. https://bialekolnierzyki.pl/en/2025/10/31/avoiding-execution-by-a-debtor-possessor/</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The Global Legal Post. https://www.globallegalpost.com/lawoverborders/enforcement-of-judgments-law-guide-294140083/poland-market-insights-msi-1417600966</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Global Compliance News. https://www.globalcompliancenews.com/white-collar-crime/corporate-liability-in-poland/</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cplj.org. https://www.cplj.org/publications/13-2-comparative-legal-perspective-on-the-effective-enforcement-of-creditors-rights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Chambers and Partners. https://chambers.com/articles/poland-enforcement-of-foreign-judgements-in-poland</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criminallawpoland.com. https://criminallawpoland.com/specialization/capital-fraud/</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codozasady.pl. https://codozasady.pl/en/p/identifying-and-responding-to-economic-fraud</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ecovis.com. https://www.ecovis.com/poland/blog/enforceability-of-foreign-court-judgments-in-poland/</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Dudkowiak Kopeć &amp; Putyra. https://www.dudkowiak.com/debt-collection-in-poland/enforcement-in-poland.html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European e-Justice Portal. https://e-justice.europa.eu/topics/taking-legal-action/european-judicial-atlas-civil-matters/european-account-preservation-order/pl_en</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adwokat Piotr Bosowski. https://bosowski.pl/oferta/prawo-bankowe/egzekucja-z-rachunku-bankowego/</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mamdlugi.pl. https://mamdlugi.pl/ognivo-tutaj-komornik-zajmuje-rachunek-bankowy/</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Bankier.pl. https://www.bankier.pl/smart/co-to-jest-system-ognivo-i-jak-dziala</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ArsLege. https://arslege.pl/kodeks-postepowania-cywilnego/k14/s741/</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https://komornikbialystok.com.pl/rozwiazania-informatyczne</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Komornik Sądowy Jarosław Adamowicz. https://komornikwradomiu.pl/ognivo/</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Zdrój. https://komornikmika.pl/zwrot-podatku-pit-zajecie-komornicze.html</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PITax.pl. https://www.pitax.pl/wiedza/aktualnosci/zwrot-podatku-pit-a-zajecie-komornicze-czy-komornik-moze-zabrac-nadplate/</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Podatkowy Referat. https://podatkowyreferat.online/2025/12/19/wniosek-elektroniczny-ekw-u1a-dostep-do-wyszukiwania-ksiag-wieczystych/</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pwrestrukturyzacja.pl. https://pwrestrukturyzacja.pl/blog/jak-uniknac-odebrania-zwrotu-podatku-przez-komornika</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http://komornik-wroclaw.org.pl/dokument,CEPIK</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komornikzamosc.com.pl. https://komornikzamosc.com.pl/cepik-2/</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System Analizy Orzeczeń Sądowych - SAOS. https://www.saos.org.pl/judgments/content/224965.html</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Poradnik Przedsiębiorcy. https://poradnikprzedsiebiorcy.pl/-co-oznacza-wysluchanie-dluznika-w-postepowaniu-egzekucyjnym</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jablonski-restrukturyzacja.pl. https://jablonski-restrukturyzacja.pl/kiedy-stwierdza-sie-bezskutecznosc-egzekucji-komorniczej</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Komornik Sądowy Przemysław Mrowiec. https://komornikgliwice.com/umorzenie-postepowania-egzekucyjnego-na-wniosek-wierzyciela-na-czym-polega</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Wnioskomat. https://wnioskomat.com/blog/czy-mozliwe-jest-umorzenie-egzekucji-komorniczej</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NEX Biuro Rachunkowe. https://www.nex.katowice.pl/post/umorzenie-post%C4%99powania-egzekucyjnego</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sejm.gov.pl. https://orka2.sejm.gov.pl/iz6.nsf/main/1d12438c</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Wydział Prawa i Administracji Uniwersytetu Gdańskiego. https://prawo.ug.edu.pl/sites/default/files/_nodes/strona-pia/33461/files/36szczurek.pdf</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https://orzeczenia.szczecin.so.gov.pl/content/$N/155515000001003_II_Cz_000139_2014_Uz_2014-03-20_001</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eWindykacja24.pl. https://www.ewindykacja24.pl/umorzenie-egzekucji-a-koszty-komornicze-1094-m.html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Komornik Siedlce Katarzyna Bogutyn. https://siedlcekomornik.pl/wiedza/ile-kosztuje-komornik/</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In Gremio. https://ingremio.org/2025/in-gremio-178/wierzyciel-w-postepowaniu-egzekucyjnym-koszty-egzekucji/</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sejm.gov.pl. https://api.sejm.gov.pl/eli/acts/DU/2024/377/text.html</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https://komornikmichalski.pl/praktyka/wierzyciel-sklada-zaliczki-na-wydatki-w-postepowaniu-egzekucyjnym</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INFORLEX. https://www.inforlex.pl/download/uzasadnienia_pdf,DZU,2019,236,2363-u.pdf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Currenda. https://www.currenda.pl/wp-content/uploads/2024/04/Ognivo-konfguracja-i-wysylka.pdf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vademecumpodatnika.pl. http://www.vademecumpodatnika.pl/artykul_narzedziowa,891,0,14373,podatkowe-skutki-umorzenia-postepowania-egzekucyjnego.html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Radar Prawny. https://biuletyn.piszcz.pl/dochodzenie-roszcze-od-dunika-zagranicznego/</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direct.money.pl. https://direct.money.pl/artykuly/porady/zajecie-komornicze-rachunku---czy-pomoze,108,0,1280620</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mamdlugi.pl. https://mamdlugi.pl/jak-wyglada-blokada-konta-bankowego-przez-komornika/</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law Firm, LIVROS Accounting Office. https://www.livros-kancelaria.pl/blog/wniosek-o-wszczecie-egzekucji/</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Kancelaria Komornika Sądowego Krzysztofa Łuczyszyna. https://luczyszyn.komornik.pl/egzekucja-na-podstawie-tytulu-zagranicznego/</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Komornik Sądowy przy Sądzie Rejonowym w Mielcu Tomasz Gruszecki. https://www.mielec-komornik.pl/informacje-dla-wierzyciela/</w:t>
      </w:r>
      <w:bookmarkEnd w:id="1006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2026-06-03T20:40:59Z</dcterms:created>
  <dcterms:modified xsi:type="dcterms:W3CDTF">2026-06-03T20:40:59Z</dcterms:modified>
</cp:coreProperties>
</file>

<file path=docProps/custom.xml><?xml version="1.0" encoding="utf-8"?>
<Properties xmlns="http://schemas.openxmlformats.org/officeDocument/2006/custom-properties" xmlns:vt="http://schemas.openxmlformats.org/officeDocument/2006/docPropsVTypes"/>
</file>