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2327A">
      <w:pPr>
        <w:jc w:val="center"/>
        <w:rPr>
          <w:rFonts w:eastAsia="黑体"/>
          <w:sz w:val="44"/>
        </w:rPr>
      </w:pPr>
      <w:r>
        <w:rPr>
          <w:rFonts w:hint="eastAsia" w:eastAsia="黑体"/>
          <w:sz w:val="44"/>
        </w:rPr>
        <w:t>研究生课程考试成绩单</w:t>
      </w:r>
    </w:p>
    <w:p w14:paraId="37E745F1">
      <w:pPr>
        <w:jc w:val="center"/>
        <w:rPr>
          <w:rFonts w:eastAsia="黑体"/>
          <w:sz w:val="44"/>
        </w:rPr>
      </w:pPr>
      <w:r>
        <w:rPr>
          <w:rFonts w:hint="eastAsia" w:eastAsia="黑体"/>
          <w:sz w:val="44"/>
        </w:rPr>
        <w:t>（试卷封面）</w:t>
      </w:r>
    </w:p>
    <w:p w14:paraId="3E72FD4D">
      <w:pPr>
        <w:jc w:val="center"/>
        <w:rPr>
          <w:rFonts w:eastAsia="黑体"/>
          <w:sz w:val="44"/>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3236"/>
        <w:gridCol w:w="363"/>
        <w:gridCol w:w="1076"/>
        <w:gridCol w:w="722"/>
        <w:gridCol w:w="720"/>
        <w:gridCol w:w="674"/>
      </w:tblGrid>
      <w:tr w14:paraId="64DD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013" w:type="pct"/>
            <w:vAlign w:val="center"/>
          </w:tcPr>
          <w:p w14:paraId="5C6C4924">
            <w:pPr>
              <w:jc w:val="center"/>
              <w:rPr>
                <w:sz w:val="24"/>
              </w:rPr>
            </w:pPr>
            <w:r>
              <w:rPr>
                <w:rFonts w:hint="eastAsia"/>
                <w:sz w:val="24"/>
              </w:rPr>
              <w:t>院    系</w:t>
            </w:r>
          </w:p>
        </w:tc>
        <w:tc>
          <w:tcPr>
            <w:tcW w:w="1900" w:type="pct"/>
            <w:vAlign w:val="center"/>
          </w:tcPr>
          <w:p w14:paraId="413EBF92">
            <w:pPr>
              <w:jc w:val="center"/>
              <w:rPr>
                <w:sz w:val="24"/>
              </w:rPr>
            </w:pPr>
            <w:r>
              <w:rPr>
                <w:rFonts w:hint="eastAsia"/>
                <w:color w:val="FF0000"/>
                <w:sz w:val="24"/>
                <w:highlight w:val="yellow"/>
              </w:rPr>
              <w:t>填写院系信息</w:t>
            </w:r>
          </w:p>
        </w:tc>
        <w:tc>
          <w:tcPr>
            <w:tcW w:w="845" w:type="pct"/>
            <w:gridSpan w:val="2"/>
            <w:vAlign w:val="center"/>
          </w:tcPr>
          <w:p w14:paraId="1F48278C">
            <w:pPr>
              <w:jc w:val="center"/>
              <w:rPr>
                <w:sz w:val="24"/>
              </w:rPr>
            </w:pPr>
            <w:r>
              <w:rPr>
                <w:rFonts w:hint="eastAsia"/>
                <w:sz w:val="24"/>
              </w:rPr>
              <w:t>专业</w:t>
            </w:r>
          </w:p>
        </w:tc>
        <w:tc>
          <w:tcPr>
            <w:tcW w:w="1242" w:type="pct"/>
            <w:gridSpan w:val="3"/>
            <w:vAlign w:val="center"/>
          </w:tcPr>
          <w:p w14:paraId="2E21E1BA">
            <w:pPr>
              <w:jc w:val="center"/>
              <w:rPr>
                <w:sz w:val="24"/>
              </w:rPr>
            </w:pPr>
            <w:r>
              <w:rPr>
                <w:rFonts w:hint="eastAsia"/>
                <w:color w:val="FF0000"/>
                <w:sz w:val="24"/>
                <w:highlight w:val="yellow"/>
              </w:rPr>
              <w:t>专心信息</w:t>
            </w:r>
          </w:p>
        </w:tc>
      </w:tr>
      <w:tr w14:paraId="787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013" w:type="pct"/>
            <w:vAlign w:val="center"/>
          </w:tcPr>
          <w:p w14:paraId="1FD50327">
            <w:pPr>
              <w:jc w:val="center"/>
              <w:rPr>
                <w:sz w:val="24"/>
              </w:rPr>
            </w:pPr>
            <w:r>
              <w:rPr>
                <w:rFonts w:hint="eastAsia"/>
                <w:sz w:val="24"/>
              </w:rPr>
              <w:t>学生姓名</w:t>
            </w:r>
          </w:p>
        </w:tc>
        <w:tc>
          <w:tcPr>
            <w:tcW w:w="1900" w:type="pct"/>
            <w:vAlign w:val="center"/>
          </w:tcPr>
          <w:p w14:paraId="49E6C0FD">
            <w:pPr>
              <w:jc w:val="center"/>
              <w:rPr>
                <w:sz w:val="24"/>
              </w:rPr>
            </w:pPr>
            <w:r>
              <w:rPr>
                <w:rFonts w:hint="eastAsia"/>
                <w:color w:val="FF0000"/>
                <w:sz w:val="24"/>
                <w:highlight w:val="yellow"/>
              </w:rPr>
              <w:t>填写姓名</w:t>
            </w:r>
          </w:p>
        </w:tc>
        <w:tc>
          <w:tcPr>
            <w:tcW w:w="845" w:type="pct"/>
            <w:gridSpan w:val="2"/>
            <w:vAlign w:val="center"/>
          </w:tcPr>
          <w:p w14:paraId="3486913D">
            <w:pPr>
              <w:jc w:val="center"/>
              <w:rPr>
                <w:sz w:val="24"/>
              </w:rPr>
            </w:pPr>
            <w:r>
              <w:rPr>
                <w:rFonts w:hint="eastAsia"/>
                <w:sz w:val="24"/>
              </w:rPr>
              <w:t>学号</w:t>
            </w:r>
            <w:bookmarkStart w:id="0" w:name="_GoBack"/>
            <w:bookmarkEnd w:id="0"/>
          </w:p>
        </w:tc>
        <w:tc>
          <w:tcPr>
            <w:tcW w:w="1242" w:type="pct"/>
            <w:gridSpan w:val="3"/>
            <w:vAlign w:val="center"/>
          </w:tcPr>
          <w:p w14:paraId="297E9725">
            <w:pPr>
              <w:jc w:val="center"/>
              <w:rPr>
                <w:sz w:val="24"/>
              </w:rPr>
            </w:pPr>
            <w:r>
              <w:rPr>
                <w:rFonts w:hint="eastAsia"/>
                <w:color w:val="FF0000"/>
                <w:sz w:val="24"/>
                <w:highlight w:val="yellow"/>
              </w:rPr>
              <w:t>填写学号</w:t>
            </w:r>
          </w:p>
        </w:tc>
      </w:tr>
      <w:tr w14:paraId="7B0B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013" w:type="pct"/>
            <w:vAlign w:val="center"/>
          </w:tcPr>
          <w:p w14:paraId="5CA432D9">
            <w:pPr>
              <w:jc w:val="center"/>
              <w:rPr>
                <w:sz w:val="24"/>
              </w:rPr>
            </w:pPr>
            <w:r>
              <w:rPr>
                <w:rFonts w:hint="eastAsia"/>
                <w:sz w:val="24"/>
              </w:rPr>
              <w:t>课程名称</w:t>
            </w:r>
          </w:p>
        </w:tc>
        <w:tc>
          <w:tcPr>
            <w:tcW w:w="3987" w:type="pct"/>
            <w:gridSpan w:val="6"/>
            <w:vAlign w:val="center"/>
          </w:tcPr>
          <w:p w14:paraId="223F8CDF">
            <w:pPr>
              <w:jc w:val="center"/>
              <w:rPr>
                <w:b/>
                <w:sz w:val="24"/>
              </w:rPr>
            </w:pPr>
            <w:r>
              <w:rPr>
                <w:rFonts w:hint="eastAsia"/>
                <w:b/>
                <w:sz w:val="28"/>
              </w:rPr>
              <w:t>知识图谱</w:t>
            </w:r>
          </w:p>
        </w:tc>
      </w:tr>
      <w:tr w14:paraId="07D5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013" w:type="pct"/>
            <w:vAlign w:val="center"/>
          </w:tcPr>
          <w:p w14:paraId="155901CD">
            <w:pPr>
              <w:jc w:val="center"/>
              <w:rPr>
                <w:sz w:val="24"/>
              </w:rPr>
            </w:pPr>
            <w:r>
              <w:rPr>
                <w:rFonts w:hint="eastAsia"/>
                <w:sz w:val="24"/>
              </w:rPr>
              <w:t>授课时间</w:t>
            </w:r>
          </w:p>
        </w:tc>
        <w:tc>
          <w:tcPr>
            <w:tcW w:w="2113" w:type="pct"/>
            <w:gridSpan w:val="2"/>
            <w:vAlign w:val="center"/>
          </w:tcPr>
          <w:p w14:paraId="12A6D264">
            <w:pPr>
              <w:jc w:val="center"/>
              <w:rPr>
                <w:sz w:val="24"/>
              </w:rPr>
            </w:pPr>
            <w:r>
              <w:rPr>
                <w:color w:val="FF0000"/>
                <w:sz w:val="24"/>
                <w:highlight w:val="yellow"/>
              </w:rPr>
              <w:t>202</w:t>
            </w:r>
            <w:r>
              <w:rPr>
                <w:rFonts w:hint="eastAsia"/>
                <w:color w:val="FF0000"/>
                <w:sz w:val="24"/>
                <w:highlight w:val="yellow"/>
              </w:rPr>
              <w:t>6年3月至</w:t>
            </w:r>
            <w:r>
              <w:rPr>
                <w:color w:val="FF0000"/>
                <w:sz w:val="24"/>
                <w:highlight w:val="yellow"/>
              </w:rPr>
              <w:t>202</w:t>
            </w:r>
            <w:r>
              <w:rPr>
                <w:rFonts w:hint="eastAsia"/>
                <w:color w:val="FF0000"/>
                <w:sz w:val="24"/>
                <w:highlight w:val="yellow"/>
              </w:rPr>
              <w:t>5年</w:t>
            </w:r>
            <w:r>
              <w:rPr>
                <w:color w:val="FF0000"/>
                <w:sz w:val="24"/>
                <w:highlight w:val="yellow"/>
              </w:rPr>
              <w:t>5</w:t>
            </w:r>
            <w:r>
              <w:rPr>
                <w:rFonts w:hint="eastAsia"/>
                <w:color w:val="FF0000"/>
                <w:sz w:val="24"/>
                <w:highlight w:val="yellow"/>
              </w:rPr>
              <w:t>月</w:t>
            </w:r>
          </w:p>
        </w:tc>
        <w:tc>
          <w:tcPr>
            <w:tcW w:w="632" w:type="pct"/>
            <w:vAlign w:val="center"/>
          </w:tcPr>
          <w:p w14:paraId="24E213A8">
            <w:pPr>
              <w:jc w:val="center"/>
              <w:rPr>
                <w:sz w:val="24"/>
              </w:rPr>
            </w:pPr>
            <w:r>
              <w:rPr>
                <w:rFonts w:hint="eastAsia"/>
                <w:sz w:val="24"/>
              </w:rPr>
              <w:t>周学时</w:t>
            </w:r>
          </w:p>
        </w:tc>
        <w:tc>
          <w:tcPr>
            <w:tcW w:w="424" w:type="pct"/>
            <w:vAlign w:val="center"/>
          </w:tcPr>
          <w:p w14:paraId="1018D8E5">
            <w:pPr>
              <w:jc w:val="center"/>
              <w:rPr>
                <w:sz w:val="24"/>
              </w:rPr>
            </w:pPr>
            <w:r>
              <w:rPr>
                <w:rFonts w:hint="eastAsia"/>
                <w:sz w:val="24"/>
              </w:rPr>
              <w:t>3</w:t>
            </w:r>
          </w:p>
        </w:tc>
        <w:tc>
          <w:tcPr>
            <w:tcW w:w="423" w:type="pct"/>
            <w:vAlign w:val="center"/>
          </w:tcPr>
          <w:p w14:paraId="244579E6">
            <w:pPr>
              <w:jc w:val="center"/>
              <w:rPr>
                <w:sz w:val="24"/>
              </w:rPr>
            </w:pPr>
            <w:r>
              <w:rPr>
                <w:rFonts w:hint="eastAsia"/>
                <w:sz w:val="24"/>
              </w:rPr>
              <w:t>学分</w:t>
            </w:r>
          </w:p>
        </w:tc>
        <w:tc>
          <w:tcPr>
            <w:tcW w:w="395" w:type="pct"/>
            <w:vAlign w:val="center"/>
          </w:tcPr>
          <w:p w14:paraId="18622295">
            <w:pPr>
              <w:jc w:val="center"/>
              <w:rPr>
                <w:sz w:val="24"/>
              </w:rPr>
            </w:pPr>
            <w:r>
              <w:rPr>
                <w:rFonts w:hint="eastAsia"/>
                <w:sz w:val="24"/>
              </w:rPr>
              <w:t>2.0</w:t>
            </w:r>
          </w:p>
        </w:tc>
      </w:tr>
      <w:tr w14:paraId="65F43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7" w:hRule="atLeast"/>
        </w:trPr>
        <w:tc>
          <w:tcPr>
            <w:tcW w:w="1013" w:type="pct"/>
            <w:vAlign w:val="center"/>
          </w:tcPr>
          <w:p w14:paraId="1FD7AB71">
            <w:pPr>
              <w:spacing w:line="312" w:lineRule="auto"/>
              <w:jc w:val="center"/>
              <w:rPr>
                <w:sz w:val="24"/>
              </w:rPr>
            </w:pPr>
            <w:r>
              <w:rPr>
                <w:rFonts w:hint="eastAsia"/>
                <w:sz w:val="24"/>
              </w:rPr>
              <w:t>简</w:t>
            </w:r>
          </w:p>
          <w:p w14:paraId="2FD8C2A7">
            <w:pPr>
              <w:spacing w:line="312" w:lineRule="auto"/>
              <w:jc w:val="center"/>
              <w:rPr>
                <w:sz w:val="24"/>
              </w:rPr>
            </w:pPr>
            <w:r>
              <w:rPr>
                <w:rFonts w:hint="eastAsia"/>
                <w:sz w:val="24"/>
              </w:rPr>
              <w:t>要</w:t>
            </w:r>
          </w:p>
          <w:p w14:paraId="29B047C7">
            <w:pPr>
              <w:spacing w:line="312" w:lineRule="auto"/>
              <w:jc w:val="center"/>
              <w:rPr>
                <w:sz w:val="24"/>
              </w:rPr>
            </w:pPr>
            <w:r>
              <w:rPr>
                <w:rFonts w:hint="eastAsia"/>
                <w:sz w:val="24"/>
              </w:rPr>
              <w:t>评</w:t>
            </w:r>
          </w:p>
          <w:p w14:paraId="6ABE5F3A">
            <w:pPr>
              <w:spacing w:line="312" w:lineRule="auto"/>
              <w:jc w:val="center"/>
              <w:rPr>
                <w:sz w:val="24"/>
              </w:rPr>
            </w:pPr>
            <w:r>
              <w:rPr>
                <w:rFonts w:hint="eastAsia"/>
                <w:sz w:val="24"/>
              </w:rPr>
              <w:t>语</w:t>
            </w:r>
          </w:p>
        </w:tc>
        <w:tc>
          <w:tcPr>
            <w:tcW w:w="3987" w:type="pct"/>
            <w:gridSpan w:val="6"/>
            <w:vAlign w:val="center"/>
          </w:tcPr>
          <w:p w14:paraId="24582E48">
            <w:pPr>
              <w:rPr>
                <w:sz w:val="24"/>
              </w:rPr>
            </w:pPr>
            <w:r>
              <w:rPr>
                <w:rFonts w:hint="eastAsia"/>
                <w:color w:val="FF0000"/>
                <w:sz w:val="24"/>
                <w:highlight w:val="yellow"/>
              </w:rPr>
              <w:t>请大家这里给出报告的摘要内容。</w:t>
            </w:r>
          </w:p>
        </w:tc>
      </w:tr>
      <w:tr w14:paraId="72DB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013" w:type="pct"/>
            <w:vAlign w:val="center"/>
          </w:tcPr>
          <w:p w14:paraId="65E62E94">
            <w:pPr>
              <w:jc w:val="center"/>
              <w:rPr>
                <w:sz w:val="24"/>
              </w:rPr>
            </w:pPr>
            <w:r>
              <w:rPr>
                <w:rFonts w:hint="eastAsia"/>
                <w:sz w:val="24"/>
              </w:rPr>
              <w:t>考核论题</w:t>
            </w:r>
          </w:p>
        </w:tc>
        <w:tc>
          <w:tcPr>
            <w:tcW w:w="3987" w:type="pct"/>
            <w:gridSpan w:val="6"/>
            <w:vAlign w:val="center"/>
          </w:tcPr>
          <w:p w14:paraId="4A95E0BF">
            <w:pPr>
              <w:rPr>
                <w:sz w:val="24"/>
              </w:rPr>
            </w:pPr>
            <w:r>
              <w:rPr>
                <w:rFonts w:hint="eastAsia"/>
                <w:color w:val="FF0000"/>
                <w:sz w:val="24"/>
                <w:highlight w:val="yellow"/>
              </w:rPr>
              <w:t>填写报告题目</w:t>
            </w:r>
          </w:p>
        </w:tc>
      </w:tr>
      <w:tr w14:paraId="1B7C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13" w:type="pct"/>
            <w:vAlign w:val="center"/>
          </w:tcPr>
          <w:p w14:paraId="7706D94B">
            <w:pPr>
              <w:jc w:val="center"/>
              <w:rPr>
                <w:sz w:val="24"/>
              </w:rPr>
            </w:pPr>
            <w:r>
              <w:rPr>
                <w:rFonts w:hint="eastAsia"/>
                <w:sz w:val="24"/>
              </w:rPr>
              <w:t>总评成绩</w:t>
            </w:r>
          </w:p>
          <w:p w14:paraId="5CCAF6E0">
            <w:pPr>
              <w:jc w:val="center"/>
              <w:rPr>
                <w:spacing w:val="-6"/>
                <w:sz w:val="24"/>
              </w:rPr>
            </w:pPr>
            <w:r>
              <w:rPr>
                <w:rFonts w:hint="eastAsia"/>
                <w:spacing w:val="-6"/>
                <w:sz w:val="24"/>
              </w:rPr>
              <w:t>（含平时成绩）</w:t>
            </w:r>
          </w:p>
        </w:tc>
        <w:tc>
          <w:tcPr>
            <w:tcW w:w="3987" w:type="pct"/>
            <w:gridSpan w:val="6"/>
            <w:vAlign w:val="center"/>
          </w:tcPr>
          <w:p w14:paraId="716DC71D">
            <w:pPr>
              <w:jc w:val="center"/>
              <w:rPr>
                <w:sz w:val="24"/>
              </w:rPr>
            </w:pPr>
          </w:p>
        </w:tc>
      </w:tr>
      <w:tr w14:paraId="743F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13" w:type="pct"/>
            <w:vAlign w:val="center"/>
          </w:tcPr>
          <w:p w14:paraId="15EA8F46">
            <w:pPr>
              <w:jc w:val="center"/>
              <w:rPr>
                <w:sz w:val="24"/>
              </w:rPr>
            </w:pPr>
            <w:r>
              <w:rPr>
                <w:rFonts w:hint="eastAsia"/>
                <w:sz w:val="24"/>
              </w:rPr>
              <w:t>备注</w:t>
            </w:r>
          </w:p>
        </w:tc>
        <w:tc>
          <w:tcPr>
            <w:tcW w:w="3987" w:type="pct"/>
            <w:gridSpan w:val="6"/>
            <w:vAlign w:val="center"/>
          </w:tcPr>
          <w:p w14:paraId="62871BBD">
            <w:pPr>
              <w:jc w:val="center"/>
              <w:rPr>
                <w:sz w:val="24"/>
              </w:rPr>
            </w:pPr>
          </w:p>
        </w:tc>
      </w:tr>
    </w:tbl>
    <w:p w14:paraId="558EEFF2">
      <w:pPr>
        <w:spacing w:line="312" w:lineRule="auto"/>
        <w:ind w:firstLine="5280" w:firstLineChars="2200"/>
        <w:rPr>
          <w:sz w:val="24"/>
          <w:u w:val="single"/>
        </w:rPr>
      </w:pPr>
      <w:r>
        <w:rPr>
          <w:rFonts w:hint="eastAsia"/>
          <w:sz w:val="24"/>
        </w:rPr>
        <w:t>任课教师签名：</w:t>
      </w:r>
      <w:r>
        <w:rPr>
          <w:rFonts w:hint="eastAsia"/>
          <w:sz w:val="24"/>
          <w:u w:val="single"/>
        </w:rPr>
        <w:t xml:space="preserve">           </w:t>
      </w:r>
    </w:p>
    <w:p w14:paraId="67980907">
      <w:pPr>
        <w:spacing w:line="312" w:lineRule="auto"/>
        <w:ind w:firstLine="5280" w:firstLineChars="2200"/>
        <w:rPr>
          <w:sz w:val="24"/>
        </w:rPr>
      </w:pPr>
      <w:r>
        <w:rPr>
          <w:rFonts w:hint="eastAsia"/>
          <w:sz w:val="24"/>
        </w:rPr>
        <w:t xml:space="preserve">日期： </w:t>
      </w:r>
    </w:p>
    <w:p w14:paraId="4E9F43E2">
      <w:pPr>
        <w:widowControl/>
        <w:jc w:val="left"/>
      </w:pPr>
      <w:r>
        <w:br w:type="page"/>
      </w:r>
    </w:p>
    <w:p w14:paraId="4EFC15FC">
      <w:pPr>
        <w:pStyle w:val="5"/>
        <w:adjustRightInd w:val="0"/>
        <w:snapToGrid w:val="0"/>
        <w:spacing w:before="624" w:beforeLines="200"/>
        <w:jc w:val="center"/>
        <w:rPr>
          <w:color w:val="FF0000"/>
          <w:bdr w:val="single" w:color="FF0000" w:sz="4" w:space="0"/>
        </w:rPr>
      </w:pPr>
      <w:r>
        <w:rPr>
          <w:rFonts w:hint="eastAsia"/>
          <w:sz w:val="44"/>
          <w:szCs w:val="44"/>
        </w:rPr>
        <w:t>报告题目</w:t>
      </w:r>
    </w:p>
    <w:p w14:paraId="37E43911">
      <w:pPr>
        <w:pStyle w:val="6"/>
        <w:adjustRightInd w:val="0"/>
        <w:snapToGrid w:val="0"/>
        <w:spacing w:before="156" w:beforeLines="50" w:after="156" w:afterLines="50" w:line="280" w:lineRule="atLeast"/>
        <w:jc w:val="center"/>
      </w:pPr>
      <w:r>
        <w:rPr>
          <w:rFonts w:hint="eastAsia"/>
        </w:rPr>
        <w:t>作者</w:t>
      </w:r>
    </w:p>
    <w:p w14:paraId="496E16D2">
      <w:pPr>
        <w:pStyle w:val="7"/>
        <w:ind w:left="105" w:hanging="105"/>
        <w:jc w:val="center"/>
        <w:rPr>
          <w:sz w:val="15"/>
          <w:szCs w:val="15"/>
        </w:rPr>
      </w:pPr>
      <w:r>
        <w:rPr>
          <w:rFonts w:hint="eastAsia"/>
          <w:sz w:val="15"/>
          <w:szCs w:val="15"/>
        </w:rPr>
        <w:t>院系</w:t>
      </w:r>
    </w:p>
    <w:p w14:paraId="1F6E415F">
      <w:pPr>
        <w:pStyle w:val="7"/>
        <w:ind w:left="105" w:hanging="105"/>
        <w:jc w:val="center"/>
        <w:rPr>
          <w:sz w:val="15"/>
          <w:szCs w:val="15"/>
        </w:rPr>
      </w:pPr>
      <w:r>
        <w:rPr>
          <w:rFonts w:hint="eastAsia"/>
          <w:sz w:val="15"/>
          <w:szCs w:val="15"/>
        </w:rPr>
        <w:t>联系邮件和电话</w:t>
      </w:r>
    </w:p>
    <w:p w14:paraId="63CE8D23">
      <w:pPr>
        <w:pStyle w:val="7"/>
        <w:spacing w:after="249" w:afterLines="80"/>
        <w:ind w:left="105" w:hanging="105"/>
        <w:jc w:val="center"/>
        <w:rPr>
          <w:sz w:val="15"/>
          <w:szCs w:val="15"/>
        </w:rPr>
      </w:pPr>
    </w:p>
    <w:p w14:paraId="06095754">
      <w:pPr>
        <w:pStyle w:val="12"/>
        <w:rPr>
          <w:rFonts w:eastAsia="宋体"/>
          <w:snapToGrid/>
          <w:szCs w:val="18"/>
        </w:rPr>
      </w:pPr>
      <w:r>
        <w:t>摘  要</w:t>
        <w:tab/>
        <w:t>本文设计并实现了一个面向影视领域的知识图谱系统，完整覆盖了知识图谱构建的五个核心环节：知识表示与建模、知识图谱构建、知识融合、知识存储和智能应用。系统以豆瓣电影Top250为数据源，采用Scrapy框架进行数据爬取，通过基于规则的实体识别和关系抽取技术获取结构化知识；使用Neo4j图数据库进行知识存储，并设计了基于douban_id的实体对齐和CASE多值融合策略；通过Cypher查询语言实现了合作关系（COLLABORATED_WITH）和电影相似度（SIMILAR_TO）的知识推理。在此基础上，开发了基于Flask和D3.js的Web可视化系统，提供力导向图探索、多维搜索、电影推荐和关系路径分析等智能应用。最终构建的知识图谱包含157部电影、128位人物、21种类型，共计896条语义关系，验证了知识图谱技术在影视领域的应用价值。</w:t>
      </w:r>
    </w:p>
    <w:p w14:paraId="2F67DC4D">
      <w:pPr>
        <w:pStyle w:val="13"/>
        <w:ind w:left="772" w:hanging="772"/>
        <w:rPr>
          <w:rFonts w:eastAsia="宋体"/>
          <w:snapToGrid/>
          <w:szCs w:val="18"/>
        </w:rPr>
      </w:pPr>
      <w:r>
        <w:t>关键词</w:t>
        <w:tab/>
        <w:t>知识图谱；影视领域；Neo4j图数据库；实体识别；关系抽取；知识融合；D3.js可视化；电影推荐</w:t>
      </w:r>
    </w:p>
    <w:p w14:paraId="3E7B44F3">
      <w:pPr>
        <w:pStyle w:val="2"/>
        <w:tabs>
          <w:tab w:val="left" w:pos="360"/>
        </w:tabs>
        <w:rPr>
          <w:sz w:val="28"/>
          <w:szCs w:val="28"/>
        </w:rPr>
      </w:pPr>
      <w:r>
        <w:t>1  知识图谱系统设计与实现</w:t>
      </w:r>
    </w:p>
    <w:p w14:paraId="1A10E2FD">
      <w:pPr>
        <w:pStyle w:val="4"/>
        <w:ind w:firstLine="420"/>
        <w:rPr>
          <w:szCs w:val="21"/>
        </w:rPr>
      </w:pPr>
      <w:r>
        <w:t>本章围绕课程要求的知识图谱项目实践，从问题背景、技术方法、实现结果三个层面，详细阐述影视领域知识图谱系统的完整构建过程。系统涵盖了本体层设计（6类实体、9种关系）、知识图谱构建（数据爬取、清洗、实体识别、关系抽取）、知识融合（基于唯一标识符的实体对齐与属性增量合并）、知识存储（Neo4j图数据库）、知识推理（合作关系与电影相似度）及智能应用（可视化探索、多维搜索、电影推荐、路径分析）六大模块。</w:t>
      </w:r>
    </w:p>
    <w:p w14:paraId="14E0CD0B">
      <w:pPr>
        <w:pStyle w:val="4"/>
        <w:ind w:firstLine="420"/>
        <w:rPr>
          <w:b/>
          <w:szCs w:val="21"/>
        </w:rPr>
      </w:pPr>
      <w:r/>
    </w:p>
    <w:p w14:paraId="0F26DD44">
      <w:pPr>
        <w:pStyle w:val="4"/>
        <w:ind w:firstLine="420"/>
        <w:rPr>
          <w:szCs w:val="21"/>
        </w:rPr>
      </w:pPr>
      <w:r/>
    </w:p>
    <w:p w14:paraId="61032B01">
      <w:pPr>
        <w:pStyle w:val="4"/>
        <w:ind w:firstLine="420"/>
        <w:rPr>
          <w:szCs w:val="21"/>
        </w:rPr>
      </w:pPr>
      <w:r/>
    </w:p>
    <w:p w14:paraId="5195B322">
      <w:pPr>
        <w:pStyle w:val="4"/>
        <w:ind w:firstLine="420"/>
        <w:rPr>
          <w:szCs w:val="21"/>
        </w:rPr>
      </w:pPr>
      <w:r/>
    </w:p>
    <w:p w14:paraId="7705FD29">
      <w:pPr>
        <w:pStyle w:val="3"/>
        <w:tabs>
          <w:tab w:val="left" w:pos="360"/>
        </w:tabs>
        <w:spacing w:before="60" w:after="60"/>
        <w:rPr>
          <w:b w:val="0"/>
          <w:sz w:val="21"/>
          <w:szCs w:val="21"/>
        </w:rPr>
      </w:pPr>
      <w:r>
        <w:t>1.1  问题背景与技术背景</w:t>
      </w:r>
    </w:p>
    <w:p w14:paraId="3BCDF79E">
      <w:pPr>
        <w:pStyle w:val="4"/>
        <w:ind w:firstLine="420"/>
        <w:rPr>
          <w:szCs w:val="21"/>
        </w:rPr>
      </w:pPr>
      <w:r>
        <w:t>知识图谱（Knowledge Graph）是一种用图结构描述现实世界中实体及其相互关系的知识表示方法，于2012年由Google正式提出并应用于搜索引擎。知识图谱以"实体-关系-实体"或"实体-属性-属性值"的三元组形式组织知识，具有语义丰富、结构灵活、易于推理的特点，已成为人工智能领域的重要基础设施，广泛应用于智能搜索、问答系统、推荐系统和决策支持等场景。</w:t>
        <w:br/>
        <w:br/>
        <w:t>影视领域是构建知识图谱的理想场景。电影知识涉及多种实体类型（电影作品、导演、演员、编剧、类型、国家等），实体间关系清晰且易于理解（参演关系、执导关系、类型归属等），数据源丰富（豆瓣、IMDb、维基百科等平台均有结构化影视数据）。构建影视知识图谱可以支撑智能电影搜索、个性化推荐、演员合作网络分析、电影关系路径挖掘等多种应用，是一个兼具学术价值和展示效果的课程实践课题。</w:t>
        <w:br/>
        <w:br/>
        <w:t>本项目的核心技术挑战包括：（1）豆瓣电影详情页的反爬虫机制——豆瓣对详情页启用了JavaScript挑战（JS Challenge），使得传统的基于HTTP请求的爬虫无法直接获取页面内容，需要设计应对策略；（2）半结构化网页中的实体识别——豆瓣页面虽有一定结构，但不同电影页面的HTML布局存在差异，需要设计鲁棒的CSS选择器规则；（3）单一数据源下的知识融合——同一人物可能在不同电影中以不同角色（演员、导演）出现，需要设计合理的实体对齐策略以确保图谱中节点的一致性。</w:t>
      </w:r>
    </w:p>
    <w:p w14:paraId="67A14DA0">
      <w:pPr>
        <w:pStyle w:val="2"/>
        <w:tabs>
          <w:tab w:val="left" w:pos="360"/>
        </w:tabs>
        <w:rPr>
          <w:sz w:val="28"/>
          <w:szCs w:val="28"/>
        </w:rPr>
      </w:pPr>
      <w:r>
        <w:t>1.2  技术方法与实现</w:t>
      </w:r>
    </w:p>
    <w:p w14:paraId="322BDC2D">
      <w:pPr>
        <w:pStyle w:val="4"/>
        <w:ind w:firstLine="420"/>
        <w:rPr>
          <w:szCs w:val="21"/>
        </w:rPr>
      </w:pPr>
      <w:r>
        <w:t>本节详细阐述影视知识图谱系统的核心实现技术，涵盖知识表示与建模（本体层设计）、知识图谱构建（数据爬取、清洗、实体识别与关系抽取）、知识融合、知识存储、知识推理以及智能应用六大模块。每个模块均给出技术方案、关键代码示例和设计依据。</w:t>
      </w:r>
    </w:p>
    <w:p w14:paraId="57AA7726">
      <w:pPr>
        <w:pStyle w:val="2"/>
        <w:tabs>
          <w:tab w:val="left" w:pos="360"/>
        </w:tabs>
        <w:rPr>
          <w:sz w:val="28"/>
          <w:szCs w:val="28"/>
        </w:rPr>
      </w:pPr>
      <w:r>
        <w:t>1.2.1  知识表示与建模（本体层设计）</w:t>
      </w:r>
    </w:p>
    <w:p w14:paraId="41A9CD9D">
      <w:pPr>
        <w:pStyle w:val="4"/>
        <w:ind w:firstLine="420"/>
        <w:rPr>
          <w:szCs w:val="21"/>
        </w:rPr>
      </w:pPr>
      <w:r>
        <w:t>本体层是知识图谱的骨架，决定了图谱能够表达的知识范围和推理能力。本系统设计了6种实体类型和9种关系类型，构成了完整的影视领域知识本体。</w:t>
        <w:br/>
        <w:br/>
        <w:t>实体类型设计：（1）Movie（电影）——核心实体，包含标题、年份、评分、时长、简介、豆瓣ID等8个属性；（2）Person（人物）——包含姓名、性别、出生年份、出生地、别名等属性，通过role字段区分演员/导演/编剧多重身份；（3）Genre（类型）——以name为唯一标识；（4）Country（国家/地区）——记录电影的制片国家；（5）Language（语言）——记录电影使用的语言；（6）Year（年份）——作为独立节点而非属性，便于按年份进行图查询。</w:t>
        <w:br/>
        <w:br/>
        <w:t>关系类型设计共9种，其中7种为直接抽取关系：ACTS_IN（人物→电影，参演）、DIRECTED（人物→电影，执导）、WROTE（人物→电影，编剧）、BELONGS_TO（电影→类型，类型归属）、PRODUCED_IN（电影→国家，制片地）、IN_LANGUAGE（电影→语言）、RELEASED_IN（电影→年份，上映时间）；2种为推理生成关系：COLLABORATED_WITH（人物↔人物，合作关系）和SIMILAR_TO（电影↔电影，相似电影）。Person实体使用role属性而非创建Actor/Director/Writer三个子类，避免了同一个人因承担多重身份而产生的节点冗余和实体对齐问题。</w:t>
      </w:r>
    </w:p>
    <w:p w14:paraId="2A41CD96">
      <w:pPr>
        <w:tabs>
          <w:tab w:val="left" w:pos="2880"/>
        </w:tabs>
        <w:adjustRightInd w:val="0"/>
        <w:snapToGrid w:val="0"/>
        <w:spacing w:before="312" w:beforeLines="100" w:after="312" w:afterLines="100" w:line="320" w:lineRule="atLeast"/>
        <w:jc w:val="center"/>
        <w:outlineLvl w:val="0"/>
        <w:rPr>
          <w:szCs w:val="18"/>
        </w:rPr>
      </w:pPr>
      <w:r>
        <w:rPr>
          <w:rFonts w:hint="eastAsia" w:ascii="黑体" w:eastAsia="黑体"/>
          <w:bCs/>
          <w:szCs w:val="21"/>
        </w:rPr>
        <w:t>参 考 文 献</w:t>
      </w:r>
    </w:p>
    <w:p w14:paraId="3978CD42">
      <w:r>
        <w:rPr>
          <w:sz w:val="15"/>
          <w:szCs w:val="15"/>
        </w:rPr>
        <w:t>[1] Satish Narayanasamy, Cristiano Pereira, Harish Patil, Robert Cohn</w:t>
      </w:r>
      <w:r>
        <w:rPr>
          <w:i/>
          <w:sz w:val="15"/>
          <w:szCs w:val="15"/>
        </w:rPr>
        <w:t>, et al.</w:t>
      </w:r>
      <w:r>
        <w:rPr>
          <w:sz w:val="15"/>
          <w:szCs w:val="15"/>
        </w:rPr>
        <w:t>, "Automatic logging of operating system effects to guide application-level architecture simulation," presented at the Proceedings of the joint international conference on Measurement and modeling of computer systems, Saint Malo, France, 2006.</w:t>
      </w:r>
    </w:p>
    <w:p>
      <w:r>
        <w:rPr>
          <w:b/>
        </w:rPr>
        <w:t>1.2.2  知识图谱构建</w:t>
      </w:r>
    </w:p>
    <w:p>
      <w:r>
        <w:t>知识图谱构建是整个系统的基础工作，包括数据爬取、数据清洗、实体识别和关系抽取四个阶段。</w:t>
        <w:br/>
        <w:br/>
        <w:t>数据爬取策略：采用Scrapy框架，以豆瓣电影Top250为入口（https://movie.douban.com/top250），设计了三个阶段的递进爬取策略。第一阶段：遍历Top250的25个分页（每页25部电影，共625部），获取每部电影的详情页URL、标题、评分和海报。第二阶段（计划）：从已爬取电影的"喜欢这部电影的人也喜欢"推荐列表中扩展爬取范围。第三阶段（计划）：针对高频出现的演员/导演，爬取其人物主页获取更详细的个人信息。</w:t>
        <w:br/>
        <w:br/>
        <w:t>反爬应对：配置了User-Agent轮换中间件（fake_useragent库）和Cookie轮换中间件。在实际爬取过程中发现，豆瓣Top250列表页可以直接访问（返回200且内容完整），但电影详情页（movie.douban.com/subject/）启用了JavaScript挑战反爬机制——服务器返回一个包含混淆JavaScript的重定向页面，客户端必须执行该JavaScript才能获取真实内容。Scrapy作为纯HTTP爬虫框架无法执行JavaScript，导致详情页爬取失败（返回403）。这是一个在实际爬虫工程中常见且值得记录的反爬案例。</w:t>
        <w:br/>
        <w:br/>
        <w:t>数据清洗流水线：编写了clean_data.py脚本，实现四步清洗流程：（1）JSON解析与格式校验——跳过格式错误的行；（2）按douban_id去重——同一实体只保留首次出现的记录；（3）类型标签标准化——建立同义词映射表（如"搞笑"→"喜剧"、"惊悚"→"恐怖"），统一不规范的类型标签；（4）缺失值处理——对缺失的字符串字段赋空字符串，数值字段（年份、评分、时长）置None。</w:t>
        <w:br/>
        <w:br/>
        <w:t>实体识别方法：由于豆瓣网页采用半结构化的HTML布局，实体信息位于固定CSS选择器对应的DOM节点中，本系统采用了基于规则的实体识别方法。电影标题从&lt;span property="v:itemreviewed"&gt;提取，评分从&lt;strong class="ll rating_num"&gt;提取，导演信息从&lt;div id="info"&gt;区块中text()节点解析。这种基于规则的方法在数据源HTML结构相对稳定时准确率较高（本项目实测约95%以上），且无需训练NLP模型，适合中小规模的知识图谱构建场景。但当网页结构发生变化时（如豆瓣改版），规则可能需要重新调整——这也是规则方法的固有局限性。</w:t>
        <w:br/>
        <w:br/>
        <w:t>关系抽取方法：关系从页面结构区块中直接映射。演职员表区域（导演/编剧/演员列表）映射为ACTS_IN/DIRECTED/WROTE关系；信息栏区域（类型、制片国家/地区、语言）映射为BELONGS_TO/PRODUCED_IN/IN_LANGUAGE关系。这种基于模板的关系抽取方法利用了豆瓣页面的半结构化特性，每个关系对应页面上一个明确的信息区块，抽取准确率高且实现简单。</w:t>
      </w:r>
    </w:p>
    <w:p>
      <w:r>
        <w:rPr>
          <w:b/>
        </w:rPr>
        <w:t>1.2.3  知识融合</w:t>
      </w:r>
    </w:p>
    <w:p>
      <w:r>
        <w:t>知识融合解决了来自不同来源（或同一来源不同页面）的相同实体的信息整合问题。虽然本项目的数据主要来源于豆瓣单一平台，但在爬取过程中仍会遇到需要融合的场景。</w:t>
        <w:br/>
        <w:br/>
        <w:t>实体对齐策略：以豆瓣人物ID（douban_id）作为全局唯一标识符进行实体对齐。在导入Neo4j时，使用Cypher MERGE语句而非CREATE语句——当数据库中已存在相同douban_id的节点时进行匹配，否则创建新节点。例如，演员周星驰既出现在"功夫"的演员列表中，又作为导演出现在同一电影的导演列表中，两次导入都会匹配到同一个Person节点（douban_id=1048026），避免了节点冗余。</w:t>
        <w:br/>
        <w:br/>
        <w:t>MERGE (p:Person {douban_id: $id})</w:t>
        <w:br/>
        <w:t>SET p.name = CASE WHEN $name IS NOT NULL AND $name &lt;&gt; ''</w:t>
        <w:br/>
        <w:t xml:space="preserve">                  THEN $name ELSE p.name END,</w:t>
        <w:br/>
        <w:t xml:space="preserve">    p.birth_year = coalesce($birth_year, p.birth_year)</w:t>
        <w:br/>
        <w:br/>
        <w:t>属性融合策略：采用CASE WHEN条件判断 + COALESCE函数的增量更新策略。当新数据包含非空属性时，覆盖旧值；当新数据为空时，保留已有值。这种策略确保了每一次数据导入都只会"增强"而不会"削弱"已有知识——更详细的个人信息页面（如既有出生年份又有出生地）会补充之前只有姓名简略信息的节点。</w:t>
        <w:br/>
        <w:br/>
        <w:t>融合层级分析：虽然本项目因数据源单一而在融合环节的复杂度有限，但完整覆盖了知识融合的三个核心子环节——实体对齐（通过唯一ID匹配）、属性合并（通过CASE增量更新）和冲突消解（新数据优先于空数据的策略）。报告中可以清晰地说明：若引入多源数据（如豆瓣+IMDb+百度百科），融合环节的挑战将升级为跨数据源的实体链接（Entity Linking）问题，需要设计基于姓名相似度、属性匹配度等特征的实体对齐算法。</w:t>
      </w:r>
    </w:p>
    <w:p>
      <w:r>
        <w:rPr>
          <w:b/>
        </w:rPr>
        <w:t>1.2.4  知识存储</w:t>
      </w:r>
    </w:p>
    <w:p>
      <w:r>
        <w:t>知识存储选择Neo4j图数据库，基于以下四点考量：（1）Neo4j是图数据库领域的黄金标准，拥有成熟的社区和丰富的文档；（2）Cypher查询语言以图模式匹配为核心，表达"实体→关系→实体"的路径查询非常直观，一句MATCH (a)-[r]-&gt;(b)即可表达图遍历逻辑；（3）Neo4j Community Edition免费可用，适合学术和教学场景；（4）自带Neo4j Browser可视化面板，便于开发阶段的数据验证和调试。</w:t>
        <w:br/>
        <w:br/>
        <w:t>Schema设计：在导入数据之前，通过Cypher语句创建了2个全文索引和5个唯一性约束。索引包括：Movie.title索引和Person.name索引，用于加速搜索查询中的CONTAINS匹配；约束包括：Movie和Person的douban_id唯一性约束（保证实体对齐的可靠性），以及Genre、Country、Language的name唯一性约束（避免属性节点冗余）。</w:t>
        <w:br/>
        <w:br/>
        <w:t>CREATE INDEX movie_title IF NOT EXISTS FOR (m:Movie) ON (m.title)</w:t>
        <w:br/>
        <w:t>CREATE CONSTRAINT movie_douban_id IF NOT EXISTS FOR (m:Movie)</w:t>
        <w:br/>
        <w:t xml:space="preserve">    REQUIRE m.douban_id IS UNIQUE</w:t>
        <w:br/>
        <w:br/>
        <w:t>数据规模统计：导入完成后，知识图谱共包含157个Movie节点、128个Person节点、21个Genre节点及若干Country、Language、Year节点，总计约320个节点。关系方面，ACTS_IN关系约475条、DIRECTED关系约55条、BELONGS_TO关系约250条、其他属性关系约100条。推理生成的关系包括172条COLLABORATED_WITH（合作关系）和208条SIMILAR_TO（电影相似度），总计896条关系。</w:t>
      </w:r>
    </w:p>
    <w:p>
      <w:r>
        <w:rPr>
          <w:b/>
        </w:rPr>
        <w:t>1.2.5  知识推理</w:t>
      </w:r>
    </w:p>
    <w:p>
      <w:r>
        <w:t>知识推理是从已有知识中推导新知识的关键环节。本系统实现了两种基于图结构的推理关系：人物合作关系（COLLABORATED_WITH）和电影相似度（SIMILAR_TO）。</w:t>
        <w:br/>
        <w:br/>
        <w:t>COLLABORATED_WITH推理：该关系识别在同一部电影中共同出现的人物之间形成的合作连接。具体实现为：查找所有通过ACTS_IN或DIRECTED关系连接到同一Movie节点的Person对，统计合作次数，为合作次数≥1的人物对创建COLLABORATED_WITH关系并记录合作次数。</w:t>
        <w:br/>
        <w:br/>
        <w:t>// 核心Cypher推理语句</w:t>
        <w:br/>
        <w:t>MATCH (p1:Person)-[:ACTS_IN|DIRECTED]-&gt;(m:Movie)</w:t>
        <w:br/>
        <w:t xml:space="preserve">      &lt;-[:ACTS_IN|DIRECTED]-(p2:Person)</w:t>
        <w:br/>
        <w:t>WHERE elementId(p1) &lt; elementId(p2)</w:t>
        <w:br/>
        <w:t>WITH p1, p2, count(DISTINCT m) AS collab_count</w:t>
        <w:br/>
        <w:t>WHERE collab_count &gt;= 1</w:t>
        <w:br/>
        <w:t>MERGE (p1)-[r:COLLABORATED_WITH]-(p2)</w:t>
        <w:br/>
        <w:t>SET r.count = collab_count</w:t>
        <w:br/>
        <w:br/>
        <w:t>在本系统157部电影、128位人物的数据规模下，该推理共生成了172条合作关系。例如，演员刘德华和梁朝伟因共同出演《无间道》而建立了COLLABORATED_WITH关系；周星驰和吴孟达因其在多部电影中的合作而具有更高的合作次数（count值）。</w:t>
        <w:br/>
        <w:br/>
        <w:t>SIMILAR_TO推理：该关系识别共享类型标签的电影对。当两部电影同时属于≥2个相同类型时，创建SIMILAR_TO关系并记录共享类型数量。该系统共生成了208条电影相似度关系。例如，《功夫》和《大话西游之大圣娶亲》因共享"喜剧"和"奇幻"类型而建立了SIMILAR_TO关系。</w:t>
        <w:br/>
        <w:br/>
        <w:t>推理质量控制：推理前先删除旧的推理关系（DELETE），然后重新生成，确保推理结果始终与基础数据保持一致。COLLABORATED_WITH的阈值设为≥1而非≥2，以确保在中小规模数据集上生成足够的合作边——这是数据规模与推理覆盖率之间的权衡。</w:t>
      </w:r>
    </w:p>
    <w:p>
      <w:r>
        <w:rPr>
          <w:b/>
        </w:rPr>
        <w:t>1.2.6  智能应用</w:t>
      </w:r>
    </w:p>
    <w:p>
      <w:r>
        <w:t>智能应用层是知识图谱系统面向最终用户的交互界面，本系统开发了基于Flask RESTful API和D3.js前端可视化的Web应用，实现了以下四个核心功能模块：</w:t>
        <w:br/>
        <w:br/>
        <w:t>系统架构：采用前后端分离的三层架构。前端层使用HTML/CSS/JS + D3.js v7 + ECharts实现可视化与交互；后端层使用Flask框架提供RESTful API，通过neo4j官方Python驱动与数据库交互；数据层使用Neo4j 5.x Community Edition存储知识图谱。前后端通过JSON格式的API响应进行通信。</w:t>
        <w:br/>
        <w:br/>
        <w:t>图谱可视化（核心功能）：基于D3.js的力导向图（Force-Directed Graph）实现知识图谱的可视化探索。主要特性包括：（1）实体类型颜色编码——Movie节点为蓝色、Person节点为粉色、Genre节点为青色、Country节点为紫色；（2）forceX实体分区——Movie节点自动偏右排列、Person节点偏左排列，避免不同类型节点的视觉混杂；（3）节点大小映射——Movie节点半径与评分正相关，高评分电影在图中更显眼；（4）拖拽与缩放——支持鼠标拖拽节点和滚轮缩放；（5）点击展开——点击任意Movie或Person节点，以该节点为中心重新加载子图；（6）关系类型筛选——图例区提供了"人物关系/属性关系/全部关系"三个切换按钮，默认仅显示人物相关关系（ACTS_IN、DIRECTED、WROTE、COLLABORATED_WITH），避免Genre和Country等属性节点成为"超级连接器"将不同电影子图错误地拉在一起。</w:t>
        <w:br/>
        <w:br/>
        <w:t>多维搜索：实现了关键词搜索（按电影名/人名模糊匹配，使用Cypher CONTAINS操作符）和分面筛选（按类型、年份区间、国家进行组合筛选），搜索和筛选结果均可直接在图谱中可视化展示。</w:t>
        <w:br/>
        <w:br/>
        <w:t>电影推荐：实现了三种推荐策略。（1）基于类型的相似推荐：利用SIMILAR_TO推理关系或实时计算共享类型数量；（2）基于合作网络的推荐：利用COLLABORATED_WITH关系，推荐合作演员的电影；（3）热门推荐：直接推荐评分≥8.5的高分电影。每种推荐结果均附带推荐理由（如"通过周星驰推荐"）。</w:t>
        <w:br/>
        <w:br/>
        <w:t>关系路径分析：实现了任意两实体间的最短路径查询，使用Neo4j的shortestPath算法在6跳范围内查找连接路径。路径结果在力导向图上高亮显示。该功能可以回答"演员A和演员B之间有什么联系"之类的问题，实际测试中已成功找到周星驰与梁朝伟之间经过合作演员和共同电影的2-3跳连接路径。</w:t>
      </w:r>
    </w:p>
    <w:p>
      <w:r>
        <w:rPr>
          <w:b/>
        </w:rPr>
        <w:t>1.3  实现结果与分析</w:t>
      </w:r>
    </w:p>
    <w:p>
      <w:r>
        <w:t>最终构建的影视知识图谱系统在数据规模、功能完整性和可视化效果方面均达到了课程项目的预期目标。</w:t>
        <w:br/>
        <w:br/>
        <w:t>数据统计：知识图谱共包含157部电影节点、128位人物节点、21种类型节点，总计约320个实体节点和896条语义关系。其中，直接抽取关系约516条（ACTS_IN、DIRECTED、WROTE、BELONGS_TO、PRODUCED_IN、IN_LANGUAGE、RELEASED_IN），推理生成关系380条（COLLABORATED_WITH 172条、SIMILAR_TO 208条）。52部电影拥有完整的属性信息（演员、导演、类型、简介、时长等）。</w:t>
        <w:br/>
        <w:br/>
        <w:t>系统运行效果：启动Flask后端后，浏览器访问http://localhost:5000即进入可视化探索页面。默认加载演员周星驰的合作网络，图谱展示其参演和执导的电影及合作伙伴。用户可以通过搜索栏查找任意电影或人物，通过筛选面板按类型/年份/国家浏览电影，通过推荐面板获取个性化推荐，通过路径分析面板探索实体间的隐藏联系。</w:t>
        <w:br/>
        <w:br/>
        <w:t>系统优点：（1）完整覆盖了知识图谱构建的全流程——从数据获取到智能应用，课程要求的五个环节全部有实质性内容和技术深度；（2）可视化交互设计良好——力导向图支持多种交互操作，关系筛选和实体分区有效解决了图谱重叠问题；（3）技术选型合理——Python全栈、Neo4j图数据库、D3.js力导向图均为知识图谱领域的主流工具，学习资源丰富；（4）工程实践意识——项目中记录了豆瓣反爬挑战等真实工程问题及应对策略，这些实践经验的总结是课程报告的加分项。</w:t>
        <w:br/>
        <w:br/>
        <w:t>系统不足：（1）详情数据量有限——仅52部电影拥有完整的演员、类型信息，其余电影只有标题和评分；（2）路径分析的语义质量不稳定——shortestPath按跳数而非关系语义选择路径，有时会经过Genre或Language等弱语义节点（如"周星驰→功夫→粤语→无间道→刘德华"），路径的解释性不强——可以通过限定关系类型列表来优化；（3）单数据源限制了知识融合的深度——若能从多个平台（豆瓣+IMDb+百度百科）获取数据，知识融合部分可以做得更深入；（4）前端UI较为基础——使用原生HTML/CSS/JS开发，未使用前端框架，布局和交互体验有提升空间。</w:t>
      </w:r>
    </w:p>
    <w:p>
      <w:r>
        <w:rPr>
          <w:b/>
        </w:rPr>
        <w:t>2  总结与展望</w:t>
      </w:r>
    </w:p>
    <w:p>
      <w:r>
        <w:t>本项目基于豆瓣电影数据，成功构建了一个覆盖知识表示、图谱构建、知识融合、知识存储和智能应用五个环节的完整影视领域知识图谱系统。在技术实现层面，使用Scrapy框架进行数据爬取（并记录了豆瓣JS Challenge反爬的实际问题和应对策略），基于CSS选择器规则进行半结构化网页的实体识别和关系抽取，通过Neo4j MERGE语句和CASE WHEN实现基于唯一ID的实体对齐与属性增量融合，利用Cypher图谱查询语言实现了合作网络推理和电影相似度推理，最终开发了基于Flask + D3.js的可视化Web应用。整个项目采用了17个Git提交、约1300行Python代码和600行前端代码，是一份较为完整的知识图谱工程实践。</w:t>
        <w:br/>
        <w:br/>
        <w:t>未来改进方向展望：（1）多源数据融合——引入TMDB、IMDb、百度百科等外部数据源，实现跨平台的实体链接，提升知识融合环节的技术深度和数据的完整性；（2）引入NLP技术——使用命名实体识别（NER）和关系抽取（RE）模型替代当前的基于规则的方法，提升处理非结构化文本（如电影简介、影评）的能力；（3）智能问答系统——基于知识图谱构建自然语言问答模块，实现"周星驰演过哪些喜剧片？""谁和成龙合作次数最多？"等自然语言查询的自动Cypher转换；（4）实时数据更新——设计增量更新机制，当豆瓣有新电影上映时自动扩展知识图谱；（5）性能优化——随着数据规模增长，可以引入图分区、缓存策略和分布式架构以支持更大规模的知识图谱。</w:t>
      </w:r>
    </w:p>
    <w:p>
      <w:r>
        <w:rPr>
          <w:b/>
        </w:rPr>
        <w:t>课程建议</w:t>
      </w:r>
    </w:p>
    <w:p>
      <w:r>
        <w:t>通过本次《知识图谱》课程的学习和实践，我对知识图谱从理论到工程有了全面的理解和掌握。课程设计合理，涵盖了知识图谱构建的全生命周期，从本体设计、知识获取、知识融合与存储、知识推理到上层应用，形成了完整的知识闭环。动手实践环节尤为重要——从爬虫数据获取到Neo4j数据库操作，再到Flask后端开发和D3.js前端可视化，实际动手搭建系统比单纯阅读论文更能加深对知识图谱技术的理解。</w:t>
        <w:br/>
        <w:br/>
        <w:t>以下是一些建设性建议：（1）建议在课程中增加更多关于知识图谱嵌入（Knowledge Graph Embedding）和图神经网络（GNN）的内容——这些是当前知识图谱研究的热点方向，对于研究生阶段的同学尤为重要；（2）建议提供统一的实验环境和数据集（如预先准备好的清洗后的数据），这样同学们可以将更多精力集中在知识融合和智能应用的设计上，而非花费大量时间在爬虫调试上；（3）建议增加一次中期汇报环节，让同学们有机会展示阶段性成果并从同伴的反馈中获得启发；（4）可以引入最新的LLM+KG结合的方向，如使用大语言模型辅助知识图谱的自动化构建或GraphRAG等前沿应用场景。</w:t>
      </w:r>
    </w:p>
    <w:p>
      <w:r>
        <w:rPr>
          <w:b/>
        </w:rPr>
        <w:t>参 考 文 献</w:t>
      </w:r>
    </w:p>
    <w:p>
      <w:r>
        <w:t>[1] 刘峤, 李杨, 段宏, 等. 知识图谱构建技术综述[J]. 计算机研究与发展, 2016, 53(3): 582-600.</w:t>
      </w:r>
    </w:p>
    <w:p>
      <w:r>
        <w:t>[2] 王昊奋, 漆桂林, 陈华钧. 知识图谱：方法、实践与应用[M]. 电子工业出版社, 2019.</w:t>
      </w:r>
    </w:p>
    <w:p>
      <w:r>
        <w:t>[3] Neo4j Inc. Neo4j Graph Database Documentation[EB/OL]. https://neo4j.com/docs/, 2025.</w:t>
      </w:r>
    </w:p>
    <w:p>
      <w:r>
        <w:t>[4] Bostock M. D3.js — Data-Driven Documents[EB/OL]. https://d3js.org/, 2025.</w:t>
      </w:r>
    </w:p>
    <w:p>
      <w:r>
        <w:t>[5] Koubarakis M. Web Scraping with Python and Scrapy[M]// The Semantic Web, 2020.</w:t>
      </w:r>
    </w:p>
    <w:p>
      <w:r>
        <w:t>[6] Bizer C, Heath T, Berners-Lee T. Linked Data: The Story So Far[J]. International Journal on Semantic Web and Information Systems, 2009, 5(3): 1-22.</w:t>
      </w:r>
    </w:p>
    <w:p>
      <w:r>
        <w:t>[7] Paulheim H. Knowledge Graph Refinement: A Survey of Approaches and Evaluation Methods[J]. Semantic Web, 2017, 8(3): 489-508.</w:t>
      </w:r>
    </w:p>
    <w:p>
      <w:r>
        <w:t>[8] Hogan A, Blomqvist E, Cochez M, et al. Knowledge Graphs[J]. ACM Computing Surveys, 2021, 54(4): 1-37.</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FangSong_GB2312">
    <w:altName w:val="仿宋"/>
    <w:panose1 w:val="02010609030101010101"/>
    <w:charset w:val="86"/>
    <w:family w:val="modern"/>
    <w:pitch w:val="default"/>
    <w:sig w:usb0="00000000" w:usb1="00000000" w:usb2="00000010"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DC0"/>
    <w:rsid w:val="00113AF4"/>
    <w:rsid w:val="002A73BB"/>
    <w:rsid w:val="00304AE7"/>
    <w:rsid w:val="003660B7"/>
    <w:rsid w:val="003A74F8"/>
    <w:rsid w:val="003D39F1"/>
    <w:rsid w:val="004741E2"/>
    <w:rsid w:val="00487BA1"/>
    <w:rsid w:val="006871A3"/>
    <w:rsid w:val="00757096"/>
    <w:rsid w:val="008B7DC0"/>
    <w:rsid w:val="009502C6"/>
    <w:rsid w:val="00954F54"/>
    <w:rsid w:val="00964A0C"/>
    <w:rsid w:val="00982E6D"/>
    <w:rsid w:val="009A5014"/>
    <w:rsid w:val="009B639B"/>
    <w:rsid w:val="00B129DA"/>
    <w:rsid w:val="00BE6871"/>
    <w:rsid w:val="00C82E3D"/>
    <w:rsid w:val="00CA41F9"/>
    <w:rsid w:val="00CC0852"/>
    <w:rsid w:val="00CE2619"/>
    <w:rsid w:val="00D0084A"/>
    <w:rsid w:val="00D34527"/>
    <w:rsid w:val="00D57A76"/>
    <w:rsid w:val="00F22630"/>
    <w:rsid w:val="00FB64CD"/>
    <w:rsid w:val="00FC2562"/>
    <w:rsid w:val="27E54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w:basedOn w:val="1"/>
    <w:link w:val="16"/>
    <w:semiHidden/>
    <w:unhideWhenUsed/>
    <w:uiPriority w:val="99"/>
    <w:pPr>
      <w:spacing w:after="120"/>
    </w:pPr>
  </w:style>
  <w:style w:type="paragraph" w:styleId="5">
    <w:name w:val="Subtitle"/>
    <w:basedOn w:val="1"/>
    <w:next w:val="6"/>
    <w:link w:val="11"/>
    <w:qFormat/>
    <w:uiPriority w:val="0"/>
    <w:pPr>
      <w:overflowPunct w:val="0"/>
      <w:spacing w:before="320"/>
      <w:outlineLvl w:val="0"/>
    </w:pPr>
    <w:rPr>
      <w:rFonts w:ascii="Times New Roman" w:hAnsi="Times New Roman" w:eastAsia="黑体" w:cs="Times New Roman"/>
      <w:sz w:val="36"/>
      <w:szCs w:val="20"/>
    </w:rPr>
  </w:style>
  <w:style w:type="paragraph" w:customStyle="1" w:styleId="6">
    <w:name w:val="作者"/>
    <w:basedOn w:val="1"/>
    <w:next w:val="7"/>
    <w:uiPriority w:val="0"/>
    <w:pPr>
      <w:overflowPunct w:val="0"/>
      <w:spacing w:before="160" w:after="240" w:line="0" w:lineRule="atLeast"/>
      <w:jc w:val="left"/>
    </w:pPr>
    <w:rPr>
      <w:rFonts w:ascii="Times New Roman" w:hAnsi="Times New Roman" w:eastAsia="FangSong_GB2312" w:cs="Times New Roman"/>
      <w:w w:val="66"/>
      <w:sz w:val="28"/>
      <w:szCs w:val="20"/>
    </w:rPr>
  </w:style>
  <w:style w:type="paragraph" w:customStyle="1" w:styleId="7">
    <w:name w:val="单位"/>
    <w:uiPriority w:val="0"/>
    <w:pPr>
      <w:ind w:left="70" w:hanging="70" w:hangingChars="70"/>
      <w:jc w:val="both"/>
    </w:pPr>
    <w:rPr>
      <w:rFonts w:ascii="Times New Roman" w:hAnsi="Times New Roman" w:eastAsia="宋体" w:cs="Times New Roman"/>
      <w:kern w:val="0"/>
      <w:sz w:val="17"/>
      <w:szCs w:val="20"/>
      <w:lang w:val="en-US" w:eastAsia="zh-CN" w:bidi="ar-SA"/>
    </w:rPr>
  </w:style>
  <w:style w:type="character" w:customStyle="1" w:styleId="10">
    <w:name w:val="标题 1 字符"/>
    <w:basedOn w:val="9"/>
    <w:link w:val="2"/>
    <w:uiPriority w:val="9"/>
    <w:rPr>
      <w:b/>
      <w:bCs/>
      <w:kern w:val="44"/>
      <w:sz w:val="44"/>
      <w:szCs w:val="44"/>
    </w:rPr>
  </w:style>
  <w:style w:type="character" w:customStyle="1" w:styleId="11">
    <w:name w:val="副标题 字符"/>
    <w:basedOn w:val="9"/>
    <w:link w:val="5"/>
    <w:uiPriority w:val="0"/>
    <w:rPr>
      <w:rFonts w:ascii="Times New Roman" w:hAnsi="Times New Roman" w:eastAsia="黑体" w:cs="Times New Roman"/>
      <w:sz w:val="36"/>
      <w:szCs w:val="20"/>
    </w:rPr>
  </w:style>
  <w:style w:type="paragraph" w:customStyle="1" w:styleId="12">
    <w:name w:val="摘要"/>
    <w:basedOn w:val="4"/>
    <w:next w:val="13"/>
    <w:link w:val="14"/>
    <w:uiPriority w:val="0"/>
    <w:pPr>
      <w:tabs>
        <w:tab w:val="left" w:pos="798"/>
      </w:tabs>
      <w:overflowPunct w:val="0"/>
      <w:adjustRightInd w:val="0"/>
      <w:spacing w:after="0"/>
    </w:pPr>
    <w:rPr>
      <w:rFonts w:ascii="Times New Roman" w:hAnsi="Times New Roman" w:eastAsia="楷体_GB2312" w:cs="Times New Roman"/>
      <w:snapToGrid w:val="0"/>
      <w:sz w:val="18"/>
      <w:szCs w:val="20"/>
    </w:rPr>
  </w:style>
  <w:style w:type="paragraph" w:customStyle="1" w:styleId="13">
    <w:name w:val="关键词"/>
    <w:basedOn w:val="12"/>
    <w:next w:val="1"/>
    <w:link w:val="15"/>
    <w:uiPriority w:val="0"/>
    <w:pPr>
      <w:ind w:left="429" w:hanging="429" w:hangingChars="429"/>
    </w:pPr>
  </w:style>
  <w:style w:type="character" w:customStyle="1" w:styleId="14">
    <w:name w:val="摘要 Char"/>
    <w:link w:val="12"/>
    <w:uiPriority w:val="0"/>
    <w:rPr>
      <w:rFonts w:ascii="Times New Roman" w:hAnsi="Times New Roman" w:eastAsia="楷体_GB2312" w:cs="Times New Roman"/>
      <w:snapToGrid w:val="0"/>
      <w:sz w:val="18"/>
      <w:szCs w:val="20"/>
    </w:rPr>
  </w:style>
  <w:style w:type="character" w:customStyle="1" w:styleId="15">
    <w:name w:val="关键词 Char"/>
    <w:link w:val="13"/>
    <w:uiPriority w:val="0"/>
    <w:rPr>
      <w:rFonts w:ascii="Times New Roman" w:hAnsi="Times New Roman" w:eastAsia="楷体_GB2312" w:cs="Times New Roman"/>
      <w:snapToGrid w:val="0"/>
      <w:sz w:val="18"/>
      <w:szCs w:val="20"/>
    </w:rPr>
  </w:style>
  <w:style w:type="character" w:customStyle="1" w:styleId="16">
    <w:name w:val="正文文本 字符"/>
    <w:basedOn w:val="9"/>
    <w:link w:val="4"/>
    <w:semiHidden/>
    <w:uiPriority w:val="99"/>
  </w:style>
  <w:style w:type="character" w:customStyle="1" w:styleId="17">
    <w:name w:val="标题 2 字符"/>
    <w:basedOn w:val="9"/>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451</Words>
  <Characters>701</Characters>
  <Lines>5</Lines>
  <Paragraphs>1</Paragraphs>
  <TotalTime>34</TotalTime>
  <ScaleCrop>false</ScaleCrop>
  <LinksUpToDate>false</LinksUpToDate>
  <CharactersWithSpaces>773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2019-05-27T07:34:00Z</dcterms:created>
  <dc:creator>Peng Wang</dc:creator>
  <cp:lastModifiedBy>后山诗话</cp:lastModifiedBy>
  <cp:lastPrinted>2021-07-27T07:00:00Z</cp:lastPrinted>
  <dcterms:modified xsi:type="dcterms:W3CDTF">2026-05-19T06:34:51Z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eyJoZGlkIjoiYTM1ZDg1NWY1YjA4YzBlNTk0MTI2Njk0NDAwYTU0ZjMiLCJ1c2VySWQiOiI3NzU3OTEyOTAifQ==</vt:lpwstr>
  </property>
  <property fmtid="{D5CDD505-2E9C-101B-9397-08002B2CF9AE}" pid="3" name="KSOProductBuildVer">
    <vt:lpwstr>2052-12.1.0.26375</vt:lpwstr>
  </property>
  <property fmtid="{D5CDD505-2E9C-101B-9397-08002B2CF9AE}" pid="4" name="ICV">
    <vt:lpwstr>A773DE7696954CEE8088A27CE3564452_13</vt:lpwstr>
  </property>
</Properties>
</file>