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Operations Report</w:t>
      </w:r>
    </w:p>
    <w:p>
      <w:r>
        <w:t>Prepared by Operations Team — Fiscal Year 2024</w:t>
      </w:r>
    </w:p>
    <w:p>
      <w:pPr>
        <w:pStyle w:val="Heading1"/>
      </w:pPr>
      <w:r>
        <w:t>Executive Summary</w:t>
      </w:r>
    </w:p>
    <w:p>
      <w:r>
        <w:t>This report summarizes the operational performance of our organization for fiscal year 2024. Total revenue reached $12.8 million, representing a 22% year-over-year growth. Operating costs were $9.4 million, yielding an operating margin of 26.6%. Customer satisfaction scores averaged 4.4 out of 5 across all product lines.</w:t>
      </w:r>
    </w:p>
    <w:p>
      <w:pPr>
        <w:pStyle w:val="Heading1"/>
      </w:pPr>
      <w:r>
        <w:t>Key Metrics</w:t>
      </w:r>
    </w:p>
    <w:p>
      <w:pPr>
        <w:pStyle w:val="ListBullet"/>
      </w:pPr>
      <w:r>
        <w:t>Revenue: $12,800,000</w:t>
      </w:r>
    </w:p>
    <w:p>
      <w:pPr>
        <w:pStyle w:val="ListBullet"/>
      </w:pPr>
      <w:r>
        <w:t>Operating costs: $9,400,000</w:t>
      </w:r>
    </w:p>
    <w:p>
      <w:pPr>
        <w:pStyle w:val="ListBullet"/>
      </w:pPr>
      <w:r>
        <w:t>Net profit: $3,400,000</w:t>
      </w:r>
    </w:p>
    <w:p>
      <w:pPr>
        <w:pStyle w:val="ListBullet"/>
      </w:pPr>
      <w:r>
        <w:t>Customer base: 8,420 active accounts</w:t>
      </w:r>
    </w:p>
    <w:p>
      <w:pPr>
        <w:pStyle w:val="ListBullet"/>
      </w:pPr>
      <w:r>
        <w:t>Employee headcount: 142 (up from 118 in 2023)</w:t>
      </w:r>
    </w:p>
    <w:p>
      <w:pPr>
        <w:pStyle w:val="Heading1"/>
      </w:pPr>
      <w:r>
        <w:t>Quarterly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Costs</w:t>
            </w:r>
          </w:p>
        </w:tc>
        <w:tc>
          <w:tcPr>
            <w:tcW w:type="dxa" w:w="2160"/>
          </w:tcPr>
          <w:p>
            <w:r>
              <w:t>Profit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$2,800,000</w:t>
            </w:r>
          </w:p>
        </w:tc>
        <w:tc>
          <w:tcPr>
            <w:tcW w:type="dxa" w:w="2160"/>
          </w:tcPr>
          <w:p>
            <w:r>
              <w:t>$2,100,000</w:t>
            </w:r>
          </w:p>
        </w:tc>
        <w:tc>
          <w:tcPr>
            <w:tcW w:type="dxa" w:w="2160"/>
          </w:tcPr>
          <w:p>
            <w:r>
              <w:t>$700,000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$3,200,000</w:t>
            </w:r>
          </w:p>
        </w:tc>
        <w:tc>
          <w:tcPr>
            <w:tcW w:type="dxa" w:w="2160"/>
          </w:tcPr>
          <w:p>
            <w:r>
              <w:t>$2,300,000</w:t>
            </w:r>
          </w:p>
        </w:tc>
        <w:tc>
          <w:tcPr>
            <w:tcW w:type="dxa" w:w="2160"/>
          </w:tcPr>
          <w:p>
            <w:r>
              <w:t>$900,000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$3,400,000</w:t>
            </w:r>
          </w:p>
        </w:tc>
        <w:tc>
          <w:tcPr>
            <w:tcW w:type="dxa" w:w="2160"/>
          </w:tcPr>
          <w:p>
            <w:r>
              <w:t>$2,400,000</w:t>
            </w:r>
          </w:p>
        </w:tc>
        <w:tc>
          <w:tcPr>
            <w:tcW w:type="dxa" w:w="2160"/>
          </w:tcPr>
          <w:p>
            <w:r>
              <w:t>$1,000,000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$3,400,000</w:t>
            </w:r>
          </w:p>
        </w:tc>
        <w:tc>
          <w:tcPr>
            <w:tcW w:type="dxa" w:w="2160"/>
          </w:tcPr>
          <w:p>
            <w:r>
              <w:t>$2,600,000</w:t>
            </w:r>
          </w:p>
        </w:tc>
        <w:tc>
          <w:tcPr>
            <w:tcW w:type="dxa" w:w="2160"/>
          </w:tcPr>
          <w:p>
            <w:r>
              <w:t>$800,000</w:t>
            </w:r>
          </w:p>
        </w:tc>
      </w:tr>
    </w:tbl>
    <w:p>
      <w:pPr>
        <w:pStyle w:val="Heading1"/>
      </w:pPr>
      <w:r>
        <w:t>Strategic Initiatives</w:t>
      </w:r>
    </w:p>
    <w:p>
      <w:r>
        <w:t>In 2024 we launched three major strategic initiatives: (1) expansion into the European market, which contributed $1.2 million in new revenue; (2) the AI-powered analytics platform, which now serves 2,500 active users; and (3) the customer success program, which reduced churn from 4.2% to 2.8%.</w:t>
      </w:r>
    </w:p>
    <w:p>
      <w:pPr>
        <w:pStyle w:val="Heading1"/>
      </w:pPr>
      <w:r>
        <w:t>Looking Ahead</w:t>
      </w:r>
    </w:p>
    <w:p>
      <w:r>
        <w:t>For 2025, we project revenue of $15-16 million, with continued investment in product development and international expansion. Key risks include currency volatility, regulatory changes in the EU, and increasing competition. The leadership team has approved a $2.5 million R&amp;D budget and plans to hire 25 additional engineers.</w:t>
      </w:r>
    </w:p>
    <w:p/>
    <w:p>
      <w:r>
        <w:t>For questions, contact operations@company.com or call +1-555-100-2000.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