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ESTATUTO DA COMUNIDADE PRÓXIMO NÍVEL</w:t>
      </w:r>
    </w:p>
    <w:p>
      <w:pPr>
        <w:pStyle w:val="Heading2"/>
      </w:pPr>
      <w:r>
        <w:t>CAPÍTULO I – DISPOSIÇÕES GERAIS</w:t>
      </w:r>
    </w:p>
    <w:p>
      <w:r>
        <w:t>Artigo 1.º – Denominação, Natureza e Duração</w:t>
      </w:r>
    </w:p>
    <w:p>
      <w:r>
        <w:t>1. A comunidade denominada PRÓXIMO NÍVEL, doravante designada apenas como “Comunidade”, é uma iniciativa de caráter formativo, colaborativo e profissionalizante, sem fins lucrativos diretos, com autonomia administrativa, organizacional e criativa.</w:t>
        <w:br/>
        <w:t>2. Tem duração indeterminada e poderá expandir-se nacional e internacionalmente.</w:t>
      </w:r>
    </w:p>
    <w:p>
      <w:r>
        <w:t>Artigo 2.º – Sede e Atuação</w:t>
      </w:r>
    </w:p>
    <w:p>
      <w:r>
        <w:t>1. A Comunidade terá sede digital (plataformas online e grupos privados) e, quando necessário, espaços físicos definidos por conveniência dos membros.</w:t>
        <w:br/>
        <w:t>2. A sua atuação será preferencialmente em Angola, com projeção para colaborações externas.</w:t>
      </w:r>
    </w:p>
    <w:p>
      <w:pPr>
        <w:pStyle w:val="Heading2"/>
      </w:pPr>
      <w:r>
        <w:t>CAPÍTULO II – OBJETIVOS E FINALIDADES</w:t>
      </w:r>
    </w:p>
    <w:p>
      <w:r>
        <w:t>Artigo 3.º – Finalidade Geral</w:t>
      </w:r>
    </w:p>
    <w:p>
      <w:r>
        <w:t>Constituir uma comunidade de formação, colaboração e excelência profissional nas áreas criativas, tecnológicas e de comunicação.</w:t>
      </w:r>
    </w:p>
    <w:p>
      <w:r>
        <w:t>Artigo 4.º – Objetivos Específicos</w:t>
      </w:r>
    </w:p>
    <w:p>
      <w:r>
        <w:t>A Comunidade tem como objetivos:</w:t>
        <w:br/>
        <w:t>a) Formar e capacitar profissionais criativos com foco inicial em design e áreas correlatas;</w:t>
        <w:br/>
        <w:t>b) Promover a partilha de conhecimento, ferramentas e experiências entre os membros;</w:t>
        <w:br/>
        <w:t>c) Integrar profissionais de diversas áreas: designers gráficos, videomakers, editores, desenvolvedores web, programadores, criadores de conteúdo, etc.;</w:t>
        <w:br/>
        <w:t>d) Criar e gerir projectos colaborativos e interdisciplinares;</w:t>
        <w:br/>
        <w:t>e) Estabelecer valores e padrões de qualidade no mercado criativo nacional;</w:t>
        <w:br/>
        <w:t>f) Estimular o crescimento profissional e ético dos membros;</w:t>
        <w:br/>
        <w:t>g) Construir uma rede de suporte, oportunidades e representatividade.</w:t>
      </w:r>
    </w:p>
    <w:p>
      <w:pPr>
        <w:pStyle w:val="Heading2"/>
      </w:pPr>
      <w:r>
        <w:t>CAPÍTULO III – MEMBROS DA COMUNIDADE</w:t>
      </w:r>
    </w:p>
    <w:p>
      <w:r>
        <w:t>Artigo 5.º – Admissão</w:t>
      </w:r>
    </w:p>
    <w:p>
      <w:r>
        <w:t>Poderão integrar a Comunidade todos os indivíduos com interesse nas áreas de design, tecnologia, comunicação, criação e desenvolvimento, mediante inscrição e aceitação do presente Estatuto.</w:t>
      </w:r>
    </w:p>
    <w:p>
      <w:r>
        <w:t>Artigo 6.º – Categorias de Membros</w:t>
      </w:r>
    </w:p>
    <w:p>
      <w:r>
        <w:t>a) Fundadores – Idealizadores e responsáveis pela estrutura inicial;</w:t>
        <w:br/>
        <w:t>b) Membros Activos – Participam regularmente em actividades e projectos;</w:t>
        <w:br/>
        <w:t>c) Colaboradores – Participam pontualmente em acções específicas;</w:t>
        <w:br/>
        <w:t>d) Mentores/Parceiros – Profissionais experientes que contribuem com formação, orientação ou apoio institucional.</w:t>
      </w:r>
    </w:p>
    <w:p>
      <w:r>
        <w:t>Artigo 7.º – Direitos dos Membros</w:t>
      </w:r>
    </w:p>
    <w:p>
      <w:r>
        <w:t>a) Participar em actividades, formações, reuniões e projectos;</w:t>
        <w:br/>
        <w:t>b) Propor ideias e iniciativas dentro da comunidade;</w:t>
        <w:br/>
        <w:t>c) Aceder a materiais e oportunidades exclusivas;</w:t>
        <w:br/>
        <w:t>d) Votar em decisões estratégicas (quando aplicável).</w:t>
      </w:r>
    </w:p>
    <w:p>
      <w:r>
        <w:t>Artigo 8.º – Deveres dos Membros</w:t>
      </w:r>
    </w:p>
    <w:p>
      <w:r>
        <w:t>a) Cumprir e respeitar este Estatuto;</w:t>
        <w:br/>
        <w:t>b) Colaborar com ética, respeito e responsabilidade;</w:t>
        <w:br/>
        <w:t>c) Promover a imagem e os princípios da Comunidade;</w:t>
        <w:br/>
        <w:t>d) Contribuir para um ambiente positivo e inclusivo.</w:t>
      </w:r>
    </w:p>
    <w:p>
      <w:pPr>
        <w:pStyle w:val="Heading2"/>
      </w:pPr>
      <w:r>
        <w:t>CAPÍTULO IV – ORGANIZAÇÃO E ESTRUTURA</w:t>
      </w:r>
    </w:p>
    <w:p>
      <w:r>
        <w:t>Artigo 9.º – Estrutura Organizativa</w:t>
      </w:r>
    </w:p>
    <w:p>
      <w:r>
        <w:t>A Comunidade será organizada de forma horizontal, mas com células de gestão autogerenciável:</w:t>
        <w:br/>
        <w:br/>
        <w:t>1. Coordenação Geral – Responsável pela visão, organização estratégica e manutenção dos princípios do Próximo Nível.</w:t>
        <w:br/>
        <w:br/>
        <w:t>2. Células Temáticas ou Núcleos de Trabalho – Organizadas por áreas como:</w:t>
        <w:br/>
        <w:t xml:space="preserve">   a) Design Gráfico</w:t>
        <w:br/>
        <w:t xml:space="preserve">   b) Audiovisual</w:t>
        <w:br/>
        <w:t xml:space="preserve">   c) Programação &amp; Web</w:t>
        <w:br/>
        <w:t xml:space="preserve">   d) Comunicação &amp; Estratégia</w:t>
        <w:br/>
        <w:t xml:space="preserve">   e) Formação &amp; Mentoria</w:t>
        <w:br/>
        <w:br/>
        <w:t>3. Grupos de Projectos – Times temporários para desenvolver projectos específicos.</w:t>
      </w:r>
    </w:p>
    <w:p>
      <w:r>
        <w:t>Artigo 10.º – Decisões</w:t>
      </w:r>
    </w:p>
    <w:p>
      <w:r>
        <w:t>As decisões estratégicas serão tomadas de forma colaborativa, por meio de votações em assembleias virtuais ou presenciais, sempre buscando o consenso.</w:t>
      </w:r>
    </w:p>
    <w:p>
      <w:pPr>
        <w:pStyle w:val="Heading2"/>
      </w:pPr>
      <w:r>
        <w:t>CAPÍTULO V – ATIVIDADES DA COMUNIDADE</w:t>
      </w:r>
    </w:p>
    <w:p>
      <w:r>
        <w:t>Artigo 11.º – Tipos de Atividades</w:t>
      </w:r>
    </w:p>
    <w:p>
      <w:r>
        <w:t>A Comunidade poderá desenvolver:</w:t>
        <w:br/>
        <w:t>a) Cursos e workshops internos e externos;</w:t>
        <w:br/>
        <w:t>b) Hackathons, laboratórios criativos e desafios;</w:t>
        <w:br/>
        <w:t>c) Portfólios colaborativos;</w:t>
        <w:br/>
        <w:t>d) Eventos e conferências;</w:t>
        <w:br/>
        <w:t>e) Publicações, artigos, podcasts, etc.;</w:t>
        <w:br/>
        <w:t>f) Prestação de serviços conjuntos para o mercado.</w:t>
      </w:r>
    </w:p>
    <w:p>
      <w:pPr>
        <w:pStyle w:val="Heading2"/>
      </w:pPr>
      <w:r>
        <w:t>CAPÍTULO VI – RECURSOS E SUSTENTABILIDADE</w:t>
      </w:r>
    </w:p>
    <w:p>
      <w:r>
        <w:t>Artigo 12.º – Fontes de Recursos</w:t>
      </w:r>
    </w:p>
    <w:p>
      <w:r>
        <w:t>A Comunidade poderá obter recursos financeiros e materiais através de:</w:t>
        <w:br/>
        <w:t>a) Parcerias e patrocínios;</w:t>
        <w:br/>
        <w:t>b) Doações e contribuições voluntárias;</w:t>
        <w:br/>
        <w:t>c) Prestação de serviços e execução de projectos;</w:t>
        <w:br/>
        <w:t>d) Produção e venda de materiais formativos.</w:t>
      </w:r>
    </w:p>
    <w:p>
      <w:r>
        <w:t>Artigo 13.º – Gestão dos Recursos</w:t>
      </w:r>
    </w:p>
    <w:p>
      <w:r>
        <w:t>A gestão será transparente e participativa, com prestação de contas pública aos membros.</w:t>
      </w:r>
    </w:p>
    <w:p>
      <w:pPr>
        <w:pStyle w:val="Heading2"/>
      </w:pPr>
      <w:r>
        <w:t>CAPÍTULO VII – DISPOSIÇÕES FINAIS</w:t>
      </w:r>
    </w:p>
    <w:p>
      <w:r>
        <w:t>Artigo 14.º – Alterações ao Estatuto</w:t>
      </w:r>
    </w:p>
    <w:p>
      <w:r>
        <w:t>O presente Estatuto poderá ser alterado em reunião extraordinária da Comunidade, com aprovação mínima de 2/3 dos membros activos.</w:t>
      </w:r>
    </w:p>
    <w:p>
      <w:r>
        <w:t>Artigo 15.º – Dissolução</w:t>
      </w:r>
    </w:p>
    <w:p>
      <w:r>
        <w:t>Em caso de dissolução da Comunidade, todos os bens e activos serão redirecionados a iniciativas de apoio à juventude criativa e à educação.</w:t>
      </w:r>
    </w:p>
    <w:p>
      <w:r>
        <w:t>Artigo 16.º – Casos Omissos</w:t>
      </w:r>
    </w:p>
    <w:p>
      <w:r>
        <w:t>Os casos omissos neste Estatuto serão resolvidos pela Coordenação Geral com base nos princípios de transparência, equidade e colaboração.</w:t>
      </w:r>
    </w:p>
    <w:p>
      <w:r>
        <w:br/>
        <w:t>Feito e aprovado no dia [INSERIR DATA], por unanimidade dos membros fundadores do PRÓXIMO NÍVEL.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