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9B5F22">
        <w:rPr>
          <w:rFonts w:hint="eastAsia"/>
          <w:b/>
          <w:sz w:val="72"/>
          <w:szCs w:val="72"/>
        </w:rPr>
        <w:t>七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9B5F22" w:rsidP="009B5F22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10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9B5F22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9B5F22">
              <w:rPr>
                <w:rFonts w:hint="eastAsia"/>
                <w:sz w:val="36"/>
                <w:szCs w:val="36"/>
              </w:rPr>
              <w:t>修改需求分析文档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9B5F22" w:rsidP="007C74A8">
            <w:pPr>
              <w:spacing w:before="120" w:after="120"/>
              <w:ind w:firstLine="480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我们在周二听取了杨老师的建议后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对我们原先的需求分析做出了评判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讨论了我们需求分析报告不足的地方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然后做出修改</w:t>
            </w:r>
            <w:r>
              <w:rPr>
                <w:rFonts w:hint="eastAsia"/>
                <w:sz w:val="36"/>
                <w:szCs w:val="36"/>
              </w:rPr>
              <w:t>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9B5F22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2019-04-13T13:18:00Z</dcterms:created>
  <dcterms:modified xsi:type="dcterms:W3CDTF">2019-04-13T13:18:00Z</dcterms:modified>
</cp:coreProperties>
</file>