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Drug Synergy Prediction Landscape and Next Generation Research Directions</w:t>
      </w:r>
    </w:p>
    <w:p>
      <w:r>
        <w:t>A critical synthesis of methods, evaluation, biological mechanisms, and emerging research opportunities</w:t>
      </w:r>
    </w:p>
    <w:p>
      <w:pPr>
        <w:pStyle w:val="Heading1"/>
      </w:pPr>
      <w:r>
        <w:t>Executive Summary</w:t>
      </w:r>
    </w:p>
    <w:p>
      <w:r>
        <w:t>Drug synergy prediction has moved from architecture-led benchmark competition toward a more demanding question: do models learn biology that transfers to new drugs, cell contexts, and dose settings? The supplied survey spans molecular and multimodal representations, historical synergy priors, cold-start evaluation, multi-target mechanisms, higher-order combinations, and agent-based research workflows. Its most consequential lesson is methodological. A strong score on a random split can coexist with entity memorization, shared-screen leakage, or an uninformative mechanistic explanation.</w:t>
      </w:r>
    </w:p>
    <w:p>
      <w:r>
        <w:t>The most promising next study connects biological evidence to a decision: select a drug pair, cell context, dose region, and experiment whose result can test a specified mechanism. This requires measured combination responses, matched single-agent controls, contextual molecular data, honest uncertainty, and comparisons against simple identity and retrieval baselines. Agent systems and latent world models are plausible components, but their scientific value depends on improved prediction or experimental prioritization under those controls.</w:t>
      </w:r>
    </w:p>
    <w:p>
      <w:pPr>
        <w:pStyle w:val="Heading1"/>
      </w:pPr>
      <w:r>
        <w:t>1 Scope and Terminology</w:t>
      </w:r>
    </w:p>
    <w:p>
      <w:r>
        <w:t>A drug combination is synergistic only relative to an explicit null model and endpoint. Bliss independence, Loewe additivity, highest-single-agent (HSA), and ZIP can disagree because they formalize different expectations. Their scores should not be pooled without harmonizing dose grids, response orientation, assay time, and cell context. Viability synergy, transcriptomic interaction, therapeutic selectivity, and clinical benefit are distinct outcomes.</w:t>
      </w:r>
    </w:p>
    <w:p>
      <w:r>
        <w:t>The survey's central topic is two-drug synergy. It also identifies continuous or ordinal score prediction, combinations of three or more drugs, and target-level explanations as important extensions. Each extension changes the data and validation requirements; none follows automatically from pairwise classification accuracy.</w:t>
      </w:r>
    </w:p>
    <w:p>
      <w:pPr>
        <w:pStyle w:val="Heading1"/>
      </w:pPr>
      <w:r>
        <w:t>2 Current Method Landscape</w:t>
      </w:r>
    </w:p>
    <w:tbl>
      <w:tblPr>
        <w:tblW w:type="auto" w:w="0"/>
        <w:jc w:val="center"/>
        <w:tblLayout w:type="fixed"/>
        <w:tblLook w:firstColumn="1" w:firstRow="1" w:lastColumn="0" w:lastRow="0" w:noHBand="0" w:noVBand="1" w:val="04A0"/>
      </w:tblPr>
      <w:tblGrid>
        <w:gridCol w:w="1613"/>
        <w:gridCol w:w="2045"/>
        <w:gridCol w:w="3096"/>
        <w:gridCol w:w="3038"/>
      </w:tblGrid>
      <w:tr>
        <w:trPr>
          <w:cantSplit/>
          <w:tblHeader/>
        </w:trPr>
        <w:tc>
          <w:tcPr>
            <w:tcW w:type="dxa" w:w="1613"/>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Research line</w:t>
            </w:r>
          </w:p>
        </w:tc>
        <w:tc>
          <w:tcPr>
            <w:tcW w:type="dxa" w:w="2045"/>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Representative approaches</w:t>
            </w:r>
          </w:p>
        </w:tc>
        <w:tc>
          <w:tcPr>
            <w:tcW w:type="dxa" w:w="3096"/>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What it adds</w:t>
            </w:r>
          </w:p>
        </w:tc>
        <w:tc>
          <w:tcPr>
            <w:tcW w:type="dxa" w:w="3038"/>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Main vulnerability</w:t>
            </w:r>
          </w:p>
        </w:tc>
      </w:tr>
      <w:tr>
        <w:trPr>
          <w:cantSplit/>
        </w:trPr>
        <w:tc>
          <w:tcPr>
            <w:tcW w:type="dxa" w:w="1613"/>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LLM and text features</w:t>
            </w:r>
          </w:p>
        </w:tc>
        <w:tc>
          <w:tcPr>
            <w:tcW w:type="dxa" w:w="204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BAITSAO; CoSynLLM</w:t>
            </w:r>
          </w:p>
        </w:tc>
        <w:tc>
          <w:tcPr>
            <w:tcW w:type="dxa" w:w="30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Drug and cell descriptions; semantic prior information</w:t>
            </w:r>
          </w:p>
        </w:tc>
        <w:tc>
          <w:tcPr>
            <w:tcW w:type="dxa" w:w="303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Text can encode familiar identities without new biological signal</w:t>
            </w:r>
          </w:p>
        </w:tc>
      </w:tr>
      <w:tr>
        <w:trPr>
          <w:cantSplit/>
        </w:trPr>
        <w:tc>
          <w:tcPr>
            <w:tcW w:type="dxa" w:w="1613"/>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Multimodal fusion</w:t>
            </w:r>
          </w:p>
        </w:tc>
        <w:tc>
          <w:tcPr>
            <w:tcW w:type="dxa" w:w="2045"/>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UniSyn; contrastive fusion; MHGSynergy</w:t>
            </w:r>
          </w:p>
        </w:tc>
        <w:tc>
          <w:tcPr>
            <w:tcW w:type="dxa" w:w="3096"/>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Structure, targets, omics, and graph views</w:t>
            </w:r>
          </w:p>
        </w:tc>
        <w:tc>
          <w:tcPr>
            <w:tcW w:type="dxa" w:w="3038"/>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Fusion may not survive cold-start or missing modalities</w:t>
            </w:r>
          </w:p>
        </w:tc>
      </w:tr>
      <w:tr>
        <w:trPr>
          <w:cantSplit/>
        </w:trPr>
        <w:tc>
          <w:tcPr>
            <w:tcW w:type="dxa" w:w="1613"/>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Historical synergy priors</w:t>
            </w:r>
          </w:p>
        </w:tc>
        <w:tc>
          <w:tcPr>
            <w:tcW w:type="dxa" w:w="204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DPSM-Synergy; collaborative filtering</w:t>
            </w:r>
          </w:p>
        </w:tc>
        <w:tc>
          <w:tcPr>
            <w:tcW w:type="dxa" w:w="30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Observed pair-response regularities</w:t>
            </w:r>
          </w:p>
        </w:tc>
        <w:tc>
          <w:tcPr>
            <w:tcW w:type="dxa" w:w="303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Outcome-derived priors can leak into held-out pairs</w:t>
            </w:r>
          </w:p>
        </w:tc>
      </w:tr>
      <w:tr>
        <w:trPr>
          <w:cantSplit/>
        </w:trPr>
        <w:tc>
          <w:tcPr>
            <w:tcW w:type="dxa" w:w="1613"/>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Cold-start evaluation</w:t>
            </w:r>
          </w:p>
        </w:tc>
        <w:tc>
          <w:tcPr>
            <w:tcW w:type="dxa" w:w="2045"/>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SynVerse; UniSyn split analyses</w:t>
            </w:r>
          </w:p>
        </w:tc>
        <w:tc>
          <w:tcPr>
            <w:tcW w:type="dxa" w:w="3096"/>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Explicit unseen drugs, pairs, and cell contexts</w:t>
            </w:r>
          </w:p>
        </w:tc>
        <w:tc>
          <w:tcPr>
            <w:tcW w:type="dxa" w:w="3038"/>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Performance depends strongly on split definition</w:t>
            </w:r>
          </w:p>
        </w:tc>
      </w:tr>
      <w:tr>
        <w:trPr>
          <w:cantSplit/>
        </w:trPr>
        <w:tc>
          <w:tcPr>
            <w:tcW w:type="dxa" w:w="1613"/>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Shortcut audits</w:t>
            </w:r>
          </w:p>
        </w:tc>
        <w:tc>
          <w:tcPr>
            <w:tcW w:type="dxa" w:w="204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One-Hot News; UnbiasNet</w:t>
            </w:r>
          </w:p>
        </w:tc>
        <w:tc>
          <w:tcPr>
            <w:tcW w:type="dxa" w:w="30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Identity and entity-frequency controls</w:t>
            </w:r>
          </w:p>
        </w:tc>
        <w:tc>
          <w:tcPr>
            <w:tcW w:type="dxa" w:w="303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Molecular features may add less than implied by benchmark scores</w:t>
            </w:r>
          </w:p>
        </w:tc>
      </w:tr>
    </w:tbl>
    <w:p>
      <w:pPr>
        <w:pStyle w:val="Heading2"/>
      </w:pPr>
      <w:r>
        <w:t>Representative model designs</w:t>
      </w:r>
    </w:p>
    <w:tbl>
      <w:tblPr>
        <w:tblW w:type="auto" w:w="0"/>
        <w:jc w:val="center"/>
        <w:tblLayout w:type="fixed"/>
        <w:tblLook w:firstColumn="1" w:firstRow="1" w:lastColumn="0" w:lastRow="0" w:noHBand="0" w:noVBand="1" w:val="04A0"/>
      </w:tblPr>
      <w:tblGrid>
        <w:gridCol w:w="1843"/>
        <w:gridCol w:w="4392"/>
        <w:gridCol w:w="3557"/>
      </w:tblGrid>
      <w:tr>
        <w:trPr>
          <w:cantSplit/>
          <w:tblHeader/>
        </w:trPr>
        <w:tc>
          <w:tcPr>
            <w:tcW w:type="dxa" w:w="1843"/>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Method</w:t>
            </w:r>
          </w:p>
        </w:tc>
        <w:tc>
          <w:tcPr>
            <w:tcW w:type="dxa" w:w="4392"/>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Representation and fusion</w:t>
            </w:r>
          </w:p>
        </w:tc>
        <w:tc>
          <w:tcPr>
            <w:tcW w:type="dxa" w:w="3557"/>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Research lesson</w:t>
            </w:r>
          </w:p>
        </w:tc>
      </w:tr>
      <w:tr>
        <w:trPr>
          <w:cantSplit/>
        </w:trPr>
        <w:tc>
          <w:tcPr>
            <w:tcW w:type="dxa" w:w="1843"/>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BAITSAO</w:t>
            </w:r>
          </w:p>
        </w:tc>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LLM-derived drug and cell features with multitask learning</w:t>
            </w:r>
          </w:p>
        </w:tc>
        <w:tc>
          <w:tcPr>
            <w:tcW w:type="dxa" w:w="355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Test semantic features against simple identity and chemical controls</w:t>
            </w:r>
          </w:p>
        </w:tc>
      </w:tr>
      <w:tr>
        <w:trPr>
          <w:cantSplit/>
        </w:trPr>
        <w:tc>
          <w:tcPr>
            <w:tcW w:type="dxa" w:w="1843"/>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UniSyn</w:t>
            </w:r>
          </w:p>
        </w:tc>
        <w:tc>
          <w:tcPr>
            <w:tcW w:type="dxa" w:w="439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Multimodal drug features, cell omics, and single-agent transfer</w:t>
            </w:r>
          </w:p>
        </w:tc>
        <w:tc>
          <w:tcPr>
            <w:tcW w:type="dxa" w:w="3557"/>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Determine which transfer signal survives unseen drugs</w:t>
            </w:r>
          </w:p>
        </w:tc>
      </w:tr>
      <w:tr>
        <w:trPr>
          <w:cantSplit/>
        </w:trPr>
        <w:tc>
          <w:tcPr>
            <w:tcW w:type="dxa" w:w="1843"/>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CoSynLLM</w:t>
            </w:r>
          </w:p>
        </w:tc>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Generated drug text, molecular fingerprints, and expression profiles</w:t>
            </w:r>
          </w:p>
        </w:tc>
        <w:tc>
          <w:tcPr>
            <w:tcW w:type="dxa" w:w="355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Evaluate text value specifically under cold-start</w:t>
            </w:r>
          </w:p>
        </w:tc>
      </w:tr>
      <w:tr>
        <w:trPr>
          <w:cantSplit/>
        </w:trPr>
        <w:tc>
          <w:tcPr>
            <w:tcW w:type="dxa" w:w="1843"/>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Guided contrastive fusion</w:t>
            </w:r>
          </w:p>
        </w:tc>
        <w:tc>
          <w:tcPr>
            <w:tcW w:type="dxa" w:w="439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Structure, target, and physicochemical views aligned through contrastive training</w:t>
            </w:r>
          </w:p>
        </w:tc>
        <w:tc>
          <w:tcPr>
            <w:tcW w:type="dxa" w:w="3557"/>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Measure downstream gain when a modality is absent</w:t>
            </w:r>
          </w:p>
        </w:tc>
      </w:tr>
      <w:tr>
        <w:trPr>
          <w:cantSplit/>
        </w:trPr>
        <w:tc>
          <w:tcPr>
            <w:tcW w:type="dxa" w:w="1843"/>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MHGSynergy</w:t>
            </w:r>
          </w:p>
        </w:tc>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Separate hypergraphs for chemical, target, and physical features</w:t>
            </w:r>
          </w:p>
        </w:tc>
        <w:tc>
          <w:tcPr>
            <w:tcW w:type="dxa" w:w="355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Compare with simpler set and graph representations</w:t>
            </w:r>
          </w:p>
        </w:tc>
      </w:tr>
      <w:tr>
        <w:trPr>
          <w:cantSplit/>
        </w:trPr>
        <w:tc>
          <w:tcPr>
            <w:tcW w:type="dxa" w:w="1843"/>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DPSM-Synergy</w:t>
            </w:r>
          </w:p>
        </w:tc>
        <w:tc>
          <w:tcPr>
            <w:tcW w:type="dxa" w:w="439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Pretrained chemical encoder and graph branch with synergy-history information</w:t>
            </w:r>
          </w:p>
        </w:tc>
        <w:tc>
          <w:tcPr>
            <w:tcW w:type="dxa" w:w="3557"/>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Audit whether historical outcomes cross the evaluation split</w:t>
            </w:r>
          </w:p>
        </w:tc>
      </w:tr>
    </w:tbl>
    <w:p>
      <w:r>
        <w:t>These approaches are complementary rather than interchangeable. A chemical encoder addresses structural similarity; a target graph offers a candidate mechanism; a cell-state profile defines context; and a synergy matrix records historical outcomes. The key scientific question is which source contributes information that remains available for a genuinely unseen candidate.</w:t>
      </w:r>
    </w:p>
    <w:p>
      <w:pPr>
        <w:pStyle w:val="Heading1"/>
      </w:pPr>
      <w:r>
        <w:t>3 Evaluation Lessons That Change the Research Agenda</w:t>
      </w:r>
    </w:p>
    <w:p>
      <w:pPr>
        <w:pStyle w:val="Heading2"/>
      </w:pPr>
      <w:r>
        <w:t>Identity and frequency shortcuts</w:t>
      </w:r>
    </w:p>
    <w:p>
      <w:r>
        <w:t>The source survey highlights reports in which one-hot drug and cell identifiers are competitive with richer features, and in which the frequency of an entity in the training graph can become a shortcut. This makes identity-only and frequency-aware baselines mandatory. Better random-split accuracy is not evidence of molecular understanding if the same compounds and cells recur on both sides of the split.</w:t>
      </w:r>
    </w:p>
    <w:p>
      <w:pPr>
        <w:pStyle w:val="Heading2"/>
      </w:pPr>
      <w:r>
        <w:t>Leakage and cold-start</w:t>
      </w:r>
    </w:p>
    <w:p>
      <w:r>
        <w:t>At minimum, evaluation should distinguish unseen pair, unseen drug, unseen chemical scaffold, and unseen cell-context settings. Chemical salts or close analogues, replicate screens, outcome-derived graph edges, fitted preprocessing, and retrieval libraries can all cross a split boundary. A valid test freezes these boundaries before model selection and reports each stratum separately. Random splits remain useful for comparison, but they cannot establish deployment generalization.</w:t>
      </w:r>
    </w:p>
    <w:p>
      <w:pPr>
        <w:pStyle w:val="Heading2"/>
      </w:pPr>
      <w:r>
        <w:t>Replicates and uncertainty</w:t>
      </w:r>
    </w:p>
    <w:p>
      <w:r>
        <w:t>Synergy labels inherit uncertainty from dose-response measurements and the chosen reference model. Model confidence intervals should be checked for coverage and width, not merely displayed. Repeated seeds, independent experimental units, and clear uncertainty intervals are needed before ranking small architecture differences.</w:t>
      </w:r>
    </w:p>
    <w:p>
      <w:pPr>
        <w:pStyle w:val="Heading1"/>
      </w:pPr>
      <w:r>
        <w:t>4 Data Resources and Their Distinct Roles</w:t>
      </w:r>
    </w:p>
    <w:tbl>
      <w:tblPr>
        <w:tblW w:type="auto" w:w="0"/>
        <w:jc w:val="center"/>
        <w:tblLayout w:type="fixed"/>
        <w:tblLook w:firstColumn="1" w:firstRow="1" w:lastColumn="0" w:lastRow="0" w:noHBand="0" w:noVBand="1" w:val="04A0"/>
      </w:tblPr>
      <w:tblGrid>
        <w:gridCol w:w="2232"/>
        <w:gridCol w:w="2952"/>
        <w:gridCol w:w="4608"/>
      </w:tblGrid>
      <w:tr>
        <w:trPr>
          <w:cantSplit/>
          <w:tblHeader/>
        </w:trPr>
        <w:tc>
          <w:tcPr>
            <w:tcW w:type="dxa" w:w="2232"/>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Resource</w:t>
            </w:r>
          </w:p>
        </w:tc>
        <w:tc>
          <w:tcPr>
            <w:tcW w:type="dxa" w:w="2952"/>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Potential use</w:t>
            </w:r>
          </w:p>
        </w:tc>
        <w:tc>
          <w:tcPr>
            <w:tcW w:type="dxa" w:w="4608"/>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Qualification question</w:t>
            </w:r>
          </w:p>
        </w:tc>
      </w:tr>
      <w:tr>
        <w:trPr>
          <w:cantSplit/>
        </w:trPr>
        <w:tc>
          <w:tcPr>
            <w:tcW w:type="dxa" w:w="22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O'Neil</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Compact pair-response benchmark and method comparison</w:t>
            </w:r>
          </w:p>
        </w:tc>
        <w:tc>
          <w:tcPr>
            <w:tcW w:type="dxa" w:w="460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Are dose grids, cell contexts, and matched monotherapy curves available?</w:t>
            </w:r>
          </w:p>
        </w:tc>
      </w:tr>
      <w:tr>
        <w:trPr>
          <w:cantSplit/>
        </w:trPr>
        <w:tc>
          <w:tcPr>
            <w:tcW w:type="dxa" w:w="223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NCI-ALMANAC</w:t>
            </w:r>
          </w:p>
        </w:tc>
        <w:tc>
          <w:tcPr>
            <w:tcW w:type="dxa" w:w="295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Larger cross-context combination screen</w:t>
            </w:r>
          </w:p>
        </w:tc>
        <w:tc>
          <w:tcPr>
            <w:tcW w:type="dxa" w:w="4608"/>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Can shared drugs and assay batches be grouped across splits?</w:t>
            </w:r>
          </w:p>
        </w:tc>
      </w:tr>
      <w:tr>
        <w:trPr>
          <w:cantSplit/>
        </w:trPr>
        <w:tc>
          <w:tcPr>
            <w:tcW w:type="dxa" w:w="22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DrugComb</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Broad combination outcomes and reference-model comparisons</w:t>
            </w:r>
          </w:p>
        </w:tc>
        <w:tc>
          <w:tcPr>
            <w:tcW w:type="dxa" w:w="460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Which source screens are comparable and independently measured?</w:t>
            </w:r>
          </w:p>
        </w:tc>
      </w:tr>
      <w:tr>
        <w:trPr>
          <w:cantSplit/>
        </w:trPr>
        <w:tc>
          <w:tcPr>
            <w:tcW w:type="dxa" w:w="223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DrugBank or curated target sets</w:t>
            </w:r>
          </w:p>
        </w:tc>
        <w:tc>
          <w:tcPr>
            <w:tcW w:type="dxa" w:w="295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Drug-target mechanism candidates</w:t>
            </w:r>
          </w:p>
        </w:tc>
        <w:tc>
          <w:tcPr>
            <w:tcW w:type="dxa" w:w="4608"/>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Is target binding active at the tested dose in that cell?</w:t>
            </w:r>
          </w:p>
        </w:tc>
      </w:tr>
      <w:tr>
        <w:trPr>
          <w:cantSplit/>
        </w:trPr>
        <w:tc>
          <w:tcPr>
            <w:tcW w:type="dxa" w:w="22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KEGG or Reactome</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Pathway relationships and feedback hypotheses</w:t>
            </w:r>
          </w:p>
        </w:tc>
        <w:tc>
          <w:tcPr>
            <w:tcW w:type="dxa" w:w="460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Does the graph describe the tested context and direction?</w:t>
            </w:r>
          </w:p>
        </w:tc>
      </w:tr>
      <w:tr>
        <w:trPr>
          <w:cantSplit/>
        </w:trPr>
        <w:tc>
          <w:tcPr>
            <w:tcW w:type="dxa" w:w="223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Perturbation omics and dependencies</w:t>
            </w:r>
          </w:p>
        </w:tc>
        <w:tc>
          <w:tcPr>
            <w:tcW w:type="dxa" w:w="295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Drug response programs and functional vulnerability</w:t>
            </w:r>
          </w:p>
        </w:tc>
        <w:tc>
          <w:tcPr>
            <w:tcW w:type="dxa" w:w="4608"/>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Do dose, time, cell identity, and replicate quality match?</w:t>
            </w:r>
          </w:p>
        </w:tc>
      </w:tr>
    </w:tbl>
    <w:p>
      <w:r>
        <w:t>The source document describes O'Neil, NCI-ALMANAC, and DrugComb as progressively broader combination resources. Their sample counts should be interpreted as dataset- and filtering-dependent rather than directly comparable. Dataset size alone does not imply independent biological evidence. A joined target, pathway, or transcriptome feature is usable for a prospective prediction only if it would have been known before measuring that combination.</w:t>
      </w:r>
    </w:p>
    <w:p>
      <w:pPr>
        <w:pStyle w:val="Heading1"/>
      </w:pPr>
      <w:r>
        <w:t>5 UniSyn v2 as a Case Study in Architecture and Evidence</w:t>
      </w:r>
    </w:p>
    <w:p>
      <w:r>
        <w:t>The source survey traces UniSyn v2 across nine proposed modules: a symmetric pair head, alternative pooling rules, gated multimodal fusion, a trainable mechanism graph, a collaborative-filtering branch, text descriptions, contrastive pretraining, cold-start evaluation, and uncertainty-weighted loss. The useful distinction is between a design that is technically plausible and a contribution supported by controlled experiments.</w:t>
      </w:r>
    </w:p>
    <w:tbl>
      <w:tblPr>
        <w:tblW w:type="auto" w:w="0"/>
        <w:jc w:val="center"/>
        <w:tblLayout w:type="fixed"/>
        <w:tblLook w:firstColumn="1" w:firstRow="1" w:lastColumn="0" w:lastRow="0" w:noHBand="0" w:noVBand="1" w:val="04A0"/>
      </w:tblPr>
      <w:tblGrid>
        <w:gridCol w:w="1800"/>
        <w:gridCol w:w="3283"/>
        <w:gridCol w:w="4709"/>
      </w:tblGrid>
      <w:tr>
        <w:trPr>
          <w:cantSplit/>
          <w:tblHeader/>
        </w:trPr>
        <w:tc>
          <w:tcPr>
            <w:tcW w:type="dxa" w:w="1800"/>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Module</w:t>
            </w:r>
          </w:p>
        </w:tc>
        <w:tc>
          <w:tcPr>
            <w:tcW w:type="dxa" w:w="3283"/>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Scientific rationale</w:t>
            </w:r>
          </w:p>
        </w:tc>
        <w:tc>
          <w:tcPr>
            <w:tcW w:type="dxa" w:w="4709"/>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Decisive comparison</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Symmetric pair head</w:t>
            </w:r>
          </w:p>
        </w:tc>
        <w:tc>
          <w:tcPr>
            <w:tcW w:type="dxa" w:w="3283"/>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Remove dependence on drug order by construction</w:t>
            </w:r>
          </w:p>
        </w:tc>
        <w:tc>
          <w:tcPr>
            <w:tcW w:type="dxa" w:w="4709"/>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Swap-order invariance and gain over a capacity-matched symmetric baseline</w:t>
            </w:r>
          </w:p>
        </w:tc>
      </w:tr>
      <w:tr>
        <w:trPr>
          <w:cantSplit/>
        </w:trPr>
        <w:tc>
          <w:tcPr>
            <w:tcW w:type="dxa" w:w="1800"/>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Gated multimodal fusion</w:t>
            </w:r>
          </w:p>
        </w:tc>
        <w:tc>
          <w:tcPr>
            <w:tcW w:type="dxa" w:w="3283"/>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Adapt to missing or conflicting modalities</w:t>
            </w:r>
          </w:p>
        </w:tc>
        <w:tc>
          <w:tcPr>
            <w:tcW w:type="dxa" w:w="4709"/>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Per-modality dropout and cold-start ablations</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Mechanism graph</w:t>
            </w:r>
          </w:p>
        </w:tc>
        <w:tc>
          <w:tcPr>
            <w:tcW w:type="dxa" w:w="3283"/>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Propagate target and pathway information</w:t>
            </w:r>
          </w:p>
        </w:tc>
        <w:tc>
          <w:tcPr>
            <w:tcW w:type="dxa" w:w="4709"/>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Incremental gain over target-set and simple pathway features</w:t>
            </w:r>
          </w:p>
        </w:tc>
      </w:tr>
      <w:tr>
        <w:trPr>
          <w:cantSplit/>
        </w:trPr>
        <w:tc>
          <w:tcPr>
            <w:tcW w:type="dxa" w:w="1800"/>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Collaborative filtering</w:t>
            </w:r>
          </w:p>
        </w:tc>
        <w:tc>
          <w:tcPr>
            <w:tcW w:type="dxa" w:w="3283"/>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Use historical pair patterns</w:t>
            </w:r>
          </w:p>
        </w:tc>
        <w:tc>
          <w:tcPr>
            <w:tcW w:type="dxa" w:w="4709"/>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No access to held-out pair outcomes; entity-balanced splits</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Text descriptions</w:t>
            </w:r>
          </w:p>
        </w:tc>
        <w:tc>
          <w:tcPr>
            <w:tcW w:type="dxa" w:w="3283"/>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Supply prior knowledge for sparse entities</w:t>
            </w:r>
          </w:p>
        </w:tc>
        <w:tc>
          <w:tcPr>
            <w:tcW w:type="dxa" w:w="4709"/>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Cold-start gain over fingerprint and target baselines</w:t>
            </w:r>
          </w:p>
        </w:tc>
      </w:tr>
      <w:tr>
        <w:trPr>
          <w:cantSplit/>
        </w:trPr>
        <w:tc>
          <w:tcPr>
            <w:tcW w:type="dxa" w:w="1800"/>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Contrastive pretraining</w:t>
            </w:r>
          </w:p>
        </w:tc>
        <w:tc>
          <w:tcPr>
            <w:tcW w:type="dxa" w:w="3283"/>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Align representations before synergy training</w:t>
            </w:r>
          </w:p>
        </w:tc>
        <w:tc>
          <w:tcPr>
            <w:tcW w:type="dxa" w:w="4709"/>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Downstream improvement, not only pretraining correlation</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Uncertainty weighting</w:t>
            </w:r>
          </w:p>
        </w:tc>
        <w:tc>
          <w:tcPr>
            <w:tcW w:type="dxa" w:w="3283"/>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Balance tasks with differing noise</w:t>
            </w:r>
          </w:p>
        </w:tc>
        <w:tc>
          <w:tcPr>
            <w:tcW w:type="dxa" w:w="4709"/>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Ablation, interval calibration, and multi-seed stability</w:t>
            </w:r>
          </w:p>
        </w:tc>
      </w:tr>
    </w:tbl>
    <w:p>
      <w:r>
        <w:t>The original report identifies symmetric prediction and uncertainty weighting as promising parts of the story, while noting weak or mixed evidence for a text branch and a PPI mechanism graph in some settings. The strongest paper would distinguish robust effects from dataset-specific configuration choices rather than present every module as a universal gain.</w:t>
      </w:r>
    </w:p>
    <w:p>
      <w:r>
        <w:t>Its reported O'Neil comparison gives a small Pearson difference between two text sources (0.901 for CoSyn-style text versus 0.895 for OpenAI-style text). That comparison motivates a paired, repeated evaluation rather than a claim that text generally helps. The survey also describes dataset-specific pooling choices and limited PPI-graph benefit on O'Neil; these observations favor per-dataset ablations over a single universal configuration.</w:t>
      </w:r>
    </w:p>
    <w:p>
      <w:pPr>
        <w:pStyle w:val="Heading1"/>
      </w:pPr>
      <w:r>
        <w:t>6 Four Next Generation Research Questions</w:t>
      </w:r>
    </w:p>
    <w:p>
      <w:pPr>
        <w:pStyle w:val="Heading2"/>
      </w:pPr>
      <w:r>
        <w:t>Continuous and calibrated synergy</w:t>
      </w:r>
    </w:p>
    <w:p>
      <w:r>
        <w:t>Binary labels discard magnitude and uncertainty. A continuous prediction can preserve the dose-dependent score, while ordinal categories may help decisions if thresholds are linked to assay variability. Evaluate regression, ranking, and calibration together. A narrower interval is useful only when coverage remains valid, especially for unseen compounds.</w:t>
      </w:r>
    </w:p>
    <w:p>
      <w:pPr>
        <w:pStyle w:val="Heading2"/>
      </w:pPr>
      <w:r>
        <w:t>Three or more drugs</w:t>
      </w:r>
    </w:p>
    <w:p>
      <w:r>
        <w:t>Higher-order combinations face a rapidly expanding candidate space and scarce measured labels. The survey discusses pair-to-higher-order transfer, including Dose Model and PanThera, as possible starting points. A pilot should first establish coverage of triple dose matrices, define an appropriate higher-order null, and test how much additional signal remains beyond pairwise effects. Pair dominance is a hypothesis to test in each dataset.</w:t>
      </w:r>
    </w:p>
    <w:p>
      <w:pPr>
        <w:pStyle w:val="Heading2"/>
      </w:pPr>
      <w:r>
        <w:t>Multiple targets and pathway cross-talk</w:t>
      </w:r>
    </w:p>
    <w:p>
      <w:r>
        <w:t>Three settings must be separated: two drugs sharing a target, one drug acting on several targets, and two drugs acting on different targets connected through a disease pathway. The third setting offers the clearest mechanistic question: can joint inhibition of distinct nodes suppress an escape or feedback route in a particular cell context? A pathway graph can propose the route, but orthogonal target perturbations and matched phenotypes are needed to support causality. Virtual decomposition of a polypharmacological drug is more speculative because target effects are not generally independent.</w:t>
      </w:r>
    </w:p>
    <w:p>
      <w:pPr>
        <w:pStyle w:val="Heading2"/>
      </w:pPr>
      <w:r>
        <w:t>Research agents and virtual cell models</w:t>
      </w:r>
    </w:p>
    <w:p>
      <w:r>
        <w:t>The survey's agent proposal combines data gathering, prompt refinement, explanation, and a predictive model. A sharper research role is to compare competing biological explanations and choose a discriminating assay. The agent can retrieve target and pathway evidence, check conditions, identify missing measurements, and rank experiments. A virtual cell could estimate conditional responses and uncertainty for candidate interventions. Its simulated trajectories remain hypotheses; an experimental result is required to validate synergy or mechanism. The agent should be compared with a fixed ranking policy under the same data and budget.</w:t>
      </w:r>
    </w:p>
    <w:p>
      <w:pPr>
        <w:pStyle w:val="Heading1"/>
      </w:pPr>
      <w:r>
        <w:t>7 Recommended Experimental Program</w:t>
      </w:r>
    </w:p>
    <w:p>
      <w:pPr>
        <w:pStyle w:val="ListNumber"/>
        <w:spacing w:after="60"/>
      </w:pPr>
      <w:r>
        <w:t>Reproduce the principal two-drug benchmarks with fixed splits, several seeds, and confidence intervals; report O'Neil, NCI-ALMANAC, and DrugComb separately.</w:t>
      </w:r>
    </w:p>
    <w:p>
      <w:pPr>
        <w:pStyle w:val="ListNumber"/>
        <w:spacing w:after="60"/>
      </w:pPr>
      <w:r>
        <w:t>Audit split leakage, one-hot identity performance, entity frequency, near-duplicate compounds, and assay source overlap before interpreting biological gains.</w:t>
      </w:r>
    </w:p>
    <w:p>
      <w:pPr>
        <w:pStyle w:val="ListNumber"/>
        <w:spacing w:after="60"/>
      </w:pPr>
      <w:r>
        <w:t>Ablate the symmetric head, uncertainty-weighted loss, collaborative filtering, text features, mechanism graph, and contrastive pretraining with capacity-matched controls.</w:t>
      </w:r>
    </w:p>
    <w:p>
      <w:pPr>
        <w:pStyle w:val="ListNumber"/>
        <w:spacing w:after="60"/>
      </w:pPr>
      <w:r>
        <w:t>Evaluate unseen pairs, drugs, scaffolds, and cell contexts; measure continuous scores, top-ranked discovery yield, calibration, and selective abstention.</w:t>
      </w:r>
    </w:p>
    <w:p>
      <w:pPr>
        <w:pStyle w:val="ListNumber"/>
        <w:spacing w:after="60"/>
      </w:pPr>
      <w:r>
        <w:t>For target-pair mechanisms, preregister a small set of biological anchors and negative controls. Test proposed cross-talk using orthogonal perturbations where available.</w:t>
      </w:r>
    </w:p>
    <w:p>
      <w:pPr>
        <w:pStyle w:val="ListNumber"/>
        <w:spacing w:after="60"/>
      </w:pPr>
      <w:r>
        <w:t>Only after a strong non-agent baseline is established, compare an agent or virtual-cell-assisted experiment policy under equal evidence access and assay budget.</w:t>
      </w:r>
    </w:p>
    <w:p>
      <w:r>
        <w:t>The research sequence matters. Strong prediction without a biological control may reflect memorization; a plausible mechanism without intervention evidence remains an explanation; and an agent that writes better rationales but selects the same experiments has not improved experimental discovery.</w:t>
      </w:r>
    </w:p>
    <w:p>
      <w:pPr>
        <w:pStyle w:val="Heading1"/>
      </w:pPr>
      <w:r>
        <w:t>8 Synthesis and Research Priorities</w:t>
      </w:r>
    </w:p>
    <w:tbl>
      <w:tblPr>
        <w:tblW w:type="auto" w:w="0"/>
        <w:jc w:val="center"/>
        <w:tblLayout w:type="fixed"/>
        <w:tblLook w:firstColumn="1" w:firstRow="1" w:lastColumn="0" w:lastRow="0" w:noHBand="0" w:noVBand="1" w:val="04A0"/>
      </w:tblPr>
      <w:tblGrid>
        <w:gridCol w:w="1368"/>
        <w:gridCol w:w="2952"/>
        <w:gridCol w:w="3096"/>
        <w:gridCol w:w="2376"/>
      </w:tblGrid>
      <w:tr>
        <w:trPr>
          <w:cantSplit/>
          <w:tblHeader/>
        </w:trPr>
        <w:tc>
          <w:tcPr>
            <w:tcW w:type="dxa" w:w="1368"/>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Priority</w:t>
            </w:r>
          </w:p>
        </w:tc>
        <w:tc>
          <w:tcPr>
            <w:tcW w:type="dxa" w:w="2952"/>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Direction</w:t>
            </w:r>
          </w:p>
        </w:tc>
        <w:tc>
          <w:tcPr>
            <w:tcW w:type="dxa" w:w="3096"/>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Why it is timely</w:t>
            </w:r>
          </w:p>
        </w:tc>
        <w:tc>
          <w:tcPr>
            <w:tcW w:type="dxa" w:w="2376"/>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Main risk</w:t>
            </w:r>
          </w:p>
        </w:tc>
      </w:tr>
      <w:tr>
        <w:trPr>
          <w:cantSplit/>
        </w:trPr>
        <w:tc>
          <w:tcPr>
            <w:tcW w:type="dxa" w:w="13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Immediate</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Strict evaluation of current two-drug systems</w:t>
            </w:r>
          </w:p>
        </w:tc>
        <w:tc>
          <w:tcPr>
            <w:tcW w:type="dxa" w:w="30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Claims depend on reproducibility and cold-start validity</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Loss of headline benchmark gains</w:t>
            </w:r>
          </w:p>
        </w:tc>
      </w:tr>
      <w:tr>
        <w:trPr>
          <w:cantSplit/>
        </w:trPr>
        <w:tc>
          <w:tcPr>
            <w:tcW w:type="dxa" w:w="1368"/>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Near term</w:t>
            </w:r>
          </w:p>
        </w:tc>
        <w:tc>
          <w:tcPr>
            <w:tcW w:type="dxa" w:w="295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Continuous scores with uncertainty</w:t>
            </w:r>
          </w:p>
        </w:tc>
        <w:tc>
          <w:tcPr>
            <w:tcW w:type="dxa" w:w="3096"/>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Existing pair data can support calibrated comparisons</w:t>
            </w:r>
          </w:p>
        </w:tc>
        <w:tc>
          <w:tcPr>
            <w:tcW w:type="dxa" w:w="2376"/>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Reference-model and assay-label noise</w:t>
            </w:r>
          </w:p>
        </w:tc>
      </w:tr>
      <w:tr>
        <w:trPr>
          <w:cantSplit/>
        </w:trPr>
        <w:tc>
          <w:tcPr>
            <w:tcW w:type="dxa" w:w="13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Near to medium</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Target-pair cross-talk with agent-guided experiments</w:t>
            </w:r>
          </w:p>
        </w:tc>
        <w:tc>
          <w:tcPr>
            <w:tcW w:type="dxa" w:w="30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Connects prediction to explicit biological tests</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Limited causal labels and context mismatch</w:t>
            </w:r>
          </w:p>
        </w:tc>
      </w:tr>
      <w:tr>
        <w:trPr>
          <w:cantSplit/>
        </w:trPr>
        <w:tc>
          <w:tcPr>
            <w:tcW w:type="dxa" w:w="1368"/>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Exploratory</w:t>
            </w:r>
          </w:p>
        </w:tc>
        <w:tc>
          <w:tcPr>
            <w:tcW w:type="dxa" w:w="295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Higher-order combinations and virtual-cell planning</w:t>
            </w:r>
          </w:p>
        </w:tc>
        <w:tc>
          <w:tcPr>
            <w:tcW w:type="dxa" w:w="3096"/>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Potentially broad candidate coverage</w:t>
            </w:r>
          </w:p>
        </w:tc>
        <w:tc>
          <w:tcPr>
            <w:tcW w:type="dxa" w:w="2376"/>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Sparse triple measurements and model extrapolation</w:t>
            </w:r>
          </w:p>
        </w:tc>
      </w:tr>
    </w:tbl>
    <w:p>
      <w:r>
        <w:t>The strongest next-generation contribution is likely to combine a strict generalization result with a biologically specific decision improvement. Architectural novelty alone is less durable than evidence that a model identifies informative drug pairs, recognizes when it is uncertain, and proposes a measurement that can distinguish mechanisms.</w:t>
      </w:r>
    </w:p>
    <w:p>
      <w:pPr>
        <w:pStyle w:val="Heading1"/>
      </w:pPr>
      <w:r>
        <w:t>Source Literature</w:t>
      </w:r>
    </w:p>
    <w:p>
      <w:r>
        <w:t>This synthesis is based on the supplied Chinese survey, Drug Synergy Prediction: Field Landscape and Next Generation Research Directions. The following works organize its key research strands. Bibliographic metadata and novelty claims should be checked against the primary publications before external citation.</w:t>
      </w:r>
    </w:p>
    <w:tbl>
      <w:tblPr>
        <w:tblW w:type="auto" w:w="0"/>
        <w:jc w:val="center"/>
        <w:tblLayout w:type="fixed"/>
        <w:tblLook w:firstColumn="1" w:firstRow="1" w:lastColumn="0" w:lastRow="0" w:noHBand="0" w:noVBand="1" w:val="04A0"/>
      </w:tblPr>
      <w:tblGrid>
        <w:gridCol w:w="2232"/>
        <w:gridCol w:w="3773"/>
        <w:gridCol w:w="3787"/>
      </w:tblGrid>
      <w:tr>
        <w:trPr>
          <w:cantSplit/>
          <w:tblHeader/>
        </w:trPr>
        <w:tc>
          <w:tcPr>
            <w:tcW w:type="dxa" w:w="2232"/>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Research strand</w:t>
            </w:r>
          </w:p>
        </w:tc>
        <w:tc>
          <w:tcPr>
            <w:tcW w:type="dxa" w:w="3773"/>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Selected works in the source survey</w:t>
            </w:r>
          </w:p>
        </w:tc>
        <w:tc>
          <w:tcPr>
            <w:tcW w:type="dxa" w:w="3787"/>
            <w:shd w:fill="344D5A"/>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keepNext/>
              <w:spacing w:after="0" w:line="250" w:lineRule="auto"/>
            </w:pPr>
            <w:r>
              <w:rPr>
                <w:b/>
                <w:color w:val="FFFFFF"/>
                <w:sz w:val="16"/>
              </w:rPr>
              <w:t>Role in the research landscape</w:t>
            </w:r>
          </w:p>
        </w:tc>
      </w:tr>
      <w:tr>
        <w:trPr>
          <w:cantSplit/>
        </w:trPr>
        <w:tc>
          <w:tcPr>
            <w:tcW w:type="dxa" w:w="22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Representation and fusion</w:t>
            </w:r>
          </w:p>
        </w:tc>
        <w:tc>
          <w:tcPr>
            <w:tcW w:type="dxa" w:w="3773"/>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BAITSAO; UniSyn; CoSynLLM; MHGSynergy; DPSM-Synergy</w:t>
            </w:r>
          </w:p>
        </w:tc>
        <w:tc>
          <w:tcPr>
            <w:tcW w:type="dxa" w:w="378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Text, molecular, omics, graph, and historical-synergy features</w:t>
            </w:r>
          </w:p>
        </w:tc>
      </w:tr>
      <w:tr>
        <w:trPr>
          <w:cantSplit/>
        </w:trPr>
        <w:tc>
          <w:tcPr>
            <w:tcW w:type="dxa" w:w="223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Evaluation and bias</w:t>
            </w:r>
          </w:p>
        </w:tc>
        <w:tc>
          <w:tcPr>
            <w:tcW w:type="dxa" w:w="3773"/>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One-Hot News; SynVerse; UnbiasNet</w:t>
            </w:r>
          </w:p>
        </w:tc>
        <w:tc>
          <w:tcPr>
            <w:tcW w:type="dxa" w:w="3787"/>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Identity controls, strict splits, and entity-balance audits</w:t>
            </w:r>
          </w:p>
        </w:tc>
      </w:tr>
      <w:tr>
        <w:trPr>
          <w:cantSplit/>
        </w:trPr>
        <w:tc>
          <w:tcPr>
            <w:tcW w:type="dxa" w:w="22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Continuous and high-order</w:t>
            </w:r>
          </w:p>
        </w:tc>
        <w:tc>
          <w:tcPr>
            <w:tcW w:type="dxa" w:w="3773"/>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OrderCombo; Dose Model; PanThera</w:t>
            </w:r>
          </w:p>
        </w:tc>
        <w:tc>
          <w:tcPr>
            <w:tcW w:type="dxa" w:w="3787"/>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Graded synergy and transfer from pairwise to larger combinations</w:t>
            </w:r>
          </w:p>
        </w:tc>
      </w:tr>
      <w:tr>
        <w:trPr>
          <w:cantSplit/>
        </w:trPr>
        <w:tc>
          <w:tcPr>
            <w:tcW w:type="dxa" w:w="2232"/>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Mechanism and agents</w:t>
            </w:r>
          </w:p>
        </w:tc>
        <w:tc>
          <w:tcPr>
            <w:tcW w:type="dxa" w:w="3773"/>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SynCell; DrugAgent; MoAgent; DDIAgents</w:t>
            </w:r>
          </w:p>
        </w:tc>
        <w:tc>
          <w:tcPr>
            <w:tcW w:type="dxa" w:w="3787"/>
            <w:shd w:fill="F3F6F7"/>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0" w:line="250" w:lineRule="auto"/>
            </w:pPr>
            <w:r>
              <w:rPr>
                <w:sz w:val="16"/>
              </w:rPr>
              <w:t>Pathway context, hypothesis-driven analysis, and coordinated workflows</w:t>
            </w:r>
          </w:p>
        </w:tc>
      </w:tr>
    </w:tbl>
    <w:sectPr w:rsidR="00FC693F" w:rsidRPr="0006063C" w:rsidSect="00034616">
      <w:pgSz w:w="12240" w:h="15840"/>
      <w:pgMar w:top="1123" w:right="1210" w:bottom="1037"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269" w:lineRule="auto" w:after="100"/>
    </w:pPr>
    <w:rPr>
      <w:rFonts w:ascii="Aptos" w:hAnsi="Aptos"/>
      <w:color w:val="1E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