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MAESTRO 双核心药物发现研究报告</w:t>
      </w:r>
    </w:p>
    <w:p>
      <w:pPr>
        <w:pStyle w:val="Subtitle"/>
      </w:pPr>
      <w:r>
        <w:t>GDSC 同板表型结果评估与后续验证方案</w:t>
      </w:r>
    </w:p>
    <w:p>
      <w:r>
        <w:rPr>
          <w:sz w:val="18"/>
        </w:rPr>
        <w:t>日期：2026 年 10 月 2 日　版本：研究评估与方案修订版</w:t>
      </w:r>
    </w:p>
    <w:p>
      <w:pPr>
        <w:pStyle w:val="Heading1"/>
      </w:pPr>
      <w:r>
        <w:t>1 研究结论与适用范围</w:t>
      </w:r>
    </w:p>
    <w:p>
      <w:r>
        <w:t>当前应停止已测试的播种密度扩展，冻结简单背景模型作为后续研究基线，并将下一阶段资源集中于背景策略的独立验证。现有结果支持在已发布 GDSC 面板上开展真实表型驱动的离线策略评价；尚不支持因果干预收益、廉价分子状态价值、STATE 优势或智能体与虚拟细胞的协同收益。</w:t>
      </w:r>
    </w:p>
    <w:p>
      <w:r>
        <w:t>主要依据是：背景加密度策略相对背景策略的平均收益为 −0.52 个标准化 ATP 抑制百分点，97.5% 区间为 [−1.69, +0.65]；背景策略相对开发集固定动作的辅助增量为 +3.32 点，95% 区间为 [+0.96, +5.69]。前者在现有区间假设下低于全部预设敏感性门槛，后者有正向信号，但没有稳定超过 2 或 5 点的实用门槛。[S1]</w:t>
      </w:r>
    </w:p>
    <w:p>
      <w:r>
        <w:t>必须分别判断三类价值。工程上，预测、选择、结果揭示和事实绑定已经在这一任务上接通。统计上，已测试密度策略缺乏继续投入的依据，背景策略需要独立确认。生物学上，ATP 表型不是机制真值，固定孔位和历史背景注释限制了因果及前瞻解释。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1944"/>
        <w:gridCol w:w="3456"/>
        <w:gridCol w:w="4680"/>
      </w:tblGrid>
      <w:tr>
        <w:trPr>
          <w:cantSplit/>
          <w:tblHeader/>
        </w:trPr>
        <w:tc>
          <w:tcPr>
            <w:tcW w:type="dxa" w:w="1944"/>
            <w:vAlign w:val="center"/>
            <w:shd w:fill="37424D"/>
          </w:tcPr>
          <w:p>
            <w:pPr>
              <w:spacing w:after="0" w:line="281" w:lineRule="auto"/>
            </w:pPr>
            <w:r>
              <w:rPr>
                <w:b/>
                <w:color w:val="FFFFFF"/>
                <w:sz w:val="20"/>
              </w:rPr>
              <w:t>当前决策</w:t>
            </w:r>
          </w:p>
        </w:tc>
        <w:tc>
          <w:tcPr>
            <w:tcW w:type="dxa" w:w="3456"/>
            <w:vAlign w:val="center"/>
            <w:shd w:fill="37424D"/>
          </w:tcPr>
          <w:p>
            <w:pPr>
              <w:spacing w:after="0" w:line="281" w:lineRule="auto"/>
            </w:pPr>
            <w:r>
              <w:rPr>
                <w:b/>
                <w:color w:val="FFFFFF"/>
                <w:sz w:val="20"/>
              </w:rPr>
              <w:t>保留内容</w:t>
            </w:r>
          </w:p>
        </w:tc>
        <w:tc>
          <w:tcPr>
            <w:tcW w:type="dxa" w:w="4680"/>
            <w:vAlign w:val="center"/>
            <w:shd w:fill="37424D"/>
          </w:tcPr>
          <w:p>
            <w:pPr>
              <w:spacing w:after="0" w:line="281" w:lineRule="auto"/>
            </w:pPr>
            <w:r>
              <w:rPr>
                <w:b/>
                <w:color w:val="FFFFFF"/>
                <w:sz w:val="20"/>
              </w:rPr>
              <w:t>结论边界</w:t>
            </w:r>
          </w:p>
        </w:tc>
      </w:tr>
      <w:tr>
        <w:trPr>
          <w:cantSplit/>
        </w:trPr>
        <w:tc>
          <w:tcPr>
            <w:tcW w:type="dxa" w:w="1944"/>
            <w:vAlign w:val="center"/>
          </w:tcPr>
          <w:p>
            <w:pPr>
              <w:spacing w:after="0" w:line="281" w:lineRule="auto"/>
            </w:pPr>
            <w:r>
              <w:rPr>
                <w:sz w:val="20"/>
              </w:rPr>
              <w:t>停止密度扩展</w:t>
            </w:r>
          </w:p>
        </w:tc>
        <w:tc>
          <w:tcPr>
            <w:tcW w:type="dxa" w:w="3456"/>
            <w:vAlign w:val="center"/>
          </w:tcPr>
          <w:p>
            <w:pPr>
              <w:spacing w:after="0" w:line="281" w:lineRule="auto"/>
            </w:pPr>
            <w:r>
              <w:rPr>
                <w:sz w:val="20"/>
              </w:rPr>
              <w:t>冻结代码与负结果</w:t>
            </w:r>
          </w:p>
        </w:tc>
        <w:tc>
          <w:tcPr>
            <w:tcW w:type="dxa" w:w="4680"/>
            <w:vAlign w:val="center"/>
          </w:tcPr>
          <w:p>
            <w:pPr>
              <w:spacing w:after="0" w:line="281" w:lineRule="auto"/>
            </w:pPr>
            <w:r>
              <w:rPr>
                <w:sz w:val="20"/>
              </w:rPr>
              <w:t>仅针对已测试的输入、模型、菜单与总体</w:t>
            </w:r>
          </w:p>
        </w:tc>
      </w:tr>
      <w:tr>
        <w:trPr>
          <w:cantSplit/>
        </w:trPr>
        <w:tc>
          <w:tcPr>
            <w:tcW w:type="dxa" w:w="1944"/>
            <w:vAlign w:val="center"/>
            <w:shd w:fill="F2F5F7"/>
          </w:tcPr>
          <w:p>
            <w:pPr>
              <w:spacing w:after="0" w:line="281" w:lineRule="auto"/>
            </w:pPr>
            <w:r>
              <w:rPr>
                <w:sz w:val="20"/>
              </w:rPr>
              <w:t>保留背景模型</w:t>
            </w:r>
          </w:p>
        </w:tc>
        <w:tc>
          <w:tcPr>
            <w:tcW w:type="dxa" w:w="3456"/>
            <w:vAlign w:val="center"/>
            <w:shd w:fill="F2F5F7"/>
          </w:tcPr>
          <w:p>
            <w:pPr>
              <w:spacing w:after="0" w:line="281" w:lineRule="auto"/>
            </w:pPr>
            <w:r>
              <w:rPr>
                <w:sz w:val="20"/>
              </w:rPr>
              <w:t>Ridge 基线及全部预测协议</w:t>
            </w:r>
          </w:p>
        </w:tc>
        <w:tc>
          <w:tcPr>
            <w:tcW w:type="dxa" w:w="4680"/>
            <w:vAlign w:val="center"/>
            <w:shd w:fill="F2F5F7"/>
          </w:tcPr>
          <w:p>
            <w:pPr>
              <w:spacing w:after="0" w:line="281" w:lineRule="auto"/>
            </w:pPr>
            <w:r>
              <w:rPr>
                <w:sz w:val="20"/>
              </w:rPr>
              <w:t>尚未认证净收益或跨实验协议迁移</w:t>
            </w:r>
          </w:p>
        </w:tc>
      </w:tr>
      <w:tr>
        <w:trPr>
          <w:cantSplit/>
        </w:trPr>
        <w:tc>
          <w:tcPr>
            <w:tcW w:type="dxa" w:w="1944"/>
            <w:vAlign w:val="center"/>
          </w:tcPr>
          <w:p>
            <w:pPr>
              <w:spacing w:after="0" w:line="281" w:lineRule="auto"/>
            </w:pPr>
            <w:r>
              <w:rPr>
                <w:sz w:val="20"/>
              </w:rPr>
              <w:t>暂不扩大模型</w:t>
            </w:r>
          </w:p>
        </w:tc>
        <w:tc>
          <w:tcPr>
            <w:tcW w:type="dxa" w:w="3456"/>
            <w:vAlign w:val="center"/>
          </w:tcPr>
          <w:p>
            <w:pPr>
              <w:spacing w:after="0" w:line="281" w:lineRule="auto"/>
            </w:pPr>
            <w:r>
              <w:rPr>
                <w:sz w:val="20"/>
              </w:rPr>
              <w:t>不增加 STATE 种子或复杂模块</w:t>
            </w:r>
          </w:p>
        </w:tc>
        <w:tc>
          <w:tcPr>
            <w:tcW w:type="dxa" w:w="4680"/>
            <w:vAlign w:val="center"/>
          </w:tcPr>
          <w:p>
            <w:pPr>
              <w:spacing w:after="0" w:line="281" w:lineRule="auto"/>
            </w:pPr>
            <w:r>
              <w:rPr>
                <w:sz w:val="20"/>
              </w:rPr>
              <w:t>不构成 STATE 或所有状态输入无效的证明</w:t>
            </w:r>
          </w:p>
        </w:tc>
      </w:tr>
      <w:tr>
        <w:trPr>
          <w:cantSplit/>
        </w:trPr>
        <w:tc>
          <w:tcPr>
            <w:tcW w:type="dxa" w:w="1944"/>
            <w:vAlign w:val="center"/>
            <w:shd w:fill="F2F5F7"/>
          </w:tcPr>
          <w:p>
            <w:pPr>
              <w:spacing w:after="0" w:line="281" w:lineRule="auto"/>
            </w:pPr>
            <w:r>
              <w:rPr>
                <w:sz w:val="20"/>
              </w:rPr>
              <w:t>修订复测方案</w:t>
            </w:r>
          </w:p>
        </w:tc>
        <w:tc>
          <w:tcPr>
            <w:tcW w:type="dxa" w:w="3456"/>
            <w:vAlign w:val="center"/>
            <w:shd w:fill="F2F5F7"/>
          </w:tcPr>
          <w:p>
            <w:pPr>
              <w:spacing w:after="0" w:line="281" w:lineRule="auto"/>
            </w:pPr>
            <w:r>
              <w:rPr>
                <w:sz w:val="20"/>
              </w:rPr>
              <w:t>独立启动与随机孔位先导</w:t>
            </w:r>
          </w:p>
        </w:tc>
        <w:tc>
          <w:tcPr>
            <w:tcW w:type="dxa" w:w="4680"/>
            <w:vAlign w:val="center"/>
            <w:shd w:fill="F2F5F7"/>
          </w:tcPr>
          <w:p>
            <w:pPr>
              <w:spacing w:after="0" w:line="281" w:lineRule="auto"/>
            </w:pPr>
            <w:r>
              <w:rPr>
                <w:sz w:val="20"/>
              </w:rPr>
              <w:t>用于识别实验可行性与重复性，不直接估计原总体收益</w:t>
            </w:r>
          </w:p>
        </w:tc>
      </w:tr>
    </w:tbl>
    <w:p>
      <w:pPr>
        <w:spacing w:after="40" w:before="0" w:line="240" w:lineRule="auto"/>
      </w:pPr>
      <w:r>
        <w:rPr>
          <w:sz w:val="4"/>
        </w:rPr>
      </w:r>
    </w:p>
    <w:p>
      <w:r>
        <w:t>数据与结果引用自项目报告 GDSC_SCREEN.md。以下新增公式解释、风险分析和实验安排属于本次研究评估与设计建议，不属于已经执行的实验。用户报告已发布提交 15fec7c 与草稿 PR #1；发布状态和代码执行记录以仓库及对应回执为准。[S1–S2]</w:t>
      </w:r>
    </w:p>
    <w:p>
      <w:pPr>
        <w:pStyle w:val="Heading1"/>
      </w:pPr>
      <w:r>
        <w:t>2 研究目标与历史问题的关系</w:t>
      </w:r>
    </w:p>
    <w:p>
      <w:r>
        <w:t>项目的长期目标是让虚拟细胞世界模型和智能体共同服务于药物发现：模型提供任务相关的细胞响应预测，智能体决定干预、补证、必要计算或停止，并将真实反馈用于检验决策。干预优化、机制判别和补证选择是三个不同任务，需要各自的终点、成本与证据规则。</w:t>
      </w:r>
    </w:p>
    <w:p>
      <w:r>
        <w:t>此前 EGR1 研究解决的是数值来源问题。18 个零均值对应的 288 个预测位置在最终 ReLU 前均为负，7 次拒答来自最佳动作精确并列；但现有剂量与 plate 混杂，真实动作收益仍未识别。[S3] GDSC 研究通过同板三药实测 ATP 绕过了这一任务的数据覆盖缺口。它没有修复或验证原 STATE 的生物学预测，也不能将 GDSC 结果反推为原 EGR1 任务的结论。</w:t>
      </w:r>
    </w:p>
    <w:p>
      <w:r>
        <w:t>本轮实际检验的是：在固定三药及各自固定浓度的菜单上，背景信息 C 与登记播种密度 S 能否改进发布数据条件下的动作选择。C 包括组织、培养方式和培养基；S 是播种细胞数的 log2 值。播种密度属于实验设置，不能自动代表分子或功能状态。</w:t>
      </w:r>
    </w:p>
    <w:p>
      <w:r>
        <w:t>长期需要分别证明两条论证链。决策链要求合法前信息能够预测动作相对优势，并在独立数据上提高效用。机制链要求竞争机制提出可区分预测，真实近端、正交或补救证据能够支持相应命题。当前 GDSC ATP 面板推进了前一条链的离线评价能力，尚未完成后一条链。</w:t>
      </w:r>
    </w:p>
    <w:p>
      <w:pPr>
        <w:pStyle w:val="Heading1"/>
      </w:pPr>
      <w:r>
        <w:t>3 数据资格与冻结任务</w:t>
      </w:r>
    </w:p>
    <w:p>
      <w:r>
        <w:t>研究在现有 Tahoe/c39、NCI-ALMANAC 和 GDSC 三类候选中选择 GDSC 官方原始示例。所选示例提供 well、plate、扩增标识、细胞系身份、日期、播种密度和对照，使同板动作比较可以执行；这不意味着发布选择、随机分配或独立培养已获认证。[S1]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3168"/>
        <w:gridCol w:w="1872"/>
        <w:gridCol w:w="2448"/>
        <w:gridCol w:w="2592"/>
      </w:tblGrid>
      <w:tr>
        <w:trPr>
          <w:cantSplit/>
          <w:tblHeader/>
        </w:trPr>
        <w:tc>
          <w:tcPr>
            <w:tcW w:type="dxa" w:w="3168"/>
            <w:vAlign w:val="center"/>
            <w:shd w:fill="37424D"/>
          </w:tcPr>
          <w:p>
            <w:pPr>
              <w:spacing w:after="0" w:line="281" w:lineRule="auto"/>
            </w:pPr>
            <w:r>
              <w:rPr>
                <w:b/>
                <w:color w:val="FFFFFF"/>
                <w:sz w:val="20"/>
              </w:rPr>
              <w:t>动作</w:t>
            </w:r>
          </w:p>
        </w:tc>
        <w:tc>
          <w:tcPr>
            <w:tcW w:type="dxa" w:w="1872"/>
            <w:vAlign w:val="center"/>
            <w:shd w:fill="37424D"/>
          </w:tcPr>
          <w:p>
            <w:pPr>
              <w:spacing w:after="0" w:line="281" w:lineRule="auto"/>
              <w:jc w:val="center"/>
            </w:pPr>
            <w:r>
              <w:rPr>
                <w:b/>
                <w:color w:val="FFFFFF"/>
                <w:sz w:val="20"/>
              </w:rPr>
              <w:t>浓度</w:t>
            </w:r>
          </w:p>
        </w:tc>
        <w:tc>
          <w:tcPr>
            <w:tcW w:type="dxa" w:w="2448"/>
            <w:vAlign w:val="center"/>
            <w:shd w:fill="37424D"/>
          </w:tcPr>
          <w:p>
            <w:pPr>
              <w:spacing w:after="0" w:line="281" w:lineRule="auto"/>
              <w:jc w:val="center"/>
            </w:pPr>
            <w:r>
              <w:rPr>
                <w:b/>
                <w:color w:val="FFFFFF"/>
                <w:sz w:val="20"/>
              </w:rPr>
              <w:t>原始药物编号</w:t>
            </w:r>
          </w:p>
        </w:tc>
        <w:tc>
          <w:tcPr>
            <w:tcW w:type="dxa" w:w="2592"/>
            <w:vAlign w:val="center"/>
            <w:shd w:fill="37424D"/>
          </w:tcPr>
          <w:p>
            <w:pPr>
              <w:spacing w:after="0" w:line="281" w:lineRule="auto"/>
              <w:jc w:val="center"/>
            </w:pPr>
            <w:r>
              <w:rPr>
                <w:b/>
                <w:color w:val="FFFFFF"/>
                <w:sz w:val="20"/>
              </w:rPr>
              <w:t>固定孔位</w:t>
            </w:r>
          </w:p>
        </w:tc>
      </w:tr>
      <w:tr>
        <w:trPr>
          <w:cantSplit/>
        </w:trPr>
        <w:tc>
          <w:tcPr>
            <w:tcW w:type="dxa" w:w="3168"/>
            <w:vAlign w:val="center"/>
          </w:tcPr>
          <w:p>
            <w:pPr>
              <w:spacing w:after="0" w:line="281" w:lineRule="auto"/>
            </w:pPr>
            <w:r>
              <w:rPr>
                <w:sz w:val="20"/>
              </w:rPr>
              <w:t>Afatinib</w:t>
            </w:r>
          </w:p>
        </w:tc>
        <w:tc>
          <w:tcPr>
            <w:tcW w:type="dxa" w:w="1872"/>
            <w:vAlign w:val="center"/>
          </w:tcPr>
          <w:p>
            <w:pPr>
              <w:spacing w:after="0" w:line="281" w:lineRule="auto"/>
              <w:jc w:val="center"/>
            </w:pPr>
            <w:r>
              <w:rPr>
                <w:sz w:val="20"/>
              </w:rPr>
              <w:t>2 μM</w:t>
            </w:r>
          </w:p>
        </w:tc>
        <w:tc>
          <w:tcPr>
            <w:tcW w:type="dxa" w:w="2448"/>
            <w:vAlign w:val="center"/>
          </w:tcPr>
          <w:p>
            <w:pPr>
              <w:spacing w:after="0" w:line="281" w:lineRule="auto"/>
              <w:jc w:val="center"/>
            </w:pPr>
            <w:r>
              <w:rPr>
                <w:sz w:val="20"/>
              </w:rPr>
              <w:t>1032</w:t>
            </w:r>
          </w:p>
        </w:tc>
        <w:tc>
          <w:tcPr>
            <w:tcW w:type="dxa" w:w="2592"/>
            <w:vAlign w:val="center"/>
          </w:tcPr>
          <w:p>
            <w:pPr>
              <w:spacing w:after="0" w:line="281" w:lineRule="auto"/>
              <w:jc w:val="center"/>
            </w:pPr>
            <w:r>
              <w:rPr>
                <w:sz w:val="20"/>
              </w:rPr>
              <w:t>124</w:t>
            </w:r>
          </w:p>
        </w:tc>
      </w:tr>
      <w:tr>
        <w:trPr>
          <w:cantSplit/>
        </w:trPr>
        <w:tc>
          <w:tcPr>
            <w:tcW w:type="dxa" w:w="3168"/>
            <w:vAlign w:val="center"/>
            <w:shd w:fill="F2F5F7"/>
          </w:tcPr>
          <w:p>
            <w:pPr>
              <w:spacing w:after="0" w:line="281" w:lineRule="auto"/>
            </w:pPr>
            <w:r>
              <w:rPr>
                <w:sz w:val="20"/>
              </w:rPr>
              <w:t>PLX-4720</w:t>
            </w:r>
          </w:p>
        </w:tc>
        <w:tc>
          <w:tcPr>
            <w:tcW w:type="dxa" w:w="1872"/>
            <w:vAlign w:val="center"/>
            <w:shd w:fill="F2F5F7"/>
          </w:tcPr>
          <w:p>
            <w:pPr>
              <w:spacing w:after="0" w:line="281" w:lineRule="auto"/>
              <w:jc w:val="center"/>
            </w:pPr>
            <w:r>
              <w:rPr>
                <w:sz w:val="20"/>
              </w:rPr>
              <w:t>10 μM</w:t>
            </w:r>
          </w:p>
        </w:tc>
        <w:tc>
          <w:tcPr>
            <w:tcW w:type="dxa" w:w="2448"/>
            <w:vAlign w:val="center"/>
            <w:shd w:fill="F2F5F7"/>
          </w:tcPr>
          <w:p>
            <w:pPr>
              <w:spacing w:after="0" w:line="281" w:lineRule="auto"/>
              <w:jc w:val="center"/>
            </w:pPr>
            <w:r>
              <w:rPr>
                <w:sz w:val="20"/>
              </w:rPr>
              <w:t>1036</w:t>
            </w:r>
          </w:p>
        </w:tc>
        <w:tc>
          <w:tcPr>
            <w:tcW w:type="dxa" w:w="2592"/>
            <w:vAlign w:val="center"/>
            <w:shd w:fill="F2F5F7"/>
          </w:tcPr>
          <w:p>
            <w:pPr>
              <w:spacing w:after="0" w:line="281" w:lineRule="auto"/>
              <w:jc w:val="center"/>
            </w:pPr>
            <w:r>
              <w:rPr>
                <w:sz w:val="20"/>
              </w:rPr>
              <w:t>123</w:t>
            </w:r>
          </w:p>
        </w:tc>
      </w:tr>
      <w:tr>
        <w:trPr>
          <w:cantSplit/>
        </w:trPr>
        <w:tc>
          <w:tcPr>
            <w:tcW w:type="dxa" w:w="3168"/>
            <w:vAlign w:val="center"/>
          </w:tcPr>
          <w:p>
            <w:pPr>
              <w:spacing w:after="0" w:line="281" w:lineRule="auto"/>
            </w:pPr>
            <w:r>
              <w:rPr>
                <w:sz w:val="20"/>
              </w:rPr>
              <w:t>PD0325901</w:t>
            </w:r>
          </w:p>
        </w:tc>
        <w:tc>
          <w:tcPr>
            <w:tcW w:type="dxa" w:w="1872"/>
            <w:vAlign w:val="center"/>
          </w:tcPr>
          <w:p>
            <w:pPr>
              <w:spacing w:after="0" w:line="281" w:lineRule="auto"/>
              <w:jc w:val="center"/>
            </w:pPr>
            <w:r>
              <w:rPr>
                <w:sz w:val="20"/>
              </w:rPr>
              <w:t>0.25 μM</w:t>
            </w:r>
          </w:p>
        </w:tc>
        <w:tc>
          <w:tcPr>
            <w:tcW w:type="dxa" w:w="2448"/>
            <w:vAlign w:val="center"/>
          </w:tcPr>
          <w:p>
            <w:pPr>
              <w:spacing w:after="0" w:line="281" w:lineRule="auto"/>
              <w:jc w:val="center"/>
            </w:pPr>
            <w:r>
              <w:rPr>
                <w:sz w:val="20"/>
              </w:rPr>
              <w:t>1060</w:t>
            </w:r>
          </w:p>
        </w:tc>
        <w:tc>
          <w:tcPr>
            <w:tcW w:type="dxa" w:w="2592"/>
            <w:vAlign w:val="center"/>
          </w:tcPr>
          <w:p>
            <w:pPr>
              <w:spacing w:after="0" w:line="281" w:lineRule="auto"/>
              <w:jc w:val="center"/>
            </w:pPr>
            <w:r>
              <w:rPr>
                <w:sz w:val="20"/>
              </w:rPr>
              <w:t>101</w:t>
            </w:r>
          </w:p>
        </w:tc>
      </w:tr>
    </w:tbl>
    <w:p>
      <w:pPr>
        <w:spacing w:after="40" w:before="0" w:line="240" w:lineRule="auto"/>
      </w:pPr>
      <w:r>
        <w:rPr>
          <w:sz w:val="4"/>
        </w:rPr>
      </w:r>
    </w:p>
    <w:p>
      <w:r>
        <w:t>菜单在查看结局前按通路相关性与官方最高测试浓度选择。它仅定义该 assay 下的精确动作，不能解释为临床剂量推荐、等毒性比较或药物内在优劣比较。每个最高浓度动作在每板只有一个 well，技术重复不足以从本面板单独估计全部测量噪声。</w:t>
      </w:r>
    </w:p>
    <w:p>
      <w:r>
        <w:t>源示例共 873,525 行、1,837 个 plate、739 个细胞系。选定布局包含 914 个 plate；开发集为 617 板、516 个供体及亲本关系连通簇、48 个日期；确认集为 222 板、214 个未见连通簇、19 个后续日期。按唯一播种日期排序，以前 70% 日期开发；确认从 2015-10-22 23:00:00 起，并排除此前出现的亲缘连通簇。4 个 plate 亲缘身份未解决，71 个晚期 plate 属于已见供体，均保留排除记录。[S1]</w:t>
      </w:r>
    </w:p>
    <w:p>
      <w:r>
        <w:t>“214 个簇”表示按公开身份信息建立的分析分组，不等于认证了 214 次独立冻存启动。CELL_ID 是扩增标识；亲缘误标与未知关联仍可能存在。背景注释来自后来的公开版本，能够被本轮离线程序读取，并不能证明其与 2015 年各次培养条件完全一致。</w:t>
      </w:r>
    </w:p>
    <w:p>
      <w:r>
        <w:t>当前效用定义如下，I 为处理孔 ATP 信号，B 为空白孔，NC 为负对照孔。</w:t>
      </w:r>
    </w:p>
    <w:p>
      <w:pPr>
        <w:spacing w:before="60" w:after="160"/>
        <w:jc w:val="center"/>
      </w:pPr>
      <w:r>
        <w:drawing>
          <wp:inline xmlns:a="http://schemas.openxmlformats.org/drawingml/2006/main" xmlns:pic="http://schemas.openxmlformats.org/drawingml/2006/picture">
            <wp:extent cx="1165860" cy="296266"/>
            <wp:docPr id="1" name="Picture 1" descr="研究报告公式 1"/>
            <wp:cNvGraphicFramePr>
              <a:graphicFrameLocks noChangeAspect="1"/>
            </wp:cNvGraphicFramePr>
            <a:graphic>
              <a:graphicData uri="http://schemas.openxmlformats.org/drawingml/2006/picture">
                <pic:pic>
                  <pic:nvPicPr>
                    <pic:cNvPr id="0" name="eq1.png"/>
                    <pic:cNvPicPr/>
                  </pic:nvPicPr>
                  <pic:blipFill>
                    <a:blip r:embed="rId10"/>
                    <a:stretch>
                      <a:fillRect/>
                    </a:stretch>
                  </pic:blipFill>
                  <pic:spPr>
                    <a:xfrm>
                      <a:off x="0" y="0"/>
                      <a:ext cx="1165860" cy="296266"/>
                    </a:xfrm>
                    <a:prstGeom prst="rect"/>
                  </pic:spPr>
                </pic:pic>
              </a:graphicData>
            </a:graphic>
          </wp:inline>
        </w:drawing>
      </w:r>
    </w:p>
    <w:p>
      <w:r>
        <w:t>结果以 100U 的百分点报告。分析保留负值及大于 1 的值，不 clipping，不把缺失结果填零。共享对照在同板比较中被共同使用。播种至扫描为 96 小时；官方 GDSC2 协议对应预培养后 72 小时处理，逐板实际加药时间缺失，因此不能将 96 小时总周期写为 96 小时给药。[S1, R1]</w:t>
      </w:r>
    </w:p>
    <w:p>
      <w:r>
        <w:t>目标总体限于该发布版本、可验证完整菜单和所定义的晚期未见供体簇。发布格式允许省略未公开药物和未通过 QC 的扫描；示例 FAIL 为零不证明真实尝试没有失败。分析不覆盖全部尝试的效用或失败成本。</w:t>
      </w:r>
    </w:p>
    <w:p>
      <w:pPr>
        <w:pStyle w:val="Heading1"/>
      </w:pPr>
      <w:r>
        <w:t>4 模型策略与统计估计对象</w:t>
      </w:r>
    </w:p>
    <w:p>
      <w:r>
        <w:t>两个输入臂均在开发集使用五折供体分组交叉验证。候选为 Ridge 的 α=1、10、100，以及 64 棵树、深度 3 或 6、叶节点样本量至少 10 的 Random Forest；按动作差值 MSE 选型。两臂均选中 Ridge α=10。固定策略为开发集等供体平均效用最高的 Afatinib 2 μM。[S1]</w:t>
      </w:r>
    </w:p>
    <w:p>
      <w:r>
        <w:t>普通条件响应预测器输出三个动作的 ATP 表型预测及差值。它是最小 world core 的基线实现，尚不构成新的虚拟细胞模型贡献。确定性 Ridge 推理不需要追加随机种子；开发模型选择的不确定性与新实验的生物变异也不能用推理种子替代。</w:t>
      </w:r>
    </w:p>
    <w:p>
      <w:r>
        <w:t>令 g 表示供体及亲本关系连通簇，</w:t>
      </w:r>
      <w:r>
        <w:t>n</w:t>
      </w:r>
      <w:r>
        <w:rPr>
          <w:vertAlign w:val="subscript"/>
        </w:rPr>
        <w:t>g</w:t>
      </w:r>
      <w:r>
        <w:t xml:space="preserve"> 为该簇的 plate 数，G 为簇数。固定策略 π 在当前完整面板上的估计值为：</w:t>
      </w:r>
    </w:p>
    <w:p>
      <w:pPr>
        <w:spacing w:before="60" w:after="160"/>
        <w:jc w:val="center"/>
      </w:pPr>
      <w:r>
        <w:drawing>
          <wp:inline xmlns:a="http://schemas.openxmlformats.org/drawingml/2006/main" xmlns:pic="http://schemas.openxmlformats.org/drawingml/2006/picture">
            <wp:extent cx="1862632" cy="433425"/>
            <wp:docPr id="2" name="Picture 2" descr="研究报告公式 2"/>
            <wp:cNvGraphicFramePr>
              <a:graphicFrameLocks noChangeAspect="1"/>
            </wp:cNvGraphicFramePr>
            <a:graphic>
              <a:graphicData uri="http://schemas.openxmlformats.org/drawingml/2006/picture">
                <pic:pic>
                  <pic:nvPicPr>
                    <pic:cNvPr id="0" name="eq2.png"/>
                    <pic:cNvPicPr/>
                  </pic:nvPicPr>
                  <pic:blipFill>
                    <a:blip r:embed="rId11"/>
                    <a:stretch>
                      <a:fillRect/>
                    </a:stretch>
                  </pic:blipFill>
                  <pic:spPr>
                    <a:xfrm>
                      <a:off x="0" y="0"/>
                      <a:ext cx="1862632" cy="433425"/>
                    </a:xfrm>
                    <a:prstGeom prst="rect"/>
                  </pic:spPr>
                </pic:pic>
              </a:graphicData>
            </a:graphic>
          </wp:inline>
        </w:drawing>
      </w:r>
    </w:p>
    <w:p>
      <w:r>
        <w:t>该定义对簇等权，对簇内板平均；重复 plate 不增加该簇的总体权重。它估计发布数据与给定协议下的策略读数，不自动等于对未来独立培养施加动作的因果效用。固定策略与预测策略的揭示预算相同，计算成本不同。</w:t>
      </w:r>
    </w:p>
    <w:p>
      <w:r>
        <w:t>主要比较为 C+S 相对 C，以及 C+S 相对固定动作。两者各使用 97.5% 区间作 Bonferroni 家族处理；C 相对固定动作、C+S 相对置换密度是辅助比较，使用 95% 区间。报告采用供体、日期及 two-way cluster 方差三者的最大值，并取较小簇数减一的 t 自由度，确认为 18。[S1]</w:t>
      </w:r>
    </w:p>
    <w:p>
      <w:r>
        <w:t>这些区间依赖抽样、簇间误差和方差估计假设。取较大方差不等于已证明有限样本覆盖率；19 个日期仍需谨慎处理有限簇问题。[R2] 区间不包含位置系统偏差、注释错误、发表选择或全部未来实验的不确定性。确认前已固定预测和计划是有效的分析纪律，但不是外部预注册或密码学盲化。</w:t>
      </w:r>
    </w:p>
    <w:p>
      <w:pPr>
        <w:pStyle w:val="Heading1"/>
      </w:pPr>
      <w:r>
        <w:t>5 实测结果与工程执行</w:t>
      </w:r>
    </w:p>
    <w:p>
      <w:r>
        <w:t>表中效用和 RMSE 的单位均为标准化 ATP 抑制百分点。动作次数依次为 Afatinib、PLX-4720 和 PD0325901，未做供体权重转换；均值和策略比较按报告的等供体权重计算。[S1]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3024"/>
        <w:gridCol w:w="1656"/>
        <w:gridCol w:w="3096"/>
        <w:gridCol w:w="2304"/>
      </w:tblGrid>
      <w:tr>
        <w:trPr>
          <w:cantSplit/>
          <w:tblHeader/>
        </w:trPr>
        <w:tc>
          <w:tcPr>
            <w:tcW w:type="dxa" w:w="3024"/>
            <w:vAlign w:val="center"/>
            <w:shd w:fill="37424D"/>
          </w:tcPr>
          <w:p>
            <w:pPr>
              <w:spacing w:after="0" w:line="281" w:lineRule="auto"/>
            </w:pPr>
            <w:r>
              <w:rPr>
                <w:b/>
                <w:color w:val="FFFFFF"/>
                <w:sz w:val="20"/>
              </w:rPr>
              <w:t>策略</w:t>
            </w:r>
          </w:p>
        </w:tc>
        <w:tc>
          <w:tcPr>
            <w:tcW w:type="dxa" w:w="1656"/>
            <w:vAlign w:val="center"/>
            <w:shd w:fill="37424D"/>
          </w:tcPr>
          <w:p>
            <w:pPr>
              <w:spacing w:after="0" w:line="281" w:lineRule="auto"/>
              <w:jc w:val="center"/>
            </w:pPr>
            <w:r>
              <w:rPr>
                <w:b/>
                <w:color w:val="FFFFFF"/>
                <w:sz w:val="20"/>
              </w:rPr>
              <w:t>平均效用</w:t>
            </w:r>
          </w:p>
        </w:tc>
        <w:tc>
          <w:tcPr>
            <w:tcW w:type="dxa" w:w="3096"/>
            <w:vAlign w:val="center"/>
            <w:shd w:fill="37424D"/>
          </w:tcPr>
          <w:p>
            <w:pPr>
              <w:spacing w:after="0" w:line="281" w:lineRule="auto"/>
              <w:jc w:val="center"/>
            </w:pPr>
            <w:r>
              <w:rPr>
                <w:b/>
                <w:color w:val="FFFFFF"/>
                <w:sz w:val="20"/>
              </w:rPr>
              <w:t>三动作选择次数</w:t>
            </w:r>
          </w:p>
        </w:tc>
        <w:tc>
          <w:tcPr>
            <w:tcW w:type="dxa" w:w="2304"/>
            <w:vAlign w:val="center"/>
            <w:shd w:fill="37424D"/>
          </w:tcPr>
          <w:p>
            <w:pPr>
              <w:spacing w:after="0" w:line="281" w:lineRule="auto"/>
              <w:jc w:val="center"/>
            </w:pPr>
            <w:r>
              <w:rPr>
                <w:b/>
                <w:color w:val="FFFFFF"/>
                <w:sz w:val="20"/>
              </w:rPr>
              <w:t>动作差值 RMSE</w:t>
            </w:r>
          </w:p>
        </w:tc>
      </w:tr>
      <w:tr>
        <w:trPr>
          <w:cantSplit/>
        </w:trPr>
        <w:tc>
          <w:tcPr>
            <w:tcW w:type="dxa" w:w="3024"/>
            <w:vAlign w:val="center"/>
          </w:tcPr>
          <w:p>
            <w:pPr>
              <w:spacing w:after="0" w:line="281" w:lineRule="auto"/>
            </w:pPr>
            <w:r>
              <w:rPr>
                <w:sz w:val="20"/>
              </w:rPr>
              <w:t>固定 Afatinib</w:t>
            </w:r>
          </w:p>
        </w:tc>
        <w:tc>
          <w:tcPr>
            <w:tcW w:type="dxa" w:w="1656"/>
            <w:vAlign w:val="center"/>
          </w:tcPr>
          <w:p>
            <w:pPr>
              <w:spacing w:after="0" w:line="281" w:lineRule="auto"/>
              <w:jc w:val="center"/>
            </w:pPr>
            <w:r>
              <w:rPr>
                <w:sz w:val="20"/>
              </w:rPr>
              <w:t>25.54</w:t>
            </w:r>
          </w:p>
        </w:tc>
        <w:tc>
          <w:tcPr>
            <w:tcW w:type="dxa" w:w="3096"/>
            <w:vAlign w:val="center"/>
          </w:tcPr>
          <w:p>
            <w:pPr>
              <w:spacing w:after="0" w:line="281" w:lineRule="auto"/>
              <w:jc w:val="center"/>
            </w:pPr>
            <w:r>
              <w:rPr>
                <w:sz w:val="20"/>
              </w:rPr>
              <w:t>222 / 0 / 0</w:t>
            </w:r>
          </w:p>
        </w:tc>
        <w:tc>
          <w:tcPr>
            <w:tcW w:type="dxa" w:w="2304"/>
            <w:vAlign w:val="center"/>
          </w:tcPr>
          <w:p>
            <w:pPr>
              <w:spacing w:after="0" w:line="281" w:lineRule="auto"/>
              <w:jc w:val="center"/>
            </w:pPr>
            <w:r>
              <w:rPr>
                <w:sz w:val="20"/>
              </w:rPr>
              <w:t>不适用</w:t>
            </w:r>
          </w:p>
        </w:tc>
      </w:tr>
      <w:tr>
        <w:trPr>
          <w:cantSplit/>
        </w:trPr>
        <w:tc>
          <w:tcPr>
            <w:tcW w:type="dxa" w:w="3024"/>
            <w:vAlign w:val="center"/>
            <w:shd w:fill="F2F5F7"/>
          </w:tcPr>
          <w:p>
            <w:pPr>
              <w:spacing w:after="0" w:line="281" w:lineRule="auto"/>
            </w:pPr>
            <w:r>
              <w:rPr>
                <w:sz w:val="20"/>
              </w:rPr>
              <w:t>背景 C</w:t>
            </w:r>
          </w:p>
        </w:tc>
        <w:tc>
          <w:tcPr>
            <w:tcW w:type="dxa" w:w="1656"/>
            <w:vAlign w:val="center"/>
            <w:shd w:fill="F2F5F7"/>
          </w:tcPr>
          <w:p>
            <w:pPr>
              <w:spacing w:after="0" w:line="281" w:lineRule="auto"/>
              <w:jc w:val="center"/>
            </w:pPr>
            <w:r>
              <w:rPr>
                <w:sz w:val="20"/>
              </w:rPr>
              <w:t>28.87</w:t>
            </w:r>
          </w:p>
        </w:tc>
        <w:tc>
          <w:tcPr>
            <w:tcW w:type="dxa" w:w="3096"/>
            <w:vAlign w:val="center"/>
            <w:shd w:fill="F2F5F7"/>
          </w:tcPr>
          <w:p>
            <w:pPr>
              <w:spacing w:after="0" w:line="281" w:lineRule="auto"/>
              <w:jc w:val="center"/>
            </w:pPr>
            <w:r>
              <w:rPr>
                <w:sz w:val="20"/>
              </w:rPr>
              <w:t>144 / 9 / 69</w:t>
            </w:r>
          </w:p>
        </w:tc>
        <w:tc>
          <w:tcPr>
            <w:tcW w:type="dxa" w:w="2304"/>
            <w:vAlign w:val="center"/>
            <w:shd w:fill="F2F5F7"/>
          </w:tcPr>
          <w:p>
            <w:pPr>
              <w:spacing w:after="0" w:line="281" w:lineRule="auto"/>
              <w:jc w:val="center"/>
            </w:pPr>
            <w:r>
              <w:rPr>
                <w:sz w:val="20"/>
              </w:rPr>
              <w:t>24.13</w:t>
            </w:r>
          </w:p>
        </w:tc>
      </w:tr>
      <w:tr>
        <w:trPr>
          <w:cantSplit/>
        </w:trPr>
        <w:tc>
          <w:tcPr>
            <w:tcW w:type="dxa" w:w="3024"/>
            <w:vAlign w:val="center"/>
          </w:tcPr>
          <w:p>
            <w:pPr>
              <w:spacing w:after="0" w:line="281" w:lineRule="auto"/>
            </w:pPr>
            <w:r>
              <w:rPr>
                <w:sz w:val="20"/>
              </w:rPr>
              <w:t>C 加播种密度</w:t>
            </w:r>
          </w:p>
        </w:tc>
        <w:tc>
          <w:tcPr>
            <w:tcW w:type="dxa" w:w="1656"/>
            <w:vAlign w:val="center"/>
          </w:tcPr>
          <w:p>
            <w:pPr>
              <w:spacing w:after="0" w:line="281" w:lineRule="auto"/>
              <w:jc w:val="center"/>
            </w:pPr>
            <w:r>
              <w:rPr>
                <w:sz w:val="20"/>
              </w:rPr>
              <w:t>28.35</w:t>
            </w:r>
          </w:p>
        </w:tc>
        <w:tc>
          <w:tcPr>
            <w:tcW w:type="dxa" w:w="3096"/>
            <w:vAlign w:val="center"/>
          </w:tcPr>
          <w:p>
            <w:pPr>
              <w:spacing w:after="0" w:line="281" w:lineRule="auto"/>
              <w:jc w:val="center"/>
            </w:pPr>
            <w:r>
              <w:rPr>
                <w:sz w:val="20"/>
              </w:rPr>
              <w:t>144 / 9 / 69</w:t>
            </w:r>
          </w:p>
        </w:tc>
        <w:tc>
          <w:tcPr>
            <w:tcW w:type="dxa" w:w="2304"/>
            <w:vAlign w:val="center"/>
          </w:tcPr>
          <w:p>
            <w:pPr>
              <w:spacing w:after="0" w:line="281" w:lineRule="auto"/>
              <w:jc w:val="center"/>
            </w:pPr>
            <w:r>
              <w:rPr>
                <w:sz w:val="20"/>
              </w:rPr>
              <w:t>24.15</w:t>
            </w:r>
          </w:p>
        </w:tc>
      </w:tr>
      <w:tr>
        <w:trPr>
          <w:cantSplit/>
        </w:trPr>
        <w:tc>
          <w:tcPr>
            <w:tcW w:type="dxa" w:w="3024"/>
            <w:vAlign w:val="center"/>
            <w:shd w:fill="F2F5F7"/>
          </w:tcPr>
          <w:p>
            <w:pPr>
              <w:spacing w:after="0" w:line="281" w:lineRule="auto"/>
            </w:pPr>
            <w:r>
              <w:rPr>
                <w:sz w:val="20"/>
              </w:rPr>
              <w:t>C 加同背景内置换密度</w:t>
            </w:r>
          </w:p>
        </w:tc>
        <w:tc>
          <w:tcPr>
            <w:tcW w:type="dxa" w:w="1656"/>
            <w:vAlign w:val="center"/>
            <w:shd w:fill="F2F5F7"/>
          </w:tcPr>
          <w:p>
            <w:pPr>
              <w:spacing w:after="0" w:line="281" w:lineRule="auto"/>
              <w:jc w:val="center"/>
            </w:pPr>
            <w:r>
              <w:rPr>
                <w:sz w:val="20"/>
              </w:rPr>
              <w:t>27.98</w:t>
            </w:r>
          </w:p>
        </w:tc>
        <w:tc>
          <w:tcPr>
            <w:tcW w:type="dxa" w:w="3096"/>
            <w:vAlign w:val="center"/>
            <w:shd w:fill="F2F5F7"/>
          </w:tcPr>
          <w:p>
            <w:pPr>
              <w:spacing w:after="0" w:line="281" w:lineRule="auto"/>
              <w:jc w:val="center"/>
            </w:pPr>
            <w:r>
              <w:rPr>
                <w:sz w:val="20"/>
              </w:rPr>
              <w:t>144 / 9 / 69</w:t>
            </w:r>
          </w:p>
        </w:tc>
        <w:tc>
          <w:tcPr>
            <w:tcW w:type="dxa" w:w="2304"/>
            <w:vAlign w:val="center"/>
            <w:shd w:fill="F2F5F7"/>
          </w:tcPr>
          <w:p>
            <w:pPr>
              <w:spacing w:after="0" w:line="281" w:lineRule="auto"/>
              <w:jc w:val="center"/>
            </w:pPr>
            <w:r>
              <w:rPr>
                <w:sz w:val="20"/>
              </w:rPr>
              <w:t>24.12</w:t>
            </w:r>
          </w:p>
        </w:tc>
      </w:tr>
    </w:tbl>
    <w:p>
      <w:pPr>
        <w:spacing w:after="4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2952"/>
        <w:gridCol w:w="1008"/>
        <w:gridCol w:w="4032"/>
        <w:gridCol w:w="2088"/>
      </w:tblGrid>
      <w:tr>
        <w:trPr>
          <w:cantSplit/>
          <w:tblHeader/>
        </w:trPr>
        <w:tc>
          <w:tcPr>
            <w:tcW w:type="dxa" w:w="2952"/>
            <w:vAlign w:val="center"/>
            <w:shd w:fill="37424D"/>
          </w:tcPr>
          <w:p>
            <w:pPr>
              <w:spacing w:after="0" w:line="281" w:lineRule="auto"/>
            </w:pPr>
            <w:r>
              <w:rPr>
                <w:b/>
                <w:color w:val="FFFFFF"/>
                <w:sz w:val="20"/>
              </w:rPr>
              <w:t>策略差</w:t>
            </w:r>
          </w:p>
        </w:tc>
        <w:tc>
          <w:tcPr>
            <w:tcW w:type="dxa" w:w="1008"/>
            <w:vAlign w:val="center"/>
            <w:shd w:fill="37424D"/>
          </w:tcPr>
          <w:p>
            <w:pPr>
              <w:spacing w:after="0" w:line="281" w:lineRule="auto"/>
              <w:jc w:val="center"/>
            </w:pPr>
            <w:r>
              <w:rPr>
                <w:b/>
                <w:color w:val="FFFFFF"/>
                <w:sz w:val="20"/>
              </w:rPr>
              <w:t>增量</w:t>
            </w:r>
          </w:p>
        </w:tc>
        <w:tc>
          <w:tcPr>
            <w:tcW w:type="dxa" w:w="4032"/>
            <w:vAlign w:val="center"/>
            <w:shd w:fill="37424D"/>
          </w:tcPr>
          <w:p>
            <w:pPr>
              <w:spacing w:after="0" w:line="281" w:lineRule="auto"/>
              <w:jc w:val="center"/>
            </w:pPr>
            <w:r>
              <w:rPr>
                <w:b/>
                <w:color w:val="FFFFFF"/>
                <w:sz w:val="20"/>
              </w:rPr>
              <w:t>区间及水平</w:t>
            </w:r>
          </w:p>
        </w:tc>
        <w:tc>
          <w:tcPr>
            <w:tcW w:type="dxa" w:w="2088"/>
            <w:vAlign w:val="center"/>
            <w:shd w:fill="37424D"/>
          </w:tcPr>
          <w:p>
            <w:pPr>
              <w:spacing w:after="0" w:line="281" w:lineRule="auto"/>
              <w:jc w:val="center"/>
            </w:pPr>
            <w:r>
              <w:rPr>
                <w:b/>
                <w:color w:val="FFFFFF"/>
                <w:sz w:val="20"/>
              </w:rPr>
              <w:t>切换次数</w:t>
            </w:r>
          </w:p>
        </w:tc>
      </w:tr>
      <w:tr>
        <w:trPr>
          <w:cantSplit/>
        </w:trPr>
        <w:tc>
          <w:tcPr>
            <w:tcW w:type="dxa" w:w="2952"/>
            <w:vAlign w:val="center"/>
          </w:tcPr>
          <w:p>
            <w:pPr>
              <w:spacing w:after="0" w:line="281" w:lineRule="auto"/>
            </w:pPr>
            <w:r>
              <w:rPr>
                <w:sz w:val="20"/>
              </w:rPr>
              <w:t>C+S − C 主要</w:t>
            </w:r>
          </w:p>
        </w:tc>
        <w:tc>
          <w:tcPr>
            <w:tcW w:type="dxa" w:w="1008"/>
            <w:vAlign w:val="center"/>
          </w:tcPr>
          <w:p>
            <w:pPr>
              <w:spacing w:after="0" w:line="281" w:lineRule="auto"/>
              <w:jc w:val="center"/>
            </w:pPr>
            <w:r>
              <w:rPr>
                <w:sz w:val="20"/>
              </w:rPr>
              <w:t>−0.52</w:t>
            </w:r>
          </w:p>
        </w:tc>
        <w:tc>
          <w:tcPr>
            <w:tcW w:type="dxa" w:w="4032"/>
            <w:vAlign w:val="center"/>
          </w:tcPr>
          <w:p>
            <w:pPr>
              <w:spacing w:after="0" w:line="281" w:lineRule="auto"/>
              <w:jc w:val="center"/>
            </w:pPr>
            <w:r>
              <w:rPr>
                <w:sz w:val="20"/>
              </w:rPr>
              <w:t>97.5% [−1.69, +0.65]</w:t>
            </w:r>
          </w:p>
        </w:tc>
        <w:tc>
          <w:tcPr>
            <w:tcW w:type="dxa" w:w="2088"/>
            <w:vAlign w:val="center"/>
          </w:tcPr>
          <w:p>
            <w:pPr>
              <w:spacing w:after="0" w:line="281" w:lineRule="auto"/>
              <w:jc w:val="center"/>
            </w:pPr>
            <w:r>
              <w:rPr>
                <w:sz w:val="20"/>
              </w:rPr>
              <w:t>12 / 222</w:t>
            </w:r>
          </w:p>
        </w:tc>
      </w:tr>
      <w:tr>
        <w:trPr>
          <w:cantSplit/>
        </w:trPr>
        <w:tc>
          <w:tcPr>
            <w:tcW w:type="dxa" w:w="2952"/>
            <w:vAlign w:val="center"/>
            <w:shd w:fill="F2F5F7"/>
          </w:tcPr>
          <w:p>
            <w:pPr>
              <w:spacing w:after="0" w:line="281" w:lineRule="auto"/>
            </w:pPr>
            <w:r>
              <w:rPr>
                <w:sz w:val="20"/>
              </w:rPr>
              <w:t>C+S − 固定 主要</w:t>
            </w:r>
          </w:p>
        </w:tc>
        <w:tc>
          <w:tcPr>
            <w:tcW w:type="dxa" w:w="1008"/>
            <w:vAlign w:val="center"/>
            <w:shd w:fill="F2F5F7"/>
          </w:tcPr>
          <w:p>
            <w:pPr>
              <w:spacing w:after="0" w:line="281" w:lineRule="auto"/>
              <w:jc w:val="center"/>
            </w:pPr>
            <w:r>
              <w:rPr>
                <w:sz w:val="20"/>
              </w:rPr>
              <w:t>+2.81</w:t>
            </w:r>
          </w:p>
        </w:tc>
        <w:tc>
          <w:tcPr>
            <w:tcW w:type="dxa" w:w="4032"/>
            <w:vAlign w:val="center"/>
            <w:shd w:fill="F2F5F7"/>
          </w:tcPr>
          <w:p>
            <w:pPr>
              <w:spacing w:after="0" w:line="281" w:lineRule="auto"/>
              <w:jc w:val="center"/>
            </w:pPr>
            <w:r>
              <w:rPr>
                <w:sz w:val="20"/>
              </w:rPr>
              <w:t>97.5% [−0.03, +5.64]</w:t>
            </w:r>
          </w:p>
        </w:tc>
        <w:tc>
          <w:tcPr>
            <w:tcW w:type="dxa" w:w="2088"/>
            <w:vAlign w:val="center"/>
            <w:shd w:fill="F2F5F7"/>
          </w:tcPr>
          <w:p>
            <w:pPr>
              <w:spacing w:after="0" w:line="281" w:lineRule="auto"/>
              <w:jc w:val="center"/>
            </w:pPr>
            <w:r>
              <w:rPr>
                <w:sz w:val="20"/>
              </w:rPr>
              <w:t>78 / 222</w:t>
            </w:r>
          </w:p>
        </w:tc>
      </w:tr>
      <w:tr>
        <w:trPr>
          <w:cantSplit/>
        </w:trPr>
        <w:tc>
          <w:tcPr>
            <w:tcW w:type="dxa" w:w="2952"/>
            <w:vAlign w:val="center"/>
          </w:tcPr>
          <w:p>
            <w:pPr>
              <w:spacing w:after="0" w:line="281" w:lineRule="auto"/>
            </w:pPr>
            <w:r>
              <w:rPr>
                <w:sz w:val="20"/>
              </w:rPr>
              <w:t>C − 固定 辅助</w:t>
            </w:r>
          </w:p>
        </w:tc>
        <w:tc>
          <w:tcPr>
            <w:tcW w:type="dxa" w:w="1008"/>
            <w:vAlign w:val="center"/>
          </w:tcPr>
          <w:p>
            <w:pPr>
              <w:spacing w:after="0" w:line="281" w:lineRule="auto"/>
              <w:jc w:val="center"/>
            </w:pPr>
            <w:r>
              <w:rPr>
                <w:sz w:val="20"/>
              </w:rPr>
              <w:t>+3.32</w:t>
            </w:r>
          </w:p>
        </w:tc>
        <w:tc>
          <w:tcPr>
            <w:tcW w:type="dxa" w:w="4032"/>
            <w:vAlign w:val="center"/>
          </w:tcPr>
          <w:p>
            <w:pPr>
              <w:spacing w:after="0" w:line="281" w:lineRule="auto"/>
              <w:jc w:val="center"/>
            </w:pPr>
            <w:r>
              <w:rPr>
                <w:sz w:val="20"/>
              </w:rPr>
              <w:t>95% [+0.96, +5.69]</w:t>
            </w:r>
          </w:p>
        </w:tc>
        <w:tc>
          <w:tcPr>
            <w:tcW w:type="dxa" w:w="2088"/>
            <w:vAlign w:val="center"/>
          </w:tcPr>
          <w:p>
            <w:pPr>
              <w:spacing w:after="0" w:line="281" w:lineRule="auto"/>
              <w:jc w:val="center"/>
            </w:pPr>
            <w:r>
              <w:rPr>
                <w:sz w:val="20"/>
              </w:rPr>
              <w:t>78 / 222</w:t>
            </w:r>
          </w:p>
        </w:tc>
      </w:tr>
      <w:tr>
        <w:trPr>
          <w:cantSplit/>
        </w:trPr>
        <w:tc>
          <w:tcPr>
            <w:tcW w:type="dxa" w:w="2952"/>
            <w:vAlign w:val="center"/>
            <w:shd w:fill="F2F5F7"/>
          </w:tcPr>
          <w:p>
            <w:pPr>
              <w:spacing w:after="0" w:line="281" w:lineRule="auto"/>
            </w:pPr>
            <w:r>
              <w:rPr>
                <w:sz w:val="20"/>
              </w:rPr>
              <w:t>C+S − 置换 辅助</w:t>
            </w:r>
          </w:p>
        </w:tc>
        <w:tc>
          <w:tcPr>
            <w:tcW w:type="dxa" w:w="1008"/>
            <w:vAlign w:val="center"/>
            <w:shd w:fill="F2F5F7"/>
          </w:tcPr>
          <w:p>
            <w:pPr>
              <w:spacing w:after="0" w:line="281" w:lineRule="auto"/>
              <w:jc w:val="center"/>
            </w:pPr>
            <w:r>
              <w:rPr>
                <w:sz w:val="20"/>
              </w:rPr>
              <w:t>+0.37</w:t>
            </w:r>
          </w:p>
        </w:tc>
        <w:tc>
          <w:tcPr>
            <w:tcW w:type="dxa" w:w="4032"/>
            <w:vAlign w:val="center"/>
            <w:shd w:fill="F2F5F7"/>
          </w:tcPr>
          <w:p>
            <w:pPr>
              <w:spacing w:after="0" w:line="281" w:lineRule="auto"/>
              <w:jc w:val="center"/>
            </w:pPr>
            <w:r>
              <w:rPr>
                <w:sz w:val="20"/>
              </w:rPr>
              <w:t>95% [−1.02, +1.76]</w:t>
            </w:r>
          </w:p>
        </w:tc>
        <w:tc>
          <w:tcPr>
            <w:tcW w:type="dxa" w:w="2088"/>
            <w:vAlign w:val="center"/>
            <w:shd w:fill="F2F5F7"/>
          </w:tcPr>
          <w:p>
            <w:pPr>
              <w:spacing w:after="0" w:line="281" w:lineRule="auto"/>
              <w:jc w:val="center"/>
            </w:pPr>
            <w:r>
              <w:rPr>
                <w:sz w:val="20"/>
              </w:rPr>
              <w:t>20 / 222</w:t>
            </w:r>
          </w:p>
        </w:tc>
      </w:tr>
    </w:tbl>
    <w:p>
      <w:pPr>
        <w:spacing w:after="40" w:before="0" w:line="240" w:lineRule="auto"/>
      </w:pPr>
      <w:r>
        <w:rPr>
          <w:sz w:val="4"/>
        </w:rPr>
      </w:r>
    </w:p>
    <w:p>
      <w:r>
        <w:t>上述差值继承原报告的未舍入计算，不能用表中两位小数均值相减替代。三个预测策略的动作总数相同，不表示逐板动作相同。密度只改变了 12 个板的选择；其中 7 次观察损失超过 2 点、6 次超过 5 点。这是有噪声的读数比较，不是校准的错误推荐率。此次没有拒答变化，收益变化来自具体动作选择。</w:t>
      </w:r>
    </w:p>
    <w:p>
      <w:r>
        <w:t>确认集上，Afatinib 相对 PLX-4720 的平均优势为 +6.21 点，98.33% 区间 [1.90, 10.52]；相对 PD0325901 为 +5.85 点，区间 [0.58, 11.12]。边际平均优势不表示对所有细胞系普遍占优。[S1]</w:t>
      </w:r>
    </w:p>
    <w:p>
      <w:r>
        <w:t>开发集中 43 个细胞系有不同日期重复。第一次读数选动作、最后一次读数评分，相对固定策略的描述性增量为 +10.90 点，95% 区间 [3.90, 17.89]；三对动作差的前后相关约为 0.76、0.89、0.57。但 37/43 共用相同扩增标识，且重复对象为选择性子集。它支持部分 assay 重复性与历史响应信息的潜在价值，不认证新亲本泛化，也不是全部人群的收益上界。</w:t>
      </w:r>
    </w:p>
    <w:p>
      <w:r>
        <w:t>工程上复用了 DecisionPath、CaseStore、预算和预测—结果绑定，完成四臂共 888 次离线回放。这是对 222 个历史板重复评价四个策略，没有新增 888 份独立测量。输入溯源修复后，从实际登记输入重新计算 1,998 个预测值，与冻结值最大差为 9.71×10⁻¹⁷；动作、来源行和效用均未改变。修复后回放属于结果已打开后的工程复现，不是新确认。[S1]</w:t>
      </w:r>
    </w:p>
    <w:p>
      <w:r>
        <w:t>最终相关回归为 62 项通过、0 失败、0 跳过。新物理实验、新 RNA、新 STATE 前向和付费 LLM 调用均为零。60 次小模型拟合及开发处理为 11.75 秒，确认读取与统计评价为 5.30 秒；这些时长不包含全部检索、下载和研究工时。货币、人工、失败及完整等待成本仍未知。</w:t>
      </w:r>
    </w:p>
    <w:p>
      <w:pPr>
        <w:pStyle w:val="Heading1"/>
      </w:pPr>
      <w:r>
        <w:t>6 结果解释与关键不可识别性</w:t>
      </w:r>
    </w:p>
    <w:p>
      <w:pPr>
        <w:pStyle w:val="Heading2"/>
      </w:pPr>
      <w:r>
        <w:t>已测试密度策略可以停止</w:t>
      </w:r>
    </w:p>
    <w:p>
      <w:r>
        <w:t>主要比较的区间上界 +0.65 点低于预先假设的 2、5、10、20 点门槛。这比单纯“p 值不显著”更有决策意义：在当前区间假设和门槛集合内，该已测试策略没有足够大的平均增量。因此停止为其增加复杂度或测量投入合理。</w:t>
      </w:r>
    </w:p>
    <w:p>
      <w:r>
        <w:t>这个界只约束已测试策略，不是所有利用密度的方法的最优价值上界。现有模型族、密度取值范围、状态测量误差及任务菜单都限制了结论。尤其不能将其推广为分子状态无价值。没有新的判别性证据时，也不应靠在已打开确认集上试更多模型来挽救假设。</w:t>
      </w:r>
    </w:p>
    <w:p>
      <w:pPr>
        <w:pStyle w:val="Heading2"/>
      </w:pPr>
      <w:r>
        <w:t>背景信号值得保留但未完成确认</w:t>
      </w:r>
    </w:p>
    <w:p>
      <w:r>
        <w:t>C 相对固定动作的辅助区间排除零，却跨越 2 和 5 点。它说明当前关联估计对象下存在正向证据，尚未证明具有足够大的实用效应。若成本未知，就不能将 +3.32 点换成净收益。保留冻结 C 模型，可以为更复杂模型建立真实且便宜的参照。</w:t>
      </w:r>
    </w:p>
    <w:p>
      <w:pPr>
        <w:pStyle w:val="Heading2"/>
      </w:pPr>
      <w:r>
        <w:t>固定位置妨碍生物学归因</w:t>
      </w:r>
    </w:p>
    <w:p>
      <w:r>
        <w:t>以加性误差作为诊断模型，设 i 为实验单位、a 为药物、</w:t>
      </w:r>
      <w:r>
        <w:t>p</w:t>
      </w:r>
      <w:r>
        <w:rPr>
          <w:vertAlign w:val="subscript"/>
        </w:rPr>
        <w:t>a</w:t>
      </w:r>
      <w:r>
        <w:t xml:space="preserve"> 为固定孔位，则：</w:t>
      </w:r>
    </w:p>
    <w:p>
      <w:pPr>
        <w:spacing w:before="60" w:after="160"/>
        <w:jc w:val="center"/>
      </w:pPr>
      <w:r>
        <w:drawing>
          <wp:inline xmlns:a="http://schemas.openxmlformats.org/drawingml/2006/main" xmlns:pic="http://schemas.openxmlformats.org/drawingml/2006/picture">
            <wp:extent cx="1805025" cy="192024"/>
            <wp:docPr id="3" name="Picture 3" descr="研究报告公式 3"/>
            <wp:cNvGraphicFramePr>
              <a:graphicFrameLocks noChangeAspect="1"/>
            </wp:cNvGraphicFramePr>
            <a:graphic>
              <a:graphicData uri="http://schemas.openxmlformats.org/drawingml/2006/picture">
                <pic:pic>
                  <pic:nvPicPr>
                    <pic:cNvPr id="0" name="eq3.png"/>
                    <pic:cNvPicPr/>
                  </pic:nvPicPr>
                  <pic:blipFill>
                    <a:blip r:embed="rId12"/>
                    <a:stretch>
                      <a:fillRect/>
                    </a:stretch>
                  </pic:blipFill>
                  <pic:spPr>
                    <a:xfrm>
                      <a:off x="0" y="0"/>
                      <a:ext cx="1805025" cy="192024"/>
                    </a:xfrm>
                    <a:prstGeom prst="rect"/>
                  </pic:spPr>
                </pic:pic>
              </a:graphicData>
            </a:graphic>
          </wp:inline>
        </w:drawing>
      </w:r>
    </w:p>
    <w:p>
      <w:r>
        <w:t>同一药物固定在同一孔位时，生物响应与位置效应难以从现有动作数据中分开。如果不同组织、培养方式或培养基对位置影响的敏感性不同，C 模型可以预测位置相关读数而不完全对应药物响应。共同对照能够消除部分共享偏移，不能自动去除这种动作—位置绑定。</w:t>
      </w:r>
    </w:p>
    <w:p>
      <w:r>
        <w:t>随机化新实验如果复现背景收益，会增强其可迁移性的证据；若未复现，原因仍可能是位置、培养条件、注释、样本组成或噪声。仅凭失败不能唯一归因于旧孔位。要专门识别位置解释，需要预先设计布局交叉或相关测量，不能事后补写原因。</w:t>
      </w:r>
    </w:p>
    <w:p>
      <w:pPr>
        <w:pStyle w:val="Heading2"/>
      </w:pPr>
      <w:r>
        <w:t>当前结果未证明状态交互或双核心协同</w:t>
      </w:r>
    </w:p>
    <w:p>
      <w:r>
        <w:t>背景策略收益与分组相关异质性相容，但在上述混杂未解除时，不能确认这种异质性完全来自生物学。也不能用静态预测后的 argmax 选择证明序贯规划有增量。当前保留的是一个可检验的基线与执行链，而不是已经成立的双核心创新。</w:t>
      </w:r>
    </w:p>
    <w:p>
      <w:pPr>
        <w:pStyle w:val="Heading1"/>
      </w:pPr>
      <w:r>
        <w:t>7 对现有数据的有限诊断</w:t>
      </w:r>
    </w:p>
    <w:p>
      <w:r>
        <w:t>以下检查均为已打开数据上的敏感性或解释性分析，应使用新输出目录，保留原主要结果，不重新命名为独立确认。其目的在于决定复测是否值得，以及复测应控制哪些误差。</w:t>
      </w:r>
    </w:p>
    <w:p>
      <w:r>
        <w:t>收益贡献应按供体权重分解为具体动作切换的差值，报告按推荐药物、日期和预定义背景类别的贡献。保留全部类别，包括负贡献；增加逐日期删除诊断，检查正收益是否由少数日期支撑。密度只改变 12 个板，应单独记录这些变化的位置与条件，不据此筛选“密度有效人群”。</w:t>
      </w:r>
    </w:p>
    <w:p>
      <w:r>
        <w:t xml:space="preserve">归一化分母需要作为第二项检查。令 </w:t>
      </w:r>
      <w:r>
        <w:t>D</w:t>
      </w:r>
      <w:r>
        <w:rPr>
          <w:vertAlign w:val="subscript"/>
        </w:rPr>
        <w:t>i</w:t>
      </w:r>
      <w:r>
        <w:t xml:space="preserve"> 为同板负对照均值减空白均值，则：</w:t>
      </w:r>
    </w:p>
    <w:p>
      <w:pPr>
        <w:spacing w:before="60" w:after="160"/>
        <w:jc w:val="center"/>
      </w:pPr>
      <w:r>
        <w:drawing>
          <wp:inline xmlns:a="http://schemas.openxmlformats.org/drawingml/2006/main" xmlns:pic="http://schemas.openxmlformats.org/drawingml/2006/picture">
            <wp:extent cx="2729484" cy="249631"/>
            <wp:docPr id="4" name="Picture 4" descr="研究报告公式 4"/>
            <wp:cNvGraphicFramePr>
              <a:graphicFrameLocks noChangeAspect="1"/>
            </wp:cNvGraphicFramePr>
            <a:graphic>
              <a:graphicData uri="http://schemas.openxmlformats.org/drawingml/2006/picture">
                <pic:pic>
                  <pic:nvPicPr>
                    <pic:cNvPr id="0" name="eq4.png"/>
                    <pic:cNvPicPr/>
                  </pic:nvPicPr>
                  <pic:blipFill>
                    <a:blip r:embed="rId13"/>
                    <a:stretch>
                      <a:fillRect/>
                    </a:stretch>
                  </pic:blipFill>
                  <pic:spPr>
                    <a:xfrm>
                      <a:off x="0" y="0"/>
                      <a:ext cx="2729484" cy="249631"/>
                    </a:xfrm>
                    <a:prstGeom prst="rect"/>
                  </pic:spPr>
                </pic:pic>
              </a:graphicData>
            </a:graphic>
          </wp:inline>
        </w:drawing>
      </w:r>
    </w:p>
    <w:p>
      <w:r>
        <w:t xml:space="preserve">当 </w:t>
      </w:r>
      <w:r>
        <w:t>D</w:t>
      </w:r>
      <w:r>
        <w:rPr>
          <w:vertAlign w:val="subscript"/>
        </w:rPr>
        <w:t>i</w:t>
      </w:r>
      <w:r>
        <w:t xml:space="preserve"> 为正时，它不改变同板动作排序，但较小的 </w:t>
      </w:r>
      <w:r>
        <w:t>D</w:t>
      </w:r>
      <w:r>
        <w:rPr>
          <w:vertAlign w:val="subscript"/>
        </w:rPr>
        <w:t>i</w:t>
      </w:r>
      <w:r>
        <w:t xml:space="preserve"> 会放大该板对平均差值的贡献。应检查动态范围、控制孔离散程度、效用贡献和背景类别的关系。确认集中 92/666 个动作读数位于 [0,1] 外不是自动删除依据；关键是这些值的测量解释和影响程度。不要事后 clipping 或排除不利样本。</w:t>
      </w:r>
    </w:p>
    <w:p>
      <w:r>
        <w:t>统计上应检查簇大小、日期影响和 two-way 方差实现；如停止结论依赖当前区间，可预先选定一个适合依赖结构的有限簇稳健性方法作敏感性比较，例如相应偏差修正或适用的 cluster bootstrap。方法必须与加权估计和交叉聚类结构匹配，不能机械按单一维度重采样，也不能从多个区间中挑最有利者。[R2]</w:t>
      </w:r>
    </w:p>
    <w:p>
      <w:r>
        <w:t>背景注释需要核对字段含义与实际培养条件。培养基等字段是可干预的实验背景，不等同于固定遗传身份。若删除可疑字段或修正编码，应只在开发数据上形成候选新版本；对既有确认集的再评价标为探索，最终评价另用独立数据。</w:t>
      </w:r>
    </w:p>
    <w:p>
      <w:r>
        <w:t>本阶段交付应限于一张完整的逐单位贡献表、一份分母与簇影响诊断、一份注释一致性记录及相应结论。没有具体异常时，不扩大成无边界审计。</w:t>
      </w:r>
    </w:p>
    <w:p>
      <w:pPr>
        <w:pStyle w:val="Heading1"/>
      </w:pPr>
      <w:r>
        <w:t>8 随机化独立启动先导的修订方案</w:t>
      </w:r>
    </w:p>
    <w:p>
      <w:pPr>
        <w:pStyle w:val="Heading2"/>
      </w:pPr>
      <w:r>
        <w:t>目标与选样</w:t>
      </w:r>
    </w:p>
    <w:p>
      <w:r>
        <w:t>先导的目标是检验冻结背景策略在独立启动、随机孔位条件下是否仍有可重复的动作差异，并估计测量精度、操作失败和成本。它不是原总体 +3.32 点收益的正式确认，也不承担完整的孔位因果归因。</w:t>
      </w:r>
    </w:p>
    <w:p>
      <w:r>
        <w:t>保留 12 个细胞系，每系两次独立冻存启动。按冻结 C 模型的三种推荐各选四系，选择依据限于元数据、模型预测和预先规定的实验可行性条件；不按旧实测结局挑选。若使用旧开发或确认中出现的细胞系，只能评价独立实验复现，不能声称未见细胞系泛化。真实独立性还需核对供体及衍生关系。</w:t>
      </w:r>
    </w:p>
    <w:p>
      <w:r>
        <w:t>选择三类各四系是富集设计，与原 144/9/69 的推荐构成不同。结果对先导样本有效；外推原总体需要明确纳入概率与权重，或另外进行代表性确认。不能简单按三类平均后称为总体策略收益。</w:t>
      </w:r>
    </w:p>
    <w:p>
      <w:pPr>
        <w:pStyle w:val="Heading2"/>
      </w:pPr>
      <w:r>
        <w:t>日期与孔位安排</w:t>
      </w:r>
    </w:p>
    <w:p>
      <w:r>
        <w:t>原方案把全部 12 系安排在两个日期，只有两个实验日。若资源允许，建议将 24 个启动块分到四个日期，每日六个启动块，各推荐类别占两个；同系的两次启动位于不同日期。下面是布局示例，A、B、C 仅表示三种预测推荐类别，不是生物学分组。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1440"/>
        <w:gridCol w:w="2880"/>
        <w:gridCol w:w="2880"/>
        <w:gridCol w:w="2880"/>
      </w:tblGrid>
      <w:tr>
        <w:trPr>
          <w:cantSplit/>
          <w:tblHeader/>
        </w:trPr>
        <w:tc>
          <w:tcPr>
            <w:tcW w:type="dxa" w:w="1440"/>
            <w:vAlign w:val="center"/>
            <w:shd w:fill="37424D"/>
          </w:tcPr>
          <w:p>
            <w:pPr>
              <w:spacing w:after="0" w:line="281" w:lineRule="auto"/>
            </w:pPr>
            <w:r>
              <w:rPr>
                <w:b/>
                <w:color w:val="FFFFFF"/>
                <w:sz w:val="20"/>
              </w:rPr>
              <w:t>日期</w:t>
            </w:r>
          </w:p>
        </w:tc>
        <w:tc>
          <w:tcPr>
            <w:tcW w:type="dxa" w:w="2880"/>
            <w:vAlign w:val="center"/>
            <w:shd w:fill="37424D"/>
          </w:tcPr>
          <w:p>
            <w:pPr>
              <w:spacing w:after="0" w:line="281" w:lineRule="auto"/>
              <w:jc w:val="center"/>
            </w:pPr>
            <w:r>
              <w:rPr>
                <w:b/>
                <w:color w:val="FFFFFF"/>
                <w:sz w:val="20"/>
              </w:rPr>
              <w:t>A 类四系中的安排</w:t>
            </w:r>
          </w:p>
        </w:tc>
        <w:tc>
          <w:tcPr>
            <w:tcW w:type="dxa" w:w="2880"/>
            <w:vAlign w:val="center"/>
            <w:shd w:fill="37424D"/>
          </w:tcPr>
          <w:p>
            <w:pPr>
              <w:spacing w:after="0" w:line="281" w:lineRule="auto"/>
              <w:jc w:val="center"/>
            </w:pPr>
            <w:r>
              <w:rPr>
                <w:b/>
                <w:color w:val="FFFFFF"/>
                <w:sz w:val="20"/>
              </w:rPr>
              <w:t>B 类四系中的安排</w:t>
            </w:r>
          </w:p>
        </w:tc>
        <w:tc>
          <w:tcPr>
            <w:tcW w:type="dxa" w:w="2880"/>
            <w:vAlign w:val="center"/>
            <w:shd w:fill="37424D"/>
          </w:tcPr>
          <w:p>
            <w:pPr>
              <w:spacing w:after="0" w:line="281" w:lineRule="auto"/>
              <w:jc w:val="center"/>
            </w:pPr>
            <w:r>
              <w:rPr>
                <w:b/>
                <w:color w:val="FFFFFF"/>
                <w:sz w:val="20"/>
              </w:rPr>
              <w:t>C 类四系中的安排</w:t>
            </w:r>
          </w:p>
        </w:tc>
      </w:tr>
      <w:tr>
        <w:trPr>
          <w:cantSplit/>
        </w:trPr>
        <w:tc>
          <w:tcPr>
            <w:tcW w:type="dxa" w:w="1440"/>
            <w:vAlign w:val="center"/>
          </w:tcPr>
          <w:p>
            <w:pPr>
              <w:spacing w:after="0" w:line="281" w:lineRule="auto"/>
            </w:pPr>
            <w:r>
              <w:rPr>
                <w:sz w:val="20"/>
              </w:rPr>
              <w:t>第一天</w:t>
            </w:r>
          </w:p>
        </w:tc>
        <w:tc>
          <w:tcPr>
            <w:tcW w:type="dxa" w:w="2880"/>
            <w:vAlign w:val="center"/>
          </w:tcPr>
          <w:p>
            <w:pPr>
              <w:spacing w:after="0" w:line="281" w:lineRule="auto"/>
              <w:jc w:val="center"/>
            </w:pPr>
            <w:r>
              <w:rPr>
                <w:sz w:val="20"/>
              </w:rPr>
              <w:t>A1 A2</w:t>
            </w:r>
          </w:p>
        </w:tc>
        <w:tc>
          <w:tcPr>
            <w:tcW w:type="dxa" w:w="2880"/>
            <w:vAlign w:val="center"/>
          </w:tcPr>
          <w:p>
            <w:pPr>
              <w:spacing w:after="0" w:line="281" w:lineRule="auto"/>
              <w:jc w:val="center"/>
            </w:pPr>
            <w:r>
              <w:rPr>
                <w:sz w:val="20"/>
              </w:rPr>
              <w:t>B1 B2</w:t>
            </w:r>
          </w:p>
        </w:tc>
        <w:tc>
          <w:tcPr>
            <w:tcW w:type="dxa" w:w="2880"/>
            <w:vAlign w:val="center"/>
          </w:tcPr>
          <w:p>
            <w:pPr>
              <w:spacing w:after="0" w:line="281" w:lineRule="auto"/>
              <w:jc w:val="center"/>
            </w:pPr>
            <w:r>
              <w:rPr>
                <w:sz w:val="20"/>
              </w:rPr>
              <w:t>C1 C2</w:t>
            </w:r>
          </w:p>
        </w:tc>
      </w:tr>
      <w:tr>
        <w:trPr>
          <w:cantSplit/>
        </w:trPr>
        <w:tc>
          <w:tcPr>
            <w:tcW w:type="dxa" w:w="1440"/>
            <w:vAlign w:val="center"/>
            <w:shd w:fill="F2F5F7"/>
          </w:tcPr>
          <w:p>
            <w:pPr>
              <w:spacing w:after="0" w:line="281" w:lineRule="auto"/>
            </w:pPr>
            <w:r>
              <w:rPr>
                <w:sz w:val="20"/>
              </w:rPr>
              <w:t>第二天</w:t>
            </w:r>
          </w:p>
        </w:tc>
        <w:tc>
          <w:tcPr>
            <w:tcW w:type="dxa" w:w="2880"/>
            <w:vAlign w:val="center"/>
            <w:shd w:fill="F2F5F7"/>
          </w:tcPr>
          <w:p>
            <w:pPr>
              <w:spacing w:after="0" w:line="281" w:lineRule="auto"/>
              <w:jc w:val="center"/>
            </w:pPr>
            <w:r>
              <w:rPr>
                <w:sz w:val="20"/>
              </w:rPr>
              <w:t>A3 A4</w:t>
            </w:r>
          </w:p>
        </w:tc>
        <w:tc>
          <w:tcPr>
            <w:tcW w:type="dxa" w:w="2880"/>
            <w:vAlign w:val="center"/>
            <w:shd w:fill="F2F5F7"/>
          </w:tcPr>
          <w:p>
            <w:pPr>
              <w:spacing w:after="0" w:line="281" w:lineRule="auto"/>
              <w:jc w:val="center"/>
            </w:pPr>
            <w:r>
              <w:rPr>
                <w:sz w:val="20"/>
              </w:rPr>
              <w:t>B3 B4</w:t>
            </w:r>
          </w:p>
        </w:tc>
        <w:tc>
          <w:tcPr>
            <w:tcW w:type="dxa" w:w="2880"/>
            <w:vAlign w:val="center"/>
            <w:shd w:fill="F2F5F7"/>
          </w:tcPr>
          <w:p>
            <w:pPr>
              <w:spacing w:after="0" w:line="281" w:lineRule="auto"/>
              <w:jc w:val="center"/>
            </w:pPr>
            <w:r>
              <w:rPr>
                <w:sz w:val="20"/>
              </w:rPr>
              <w:t>C3 C4</w:t>
            </w:r>
          </w:p>
        </w:tc>
      </w:tr>
      <w:tr>
        <w:trPr>
          <w:cantSplit/>
        </w:trPr>
        <w:tc>
          <w:tcPr>
            <w:tcW w:type="dxa" w:w="1440"/>
            <w:vAlign w:val="center"/>
          </w:tcPr>
          <w:p>
            <w:pPr>
              <w:spacing w:after="0" w:line="281" w:lineRule="auto"/>
            </w:pPr>
            <w:r>
              <w:rPr>
                <w:sz w:val="20"/>
              </w:rPr>
              <w:t>第三天</w:t>
            </w:r>
          </w:p>
        </w:tc>
        <w:tc>
          <w:tcPr>
            <w:tcW w:type="dxa" w:w="2880"/>
            <w:vAlign w:val="center"/>
          </w:tcPr>
          <w:p>
            <w:pPr>
              <w:spacing w:after="0" w:line="281" w:lineRule="auto"/>
              <w:jc w:val="center"/>
            </w:pPr>
            <w:r>
              <w:rPr>
                <w:sz w:val="20"/>
              </w:rPr>
              <w:t>A1 A3</w:t>
            </w:r>
          </w:p>
        </w:tc>
        <w:tc>
          <w:tcPr>
            <w:tcW w:type="dxa" w:w="2880"/>
            <w:vAlign w:val="center"/>
          </w:tcPr>
          <w:p>
            <w:pPr>
              <w:spacing w:after="0" w:line="281" w:lineRule="auto"/>
              <w:jc w:val="center"/>
            </w:pPr>
            <w:r>
              <w:rPr>
                <w:sz w:val="20"/>
              </w:rPr>
              <w:t>B1 B3</w:t>
            </w:r>
          </w:p>
        </w:tc>
        <w:tc>
          <w:tcPr>
            <w:tcW w:type="dxa" w:w="2880"/>
            <w:vAlign w:val="center"/>
          </w:tcPr>
          <w:p>
            <w:pPr>
              <w:spacing w:after="0" w:line="281" w:lineRule="auto"/>
              <w:jc w:val="center"/>
            </w:pPr>
            <w:r>
              <w:rPr>
                <w:sz w:val="20"/>
              </w:rPr>
              <w:t>C1 C3</w:t>
            </w:r>
          </w:p>
        </w:tc>
      </w:tr>
      <w:tr>
        <w:trPr>
          <w:cantSplit/>
        </w:trPr>
        <w:tc>
          <w:tcPr>
            <w:tcW w:type="dxa" w:w="1440"/>
            <w:vAlign w:val="center"/>
            <w:shd w:fill="F2F5F7"/>
          </w:tcPr>
          <w:p>
            <w:pPr>
              <w:spacing w:after="0" w:line="281" w:lineRule="auto"/>
            </w:pPr>
            <w:r>
              <w:rPr>
                <w:sz w:val="20"/>
              </w:rPr>
              <w:t>第四天</w:t>
            </w:r>
          </w:p>
        </w:tc>
        <w:tc>
          <w:tcPr>
            <w:tcW w:type="dxa" w:w="2880"/>
            <w:vAlign w:val="center"/>
            <w:shd w:fill="F2F5F7"/>
          </w:tcPr>
          <w:p>
            <w:pPr>
              <w:spacing w:after="0" w:line="281" w:lineRule="auto"/>
              <w:jc w:val="center"/>
            </w:pPr>
            <w:r>
              <w:rPr>
                <w:sz w:val="20"/>
              </w:rPr>
              <w:t>A2 A4</w:t>
            </w:r>
          </w:p>
        </w:tc>
        <w:tc>
          <w:tcPr>
            <w:tcW w:type="dxa" w:w="2880"/>
            <w:vAlign w:val="center"/>
            <w:shd w:fill="F2F5F7"/>
          </w:tcPr>
          <w:p>
            <w:pPr>
              <w:spacing w:after="0" w:line="281" w:lineRule="auto"/>
              <w:jc w:val="center"/>
            </w:pPr>
            <w:r>
              <w:rPr>
                <w:sz w:val="20"/>
              </w:rPr>
              <w:t>B2 B4</w:t>
            </w:r>
          </w:p>
        </w:tc>
        <w:tc>
          <w:tcPr>
            <w:tcW w:type="dxa" w:w="2880"/>
            <w:vAlign w:val="center"/>
            <w:shd w:fill="F2F5F7"/>
          </w:tcPr>
          <w:p>
            <w:pPr>
              <w:spacing w:after="0" w:line="281" w:lineRule="auto"/>
              <w:jc w:val="center"/>
            </w:pPr>
            <w:r>
              <w:rPr>
                <w:sz w:val="20"/>
              </w:rPr>
              <w:t>C2 C4</w:t>
            </w:r>
          </w:p>
        </w:tc>
      </w:tr>
    </w:tbl>
    <w:p>
      <w:pPr>
        <w:spacing w:after="40" w:before="0" w:line="240" w:lineRule="auto"/>
      </w:pPr>
      <w:r>
        <w:rPr>
          <w:sz w:val="4"/>
        </w:rPr>
      </w:r>
    </w:p>
    <w:p>
      <w:r>
        <w:t>这只是平衡安排示例。实际日期、板和操作顺序仍需按实验约束预先随机化；四个日期也不足以自动保证日期总体的精确推断。如果预算只能支持两个日期，应保留设计并限制跨日期结论，不能用技术孔数弥补日期不足。</w:t>
      </w:r>
    </w:p>
    <w:p>
      <w:r>
        <w:t>每个启动块保留三药各两个技术孔、四个 vehicle、四个 blank，以及两个加药起点的独立 sister 孔。随机化必须发生在药物到孔位的分配上，尽量平衡行、列和边缘位置；不能只随机移动整块细胞系而保留药物相对位置。技术重复应尽量分散位置和加样顺序，避免完全共享局部操作误差。</w:t>
      </w:r>
    </w:p>
    <w:p>
      <w:r>
        <w:t>24 个块合计 336 个终点孔和 48 个 time-zero sister 孔，共 384 个基础孔。四日期示例每天 84 个终点孔，可放置于一张 96-well 板；若每日期另用一张 time-zero 板，则至少需要八张板，并另计 time-zero 培养基空白、校准和失败余量。原两日期方案至少六张板；改变日期安排不增加基础孔数，但会增加部分耗材和操作成本。最终数量由实验人员按培养基、对照与检测要求核定。</w:t>
      </w:r>
    </w:p>
    <w:p>
      <w:pPr>
        <w:pStyle w:val="Heading2"/>
      </w:pPr>
      <w:r>
        <w:t>输入与终点</w:t>
      </w:r>
    </w:p>
    <w:p>
      <w:r>
        <w:t>实验前冻结 C 模型、编码器、单位、回退规则、精确动作、时间定义和比较策略。按当前实际培养条件记录背景，并在查看新处理结果前保存预测。条件与旧协议不同须登记；不得为了得到旧推荐而填入历史培养基。</w:t>
      </w:r>
    </w:p>
    <w:p>
      <w:r>
        <w:t>主终点继续使用预先定义的 ATP 抑制。time-zero 若用于增长分析，应对应实际加药起点，并验证测量与细胞数量之间的关系。ATP 信号反映活细胞相关代谢指标，不能自动等价为死亡比例。[R3] 增殖速度会影响传统终点药敏指标；GR 方法的使用需要相应初始量、终点量和测量条件，不能直接将任意 ATP 比值代入后声称完成增长校正。[R4]</w:t>
      </w:r>
    </w:p>
    <w:p>
      <w:r>
        <w:t>基线明场图像或预留样本可以用于将来的状态研究，但本先导不足以训练高维状态模型。新增读数先作为注册的辅助终点，不能在发现 ATP 无收益后替换主终点。</w:t>
      </w:r>
    </w:p>
    <w:p>
      <w:pPr>
        <w:pStyle w:val="Heading1"/>
      </w:pPr>
      <w:r>
        <w:t>9 先导分析与后续确认</w:t>
      </w:r>
    </w:p>
    <w:p>
      <w:r>
        <w:t>令 l 为细胞系，r 为独立启动，k 为技术重复；先在每个启动块内按冻结规则汇总技术孔，再构造 C 策略相对固定 Afatinib 的差值。若二者推荐相同，该块的策略差值按定义为零，不能把它解释为独立阳性或阴性验证。</w:t>
      </w:r>
    </w:p>
    <w:p>
      <w:pPr>
        <w:spacing w:before="60" w:after="160"/>
        <w:jc w:val="center"/>
      </w:pPr>
      <w:r>
        <w:drawing>
          <wp:inline xmlns:a="http://schemas.openxmlformats.org/drawingml/2006/main" xmlns:pic="http://schemas.openxmlformats.org/drawingml/2006/picture">
            <wp:extent cx="3198571" cy="411480"/>
            <wp:docPr id="5" name="Picture 5" descr="研究报告公式 5"/>
            <wp:cNvGraphicFramePr>
              <a:graphicFrameLocks noChangeAspect="1"/>
            </wp:cNvGraphicFramePr>
            <a:graphic>
              <a:graphicData uri="http://schemas.openxmlformats.org/drawingml/2006/picture">
                <pic:pic>
                  <pic:nvPicPr>
                    <pic:cNvPr id="0" name="eq5.png"/>
                    <pic:cNvPicPr/>
                  </pic:nvPicPr>
                  <pic:blipFill>
                    <a:blip r:embed="rId14"/>
                    <a:stretch>
                      <a:fillRect/>
                    </a:stretch>
                  </pic:blipFill>
                  <pic:spPr>
                    <a:xfrm>
                      <a:off x="0" y="0"/>
                      <a:ext cx="3198571" cy="411480"/>
                    </a:xfrm>
                    <a:prstGeom prst="rect"/>
                  </pic:spPr>
                </pic:pic>
              </a:graphicData>
            </a:graphic>
          </wp:inline>
        </w:drawing>
      </w:r>
    </w:p>
    <w:p>
      <w:r>
        <w:t>这里的等细胞系平均只对应选定先导样本，不对应原总体。若细胞系具有亲缘关系，则独立簇数还需进一步合并。技术孔用于估计测量波动，独立启动用于评估培养复现性；二者都不能直接扩增细胞系或供体数。</w:t>
      </w:r>
    </w:p>
    <w:p>
      <w:r>
        <w:t>先导报告应包括全部动作差值、两次启动的方向与幅度、控制孔质量、位置关系、实际培养条件、所有尝试及失败，以及报价和操作计时。不要求每个系显著，也不能只保留方向一致的系。若采用层级模型，应明确细胞系、启动、日期和板的结构；小样本下侧重可识别效应与方差范围，不承诺精确总体收益区间。</w:t>
      </w:r>
    </w:p>
    <w:p>
      <w:r>
        <w:t>随机化复测成功意味着结果在新的随机布局下得到支持。复测失败则优先区分测量精度、培养注释差异、协议迁移和原位置解释；没有布局交叉证据时，不得唯一归因于位置。若需要估计位置本身的影响，可在独立注册的新设计中安排布局比较，不要求本先导同时回答所有归因问题。</w:t>
      </w:r>
    </w:p>
    <w:p>
      <w:r>
        <w:t>正式确认应重新指定目标总体、纳入方式、权重和唯一主要比较，并将 C 模型及预处理保持冻结。若先导用于调模型或选择终点，它就属于开发阶段，不再进入该新版本的确认集。成功标准应围绕有意义收益与成本，不只看区间是否排除零。</w:t>
      </w:r>
    </w:p>
    <w:p>
      <w:r>
        <w:t>以独立单位正态近似为例，希望双侧 95% 区间下界超过 δ、功效 80%，样本量情景可写为：</w:t>
      </w:r>
    </w:p>
    <w:p>
      <w:pPr>
        <w:spacing w:before="60" w:after="160"/>
        <w:jc w:val="center"/>
      </w:pPr>
      <w:r>
        <w:drawing>
          <wp:inline xmlns:a="http://schemas.openxmlformats.org/drawingml/2006/main" xmlns:pic="http://schemas.openxmlformats.org/drawingml/2006/picture">
            <wp:extent cx="1393545" cy="249631"/>
            <wp:docPr id="6" name="Picture 6" descr="研究报告公式 6"/>
            <wp:cNvGraphicFramePr>
              <a:graphicFrameLocks noChangeAspect="1"/>
            </wp:cNvGraphicFramePr>
            <a:graphic>
              <a:graphicData uri="http://schemas.openxmlformats.org/drawingml/2006/picture">
                <pic:pic>
                  <pic:nvPicPr>
                    <pic:cNvPr id="0" name="eq6.png"/>
                    <pic:cNvPicPr/>
                  </pic:nvPicPr>
                  <pic:blipFill>
                    <a:blip r:embed="rId15"/>
                    <a:stretch>
                      <a:fillRect/>
                    </a:stretch>
                  </pic:blipFill>
                  <pic:spPr>
                    <a:xfrm>
                      <a:off x="0" y="0"/>
                      <a:ext cx="1393545" cy="249631"/>
                    </a:xfrm>
                    <a:prstGeom prst="rect"/>
                  </pic:spPr>
                </pic:pic>
              </a:graphicData>
            </a:graphic>
          </wp:inline>
        </w:drawing>
      </w:r>
    </w:p>
    <w:p>
      <w:r>
        <w:t>假设真实增量为 10 点、δ 为 5 点、单位差值标准差为 10/20/30 点，向上取整约需 32/126/283 个独立单位。这些继承原报告的情景假设，不是测得的方差或正式样本量；日期相关、亲缘关系和失败需要另行考虑。如果真实增量只有 3.32 点，增加样本不能使其成为大于 5 点的效应。</w:t>
      </w:r>
    </w:p>
    <w:p>
      <w:pPr>
        <w:pStyle w:val="Heading1"/>
      </w:pPr>
      <w:r>
        <w:t>10 双核心框架的后续研究任务</w:t>
      </w:r>
    </w:p>
    <w:p>
      <w:pPr>
        <w:pStyle w:val="Heading2"/>
      </w:pPr>
      <w:r>
        <w:t>世界模型研究</w:t>
      </w:r>
    </w:p>
    <w:p>
      <w:r>
        <w:t>在动作结果的可重复性成立后，选择一种合法且低成本的决策前状态 X，研究它是否在背景 C 之外预测动作差值。可考虑实际可采集的基线形态或有明确成本依据的少量测量，但不预设任何模态有效。破坏性测量通过 sister 样本代理时，应说明时间、代表性和误差。</w:t>
      </w:r>
    </w:p>
    <w:p>
      <w:pPr>
        <w:spacing w:before="60" w:after="160"/>
        <w:jc w:val="center"/>
      </w:pPr>
      <w:r>
        <w:drawing>
          <wp:inline xmlns:a="http://schemas.openxmlformats.org/drawingml/2006/main" xmlns:pic="http://schemas.openxmlformats.org/drawingml/2006/picture">
            <wp:extent cx="4101084" cy="159106"/>
            <wp:docPr id="7" name="Picture 7" descr="研究报告公式 7"/>
            <wp:cNvGraphicFramePr>
              <a:graphicFrameLocks noChangeAspect="1"/>
            </wp:cNvGraphicFramePr>
            <a:graphic>
              <a:graphicData uri="http://schemas.openxmlformats.org/drawingml/2006/picture">
                <pic:pic>
                  <pic:nvPicPr>
                    <pic:cNvPr id="0" name="eq7.png"/>
                    <pic:cNvPicPr/>
                  </pic:nvPicPr>
                  <pic:blipFill>
                    <a:blip r:embed="rId16"/>
                    <a:stretch>
                      <a:fillRect/>
                    </a:stretch>
                  </pic:blipFill>
                  <pic:spPr>
                    <a:xfrm>
                      <a:off x="0" y="0"/>
                      <a:ext cx="4101084" cy="159106"/>
                    </a:xfrm>
                    <a:prstGeom prst="rect"/>
                  </pic:spPr>
                </pic:pic>
              </a:graphicData>
            </a:graphic>
          </wp:inline>
        </w:drawing>
      </w:r>
    </w:p>
    <w:p>
      <w:r>
        <w:t xml:space="preserve">q 是与研究设计一致的期望效用预测；只有随机化或其他充分识别条件成立时，才赋予相应干预解释。新的主要目标是独立单位上的 </w:t>
      </w:r>
      <w:r>
        <w:t>G</w:t>
      </w:r>
      <w:r>
        <w:rPr>
          <w:vertAlign w:val="subscript"/>
        </w:rPr>
        <w:t>X</w:t>
      </w:r>
      <w:r>
        <w:t>，而非表达重建分数。对照至少包含冻结 C 基线、容量和预算相称的简单预测器，以及在合法范围内置换 X 的负对照。所有特征选择、缩放、表征训练和阈值确定均在开发数据中完成。</w:t>
      </w:r>
    </w:p>
    <w:p>
      <w:r>
        <w:t>理论上，状态若只改善所有动作共有的结果主效应，未必改进动作排序。新增模块需明确保留了什么关于相对响应的信息，以及为何背景、身份或动作先验不能替代它。当前密度负结果不能替代这项检验；同样，12 系先导也不足以证明高维状态模型的泛化。</w:t>
      </w:r>
    </w:p>
    <w:p>
      <w:pPr>
        <w:pStyle w:val="Heading2"/>
      </w:pPr>
      <w:r>
        <w:t>智能体研究</w:t>
      </w:r>
    </w:p>
    <w:p>
      <w:r>
        <w:t>智能体的增量需要来自一个真实的决策问题，例如有限预算下选择下一项测量以减少终局损失。只有提供可揭示的实测结果、确定的信息时间线、测量成本和终局评价，才能比较自适应策略与固定顺序、随机选择、简单贪心或强单智能体基线。</w:t>
      </w:r>
    </w:p>
    <w:p>
      <w:r>
        <w:t>在离线回放中，隐藏结果不能进入提示词、检索、缓存、预处理或模型训练。完整面板允许受控揭示，但不能把重复回放当作新增实验。固定动作菜单、测量预算和拒答规则；计算量与延迟另列。没有合格的补测后果模型时，不输出伪精确的 VOC。</w:t>
      </w:r>
    </w:p>
    <w:p>
      <w:r>
        <w:t>当前先验证背景基线的独立可重复性，再从世界模型增量或补证决策中选一条作为下一轮主假设。无需同时引入大模型、多智能体、JEPA、ensemble 与复杂调度。若简单响应预测和简单策略已经达到任务需要，就保留该实现，并将模型复杂化留给有证据的剩余问题。</w:t>
      </w:r>
    </w:p>
    <w:p>
      <w:pPr>
        <w:pStyle w:val="Heading2"/>
      </w:pPr>
      <w:r>
        <w:t>必要接口与机制边界</w:t>
      </w:r>
    </w:p>
    <w:p>
      <w:r>
        <w:t>世界模型接口保留输入及版本、动作/终点/时间绑定、估计对象、动作差值、支持范围、缺失原因，以及已覆盖和未覆盖的不确定性。智能体读取这些信息决定计算、测量、干预或停止；结果回到现有 CaseStore，不另建事实账本。合法动作、模型支持动作和历史有结局动作分别标记。</w:t>
      </w:r>
    </w:p>
    <w:p>
      <w:r>
        <w:t>RNA、ATP、靶点近端作用与机制结论使用不同命题。要由统计拒绝挑战某机制零假设，必须说明该机制零假设为何蕴含被检验的统计零假设，或检验对整个机制零假设模型为何有效。靶点注释、模型系数、多智能体共识都不能替代正交干预或近端测量。当前任务的机制准确率保持未测。</w:t>
      </w:r>
    </w:p>
    <w:p>
      <w:pPr>
        <w:pStyle w:val="Heading1"/>
      </w:pPr>
      <w:r>
        <w:t>11 执行顺序与继续修改停止标准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1944"/>
        <w:gridCol w:w="3456"/>
        <w:gridCol w:w="4680"/>
      </w:tblGrid>
      <w:tr>
        <w:trPr>
          <w:cantSplit/>
          <w:tblHeader/>
        </w:trPr>
        <w:tc>
          <w:tcPr>
            <w:tcW w:type="dxa" w:w="1944"/>
            <w:vAlign w:val="center"/>
            <w:shd w:fill="37424D"/>
          </w:tcPr>
          <w:p>
            <w:pPr>
              <w:spacing w:after="0" w:line="281" w:lineRule="auto"/>
            </w:pPr>
            <w:r>
              <w:rPr>
                <w:b/>
                <w:color w:val="FFFFFF"/>
                <w:sz w:val="20"/>
              </w:rPr>
              <w:t>阶段</w:t>
            </w:r>
          </w:p>
        </w:tc>
        <w:tc>
          <w:tcPr>
            <w:tcW w:type="dxa" w:w="3456"/>
            <w:vAlign w:val="center"/>
            <w:shd w:fill="37424D"/>
          </w:tcPr>
          <w:p>
            <w:pPr>
              <w:spacing w:after="0" w:line="281" w:lineRule="auto"/>
            </w:pPr>
            <w:r>
              <w:rPr>
                <w:b/>
                <w:color w:val="FFFFFF"/>
                <w:sz w:val="20"/>
              </w:rPr>
              <w:t>主要行动</w:t>
            </w:r>
          </w:p>
        </w:tc>
        <w:tc>
          <w:tcPr>
            <w:tcW w:type="dxa" w:w="4680"/>
            <w:vAlign w:val="center"/>
            <w:shd w:fill="37424D"/>
          </w:tcPr>
          <w:p>
            <w:pPr>
              <w:spacing w:after="0" w:line="281" w:lineRule="auto"/>
            </w:pPr>
            <w:r>
              <w:rPr>
                <w:b/>
                <w:color w:val="FFFFFF"/>
                <w:sz w:val="20"/>
              </w:rPr>
              <w:t>验收与分支</w:t>
            </w:r>
          </w:p>
        </w:tc>
      </w:tr>
      <w:tr>
        <w:trPr>
          <w:cantSplit/>
        </w:trPr>
        <w:tc>
          <w:tcPr>
            <w:tcW w:type="dxa" w:w="1944"/>
            <w:vAlign w:val="center"/>
          </w:tcPr>
          <w:p>
            <w:pPr>
              <w:spacing w:after="0" w:line="281" w:lineRule="auto"/>
            </w:pPr>
            <w:r>
              <w:rPr>
                <w:sz w:val="20"/>
              </w:rPr>
              <w:t>A 冻结当前研究</w:t>
            </w:r>
          </w:p>
        </w:tc>
        <w:tc>
          <w:tcPr>
            <w:tcW w:type="dxa" w:w="3456"/>
            <w:vAlign w:val="center"/>
          </w:tcPr>
          <w:p>
            <w:pPr>
              <w:spacing w:after="0" w:line="281" w:lineRule="auto"/>
            </w:pPr>
            <w:r>
              <w:rPr>
                <w:sz w:val="20"/>
              </w:rPr>
              <w:t>保存密度负结果与 C 基线</w:t>
            </w:r>
          </w:p>
        </w:tc>
        <w:tc>
          <w:tcPr>
            <w:tcW w:type="dxa" w:w="4680"/>
            <w:vAlign w:val="center"/>
          </w:tcPr>
          <w:p>
            <w:pPr>
              <w:spacing w:after="0" w:line="281" w:lineRule="auto"/>
            </w:pPr>
            <w:r>
              <w:rPr>
                <w:sz w:val="20"/>
              </w:rPr>
              <w:t>不在已打开确认集上继续寻优</w:t>
            </w:r>
          </w:p>
        </w:tc>
      </w:tr>
      <w:tr>
        <w:trPr>
          <w:cantSplit/>
        </w:trPr>
        <w:tc>
          <w:tcPr>
            <w:tcW w:type="dxa" w:w="1944"/>
            <w:vAlign w:val="center"/>
            <w:shd w:fill="F2F5F7"/>
          </w:tcPr>
          <w:p>
            <w:pPr>
              <w:spacing w:after="0" w:line="281" w:lineRule="auto"/>
            </w:pPr>
            <w:r>
              <w:rPr>
                <w:sz w:val="20"/>
              </w:rPr>
              <w:t>B 有限敏感性诊断</w:t>
            </w:r>
          </w:p>
        </w:tc>
        <w:tc>
          <w:tcPr>
            <w:tcW w:type="dxa" w:w="3456"/>
            <w:vAlign w:val="center"/>
            <w:shd w:fill="F2F5F7"/>
          </w:tcPr>
          <w:p>
            <w:pPr>
              <w:spacing w:after="0" w:line="281" w:lineRule="auto"/>
            </w:pPr>
            <w:r>
              <w:rPr>
                <w:sz w:val="20"/>
              </w:rPr>
              <w:t>收益贡献、分母、日期簇与注释检查</w:t>
            </w:r>
          </w:p>
        </w:tc>
        <w:tc>
          <w:tcPr>
            <w:tcW w:type="dxa" w:w="4680"/>
            <w:vAlign w:val="center"/>
            <w:shd w:fill="F2F5F7"/>
          </w:tcPr>
          <w:p>
            <w:pPr>
              <w:spacing w:after="0" w:line="281" w:lineRule="auto"/>
            </w:pPr>
            <w:r>
              <w:rPr>
                <w:sz w:val="20"/>
              </w:rPr>
              <w:t>异常影响结论则修正解释，无异常则结束审计</w:t>
            </w:r>
          </w:p>
        </w:tc>
      </w:tr>
      <w:tr>
        <w:trPr>
          <w:cantSplit/>
        </w:trPr>
        <w:tc>
          <w:tcPr>
            <w:tcW w:type="dxa" w:w="1944"/>
            <w:vAlign w:val="center"/>
          </w:tcPr>
          <w:p>
            <w:pPr>
              <w:spacing w:after="0" w:line="281" w:lineRule="auto"/>
            </w:pPr>
            <w:r>
              <w:rPr>
                <w:sz w:val="20"/>
              </w:rPr>
              <w:t>C 独立验证</w:t>
            </w:r>
          </w:p>
        </w:tc>
        <w:tc>
          <w:tcPr>
            <w:tcW w:type="dxa" w:w="3456"/>
            <w:vAlign w:val="center"/>
          </w:tcPr>
          <w:p>
            <w:pPr>
              <w:spacing w:after="0" w:line="281" w:lineRule="auto"/>
            </w:pPr>
            <w:r>
              <w:rPr>
                <w:sz w:val="20"/>
              </w:rPr>
              <w:t>随机化先导或合格外部实测数据</w:t>
            </w:r>
          </w:p>
        </w:tc>
        <w:tc>
          <w:tcPr>
            <w:tcW w:type="dxa" w:w="4680"/>
            <w:vAlign w:val="center"/>
          </w:tcPr>
          <w:p>
            <w:pPr>
              <w:spacing w:after="0" w:line="281" w:lineRule="auto"/>
            </w:pPr>
            <w:r>
              <w:rPr>
                <w:sz w:val="20"/>
              </w:rPr>
              <w:t>确认任务可重复性与数据适用范围</w:t>
            </w:r>
          </w:p>
        </w:tc>
      </w:tr>
      <w:tr>
        <w:trPr>
          <w:cantSplit/>
        </w:trPr>
        <w:tc>
          <w:tcPr>
            <w:tcW w:type="dxa" w:w="1944"/>
            <w:vAlign w:val="center"/>
            <w:shd w:fill="F2F5F7"/>
          </w:tcPr>
          <w:p>
            <w:pPr>
              <w:spacing w:after="0" w:line="281" w:lineRule="auto"/>
            </w:pPr>
            <w:r>
              <w:rPr>
                <w:sz w:val="20"/>
              </w:rPr>
              <w:t>D 选择研究主线</w:t>
            </w:r>
          </w:p>
        </w:tc>
        <w:tc>
          <w:tcPr>
            <w:tcW w:type="dxa" w:w="3456"/>
            <w:vAlign w:val="center"/>
            <w:shd w:fill="F2F5F7"/>
          </w:tcPr>
          <w:p>
            <w:pPr>
              <w:spacing w:after="0" w:line="281" w:lineRule="auto"/>
            </w:pPr>
            <w:r>
              <w:rPr>
                <w:sz w:val="20"/>
              </w:rPr>
              <w:t>廉价状态增量或补证决策增量</w:t>
            </w:r>
          </w:p>
        </w:tc>
        <w:tc>
          <w:tcPr>
            <w:tcW w:type="dxa" w:w="4680"/>
            <w:vAlign w:val="center"/>
            <w:shd w:fill="F2F5F7"/>
          </w:tcPr>
          <w:p>
            <w:pPr>
              <w:spacing w:after="0" w:line="281" w:lineRule="auto"/>
            </w:pPr>
            <w:r>
              <w:rPr>
                <w:sz w:val="20"/>
              </w:rPr>
              <w:t>只选择一项有数据支持的主要假设</w:t>
            </w:r>
          </w:p>
        </w:tc>
      </w:tr>
      <w:tr>
        <w:trPr>
          <w:cantSplit/>
        </w:trPr>
        <w:tc>
          <w:tcPr>
            <w:tcW w:type="dxa" w:w="1944"/>
            <w:vAlign w:val="center"/>
          </w:tcPr>
          <w:p>
            <w:pPr>
              <w:spacing w:after="0" w:line="281" w:lineRule="auto"/>
            </w:pPr>
            <w:r>
              <w:rPr>
                <w:sz w:val="20"/>
              </w:rPr>
              <w:t>E 独立确认</w:t>
            </w:r>
          </w:p>
        </w:tc>
        <w:tc>
          <w:tcPr>
            <w:tcW w:type="dxa" w:w="3456"/>
            <w:vAlign w:val="center"/>
          </w:tcPr>
          <w:p>
            <w:pPr>
              <w:spacing w:after="0" w:line="281" w:lineRule="auto"/>
            </w:pPr>
            <w:r>
              <w:rPr>
                <w:sz w:val="20"/>
              </w:rPr>
              <w:t>冻结策略与正式主要比较</w:t>
            </w:r>
          </w:p>
        </w:tc>
        <w:tc>
          <w:tcPr>
            <w:tcW w:type="dxa" w:w="4680"/>
            <w:vAlign w:val="center"/>
          </w:tcPr>
          <w:p>
            <w:pPr>
              <w:spacing w:after="0" w:line="281" w:lineRule="auto"/>
            </w:pPr>
            <w:r>
              <w:rPr>
                <w:sz w:val="20"/>
              </w:rPr>
              <w:t>按实际收益、成本和错误决定是否保留</w:t>
            </w:r>
          </w:p>
        </w:tc>
      </w:tr>
    </w:tbl>
    <w:p>
      <w:pPr>
        <w:spacing w:after="40" w:before="0" w:line="240" w:lineRule="auto"/>
      </w:pPr>
      <w:r>
        <w:rPr>
          <w:sz w:val="4"/>
        </w:rPr>
      </w:r>
    </w:p>
    <w:p>
      <w:r>
        <w:t>有效区间的下界超过预先确定的实用门槛，且成本与错误要求满足时，支持在相应范围内继续。上界低于门槛时，支持停止当前任务及策略上的复杂化。区间跨越门槛、位置偏差未识别或测量不完整时，结论保持未知；需要判断补充信息是否值得，而不是增加计算直到显著。</w:t>
      </w:r>
    </w:p>
    <w:p>
      <w:r>
        <w:t>只有预测误差改善而动作效用不改善时，贡献限于预测。若真实动作差异可重复，但便宜前状态无法预测，应考虑固定背景策略或有成本依据的补测，不能强迫个体化。若多智能体在匹配资源下无增量，保留更简单执行方式。</w:t>
      </w:r>
    </w:p>
    <w:p>
      <w:r>
        <w:t>没有实验室接入时，物理先导进入待执行状态，计算研究仍可继续。优先寻找一个独立布局、精确动作和终点足够可比的公开数据源进行冻结 C 策略验证。不得把相近浓度或不同 assay 默认为同一动作；不匹配时将分析限定为迁移诊断。若多个来源都不合格，停止有界检索，交付采集设计和分析入口，不用模型填补实验结局。</w:t>
      </w:r>
    </w:p>
    <w:p>
      <w:r>
        <w:t>所有新增实验保存原始来源、配置、时间线、划分、模型和预测版本、失败记录及复现命令。工程测试用于验证计算和绑定；统计与生物学结论必须分别由相应数据支持。</w:t>
      </w:r>
    </w:p>
    <w:p>
      <w:pPr>
        <w:pStyle w:val="Heading1"/>
        <w:pageBreakBefore/>
      </w:pPr>
      <w:r>
        <w:t>12 八个核心问题的更新判断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5" w:type="dxa"/>
          <w:right w:w="95" w:type="dxa"/>
        </w:tblCellMar>
      </w:tblPr>
      <w:tblGrid>
        <w:gridCol w:w="1944"/>
        <w:gridCol w:w="3456"/>
        <w:gridCol w:w="4680"/>
      </w:tblGrid>
      <w:tr>
        <w:trPr>
          <w:cantSplit/>
          <w:tblHeader/>
        </w:trPr>
        <w:tc>
          <w:tcPr>
            <w:tcW w:type="dxa" w:w="1944"/>
            <w:vAlign w:val="center"/>
            <w:shd w:fill="37424D"/>
          </w:tcPr>
          <w:p>
            <w:pPr>
              <w:spacing w:after="0" w:line="281" w:lineRule="auto"/>
            </w:pPr>
            <w:r>
              <w:rPr>
                <w:b/>
                <w:color w:val="FFFFFF"/>
                <w:sz w:val="20"/>
              </w:rPr>
              <w:t>核心问题</w:t>
            </w:r>
          </w:p>
        </w:tc>
        <w:tc>
          <w:tcPr>
            <w:tcW w:type="dxa" w:w="3456"/>
            <w:vAlign w:val="center"/>
            <w:shd w:fill="37424D"/>
          </w:tcPr>
          <w:p>
            <w:pPr>
              <w:spacing w:after="0" w:line="281" w:lineRule="auto"/>
            </w:pPr>
            <w:r>
              <w:rPr>
                <w:b/>
                <w:color w:val="FFFFFF"/>
                <w:sz w:val="20"/>
              </w:rPr>
              <w:t>当前答案</w:t>
            </w:r>
          </w:p>
        </w:tc>
        <w:tc>
          <w:tcPr>
            <w:tcW w:type="dxa" w:w="4680"/>
            <w:vAlign w:val="center"/>
            <w:shd w:fill="37424D"/>
          </w:tcPr>
          <w:p>
            <w:pPr>
              <w:spacing w:after="0" w:line="281" w:lineRule="auto"/>
            </w:pPr>
            <w:r>
              <w:rPr>
                <w:b/>
                <w:color w:val="FFFFFF"/>
                <w:sz w:val="20"/>
              </w:rPr>
              <w:t>尚缺的关键证据</w:t>
            </w:r>
          </w:p>
        </w:tc>
      </w:tr>
      <w:tr>
        <w:trPr>
          <w:cantSplit/>
        </w:trPr>
        <w:tc>
          <w:tcPr>
            <w:tcW w:type="dxa" w:w="1944"/>
            <w:vAlign w:val="center"/>
          </w:tcPr>
          <w:p>
            <w:pPr>
              <w:spacing w:after="0" w:line="281" w:lineRule="auto"/>
            </w:pPr>
            <w:r>
              <w:rPr>
                <w:sz w:val="20"/>
              </w:rPr>
              <w:t>优化什么</w:t>
            </w:r>
          </w:p>
        </w:tc>
        <w:tc>
          <w:tcPr>
            <w:tcW w:type="dxa" w:w="3456"/>
            <w:vAlign w:val="center"/>
          </w:tcPr>
          <w:p>
            <w:pPr>
              <w:spacing w:after="0" w:line="281" w:lineRule="auto"/>
            </w:pPr>
            <w:r>
              <w:rPr>
                <w:sz w:val="20"/>
              </w:rPr>
              <w:t>固定三药菜单下的标准化 ATP 表型</w:t>
            </w:r>
          </w:p>
        </w:tc>
        <w:tc>
          <w:tcPr>
            <w:tcW w:type="dxa" w:w="4680"/>
            <w:vAlign w:val="center"/>
          </w:tcPr>
          <w:p>
            <w:pPr>
              <w:spacing w:after="0" w:line="281" w:lineRule="auto"/>
            </w:pPr>
            <w:r>
              <w:rPr>
                <w:sz w:val="20"/>
              </w:rPr>
              <w:t>净效用与有依据的单一实用门槛</w:t>
            </w:r>
          </w:p>
        </w:tc>
      </w:tr>
      <w:tr>
        <w:trPr>
          <w:cantSplit/>
        </w:trPr>
        <w:tc>
          <w:tcPr>
            <w:tcW w:type="dxa" w:w="1944"/>
            <w:vAlign w:val="center"/>
            <w:shd w:fill="F2F5F7"/>
          </w:tcPr>
          <w:p>
            <w:pPr>
              <w:spacing w:after="0" w:line="281" w:lineRule="auto"/>
            </w:pPr>
            <w:r>
              <w:rPr>
                <w:sz w:val="20"/>
              </w:rPr>
              <w:t>是否存在动作空间</w:t>
            </w:r>
          </w:p>
        </w:tc>
        <w:tc>
          <w:tcPr>
            <w:tcW w:type="dxa" w:w="3456"/>
            <w:vAlign w:val="center"/>
            <w:shd w:fill="F2F5F7"/>
          </w:tcPr>
          <w:p>
            <w:pPr>
              <w:spacing w:after="0" w:line="281" w:lineRule="auto"/>
            </w:pPr>
            <w:r>
              <w:rPr>
                <w:sz w:val="20"/>
              </w:rPr>
              <w:t>同板差异与背景策略有观察支持</w:t>
            </w:r>
          </w:p>
        </w:tc>
        <w:tc>
          <w:tcPr>
            <w:tcW w:type="dxa" w:w="4680"/>
            <w:vAlign w:val="center"/>
            <w:shd w:fill="F2F5F7"/>
          </w:tcPr>
          <w:p>
            <w:pPr>
              <w:spacing w:after="0" w:line="281" w:lineRule="auto"/>
            </w:pPr>
            <w:r>
              <w:rPr>
                <w:sz w:val="20"/>
              </w:rPr>
              <w:t>随机布局下的可重复差异与适用总体</w:t>
            </w:r>
          </w:p>
        </w:tc>
      </w:tr>
      <w:tr>
        <w:trPr>
          <w:cantSplit/>
        </w:trPr>
        <w:tc>
          <w:tcPr>
            <w:tcW w:type="dxa" w:w="1944"/>
            <w:vAlign w:val="center"/>
          </w:tcPr>
          <w:p>
            <w:pPr>
              <w:spacing w:after="0" w:line="281" w:lineRule="auto"/>
            </w:pPr>
            <w:r>
              <w:rPr>
                <w:sz w:val="20"/>
              </w:rPr>
              <w:t>便宜输入是否有价值</w:t>
            </w:r>
          </w:p>
        </w:tc>
        <w:tc>
          <w:tcPr>
            <w:tcW w:type="dxa" w:w="3456"/>
            <w:vAlign w:val="center"/>
          </w:tcPr>
          <w:p>
            <w:pPr>
              <w:spacing w:after="0" w:line="281" w:lineRule="auto"/>
            </w:pPr>
            <w:r>
              <w:rPr>
                <w:sz w:val="20"/>
              </w:rPr>
              <w:t>已测试密度扩展应停止</w:t>
            </w:r>
          </w:p>
        </w:tc>
        <w:tc>
          <w:tcPr>
            <w:tcW w:type="dxa" w:w="4680"/>
            <w:vAlign w:val="center"/>
          </w:tcPr>
          <w:p>
            <w:pPr>
              <w:spacing w:after="0" w:line="281" w:lineRule="auto"/>
            </w:pPr>
            <w:r>
              <w:rPr>
                <w:sz w:val="20"/>
              </w:rPr>
              <w:t>真正决策前状态的独立增量</w:t>
            </w:r>
          </w:p>
        </w:tc>
      </w:tr>
      <w:tr>
        <w:trPr>
          <w:cantSplit/>
        </w:trPr>
        <w:tc>
          <w:tcPr>
            <w:tcW w:type="dxa" w:w="1944"/>
            <w:vAlign w:val="center"/>
            <w:shd w:fill="F2F5F7"/>
          </w:tcPr>
          <w:p>
            <w:pPr>
              <w:spacing w:after="0" w:line="281" w:lineRule="auto"/>
            </w:pPr>
            <w:r>
              <w:rPr>
                <w:sz w:val="20"/>
              </w:rPr>
              <w:t>信号在哪里损失</w:t>
            </w:r>
          </w:p>
        </w:tc>
        <w:tc>
          <w:tcPr>
            <w:tcW w:type="dxa" w:w="3456"/>
            <w:vAlign w:val="center"/>
            <w:shd w:fill="F2F5F7"/>
          </w:tcPr>
          <w:p>
            <w:pPr>
              <w:spacing w:after="0" w:line="281" w:lineRule="auto"/>
            </w:pPr>
            <w:r>
              <w:rPr>
                <w:sz w:val="20"/>
              </w:rPr>
              <w:t>新任务绕过 EGR1 零值瓶颈</w:t>
            </w:r>
          </w:p>
        </w:tc>
        <w:tc>
          <w:tcPr>
            <w:tcW w:type="dxa" w:w="4680"/>
            <w:vAlign w:val="center"/>
            <w:shd w:fill="F2F5F7"/>
          </w:tcPr>
          <w:p>
            <w:pPr>
              <w:spacing w:after="0" w:line="281" w:lineRule="auto"/>
            </w:pPr>
            <w:r>
              <w:rPr>
                <w:sz w:val="20"/>
              </w:rPr>
              <w:t>密度负结果的具体机制并未识别</w:t>
            </w:r>
          </w:p>
        </w:tc>
      </w:tr>
      <w:tr>
        <w:trPr>
          <w:cantSplit/>
        </w:trPr>
        <w:tc>
          <w:tcPr>
            <w:tcW w:type="dxa" w:w="1944"/>
            <w:vAlign w:val="center"/>
          </w:tcPr>
          <w:p>
            <w:pPr>
              <w:spacing w:after="0" w:line="281" w:lineRule="auto"/>
            </w:pPr>
            <w:r>
              <w:rPr>
                <w:sz w:val="20"/>
              </w:rPr>
              <w:t>多种子解决什么</w:t>
            </w:r>
          </w:p>
        </w:tc>
        <w:tc>
          <w:tcPr>
            <w:tcW w:type="dxa" w:w="3456"/>
            <w:vAlign w:val="center"/>
          </w:tcPr>
          <w:p>
            <w:pPr>
              <w:spacing w:after="0" w:line="281" w:lineRule="auto"/>
            </w:pPr>
            <w:r>
              <w:rPr>
                <w:sz w:val="20"/>
              </w:rPr>
              <w:t>当前确定性策略不需要加算</w:t>
            </w:r>
          </w:p>
        </w:tc>
        <w:tc>
          <w:tcPr>
            <w:tcW w:type="dxa" w:w="4680"/>
            <w:vAlign w:val="center"/>
          </w:tcPr>
          <w:p>
            <w:pPr>
              <w:spacing w:after="0" w:line="281" w:lineRule="auto"/>
            </w:pPr>
            <w:r>
              <w:rPr>
                <w:sz w:val="20"/>
              </w:rPr>
              <w:t>旧 STATE 的计算精度问题仍独立存在</w:t>
            </w:r>
          </w:p>
        </w:tc>
      </w:tr>
      <w:tr>
        <w:trPr>
          <w:cantSplit/>
        </w:trPr>
        <w:tc>
          <w:tcPr>
            <w:tcW w:type="dxa" w:w="1944"/>
            <w:vAlign w:val="center"/>
            <w:shd w:fill="F2F5F7"/>
          </w:tcPr>
          <w:p>
            <w:pPr>
              <w:spacing w:after="0" w:line="281" w:lineRule="auto"/>
            </w:pPr>
            <w:r>
              <w:rPr>
                <w:sz w:val="20"/>
              </w:rPr>
              <w:t>双核心如何联动</w:t>
            </w:r>
          </w:p>
        </w:tc>
        <w:tc>
          <w:tcPr>
            <w:tcW w:type="dxa" w:w="3456"/>
            <w:vAlign w:val="center"/>
            <w:shd w:fill="F2F5F7"/>
          </w:tcPr>
          <w:p>
            <w:pPr>
              <w:spacing w:after="0" w:line="281" w:lineRule="auto"/>
            </w:pPr>
            <w:r>
              <w:rPr>
                <w:sz w:val="20"/>
              </w:rPr>
              <w:t>已实现预测到结果揭示的执行链</w:t>
            </w:r>
          </w:p>
        </w:tc>
        <w:tc>
          <w:tcPr>
            <w:tcW w:type="dxa" w:w="4680"/>
            <w:vAlign w:val="center"/>
            <w:shd w:fill="F2F5F7"/>
          </w:tcPr>
          <w:p>
            <w:pPr>
              <w:spacing w:after="0" w:line="281" w:lineRule="auto"/>
            </w:pPr>
            <w:r>
              <w:rPr>
                <w:sz w:val="20"/>
              </w:rPr>
              <w:t>世界模型或自适应策略的可归因收益</w:t>
            </w:r>
          </w:p>
        </w:tc>
      </w:tr>
      <w:tr>
        <w:trPr>
          <w:cantSplit/>
        </w:trPr>
        <w:tc>
          <w:tcPr>
            <w:tcW w:type="dxa" w:w="1944"/>
            <w:vAlign w:val="center"/>
          </w:tcPr>
          <w:p>
            <w:pPr>
              <w:spacing w:after="0" w:line="281" w:lineRule="auto"/>
            </w:pPr>
            <w:r>
              <w:rPr>
                <w:sz w:val="20"/>
              </w:rPr>
              <w:t>什么支持机制结论</w:t>
            </w:r>
          </w:p>
        </w:tc>
        <w:tc>
          <w:tcPr>
            <w:tcW w:type="dxa" w:w="3456"/>
            <w:vAlign w:val="center"/>
          </w:tcPr>
          <w:p>
            <w:pPr>
              <w:spacing w:after="0" w:line="281" w:lineRule="auto"/>
            </w:pPr>
            <w:r>
              <w:rPr>
                <w:sz w:val="20"/>
              </w:rPr>
              <w:t>ATP 仅支持限定 assay 表型</w:t>
            </w:r>
          </w:p>
        </w:tc>
        <w:tc>
          <w:tcPr>
            <w:tcW w:type="dxa" w:w="4680"/>
            <w:vAlign w:val="center"/>
          </w:tcPr>
          <w:p>
            <w:pPr>
              <w:spacing w:after="0" w:line="281" w:lineRule="auto"/>
            </w:pPr>
            <w:r>
              <w:rPr>
                <w:sz w:val="20"/>
              </w:rPr>
              <w:t>近端、正交或补救实验与命题映射</w:t>
            </w:r>
          </w:p>
        </w:tc>
      </w:tr>
      <w:tr>
        <w:trPr>
          <w:cantSplit/>
        </w:trPr>
        <w:tc>
          <w:tcPr>
            <w:tcW w:type="dxa" w:w="1944"/>
            <w:vAlign w:val="center"/>
            <w:shd w:fill="F2F5F7"/>
          </w:tcPr>
          <w:p>
            <w:pPr>
              <w:spacing w:after="0" w:line="281" w:lineRule="auto"/>
            </w:pPr>
            <w:r>
              <w:rPr>
                <w:sz w:val="20"/>
              </w:rPr>
              <w:t>收益如何归因</w:t>
            </w:r>
          </w:p>
        </w:tc>
        <w:tc>
          <w:tcPr>
            <w:tcW w:type="dxa" w:w="3456"/>
            <w:vAlign w:val="center"/>
            <w:shd w:fill="F2F5F7"/>
          </w:tcPr>
          <w:p>
            <w:pPr>
              <w:spacing w:after="0" w:line="281" w:lineRule="auto"/>
            </w:pPr>
            <w:r>
              <w:rPr>
                <w:sz w:val="20"/>
              </w:rPr>
              <w:t>密度未超过背景基线</w:t>
            </w:r>
          </w:p>
        </w:tc>
        <w:tc>
          <w:tcPr>
            <w:tcW w:type="dxa" w:w="4680"/>
            <w:vAlign w:val="center"/>
            <w:shd w:fill="F2F5F7"/>
          </w:tcPr>
          <w:p>
            <w:pPr>
              <w:spacing w:after="0" w:line="281" w:lineRule="auto"/>
            </w:pPr>
            <w:r>
              <w:rPr>
                <w:sz w:val="20"/>
              </w:rPr>
              <w:t>排除位置与协议解释后的独立确认</w:t>
            </w:r>
          </w:p>
        </w:tc>
      </w:tr>
    </w:tbl>
    <w:p>
      <w:pPr>
        <w:spacing w:after="40" w:before="0" w:line="240" w:lineRule="auto"/>
      </w:pPr>
      <w:r>
        <w:rPr>
          <w:sz w:val="4"/>
        </w:rPr>
      </w:r>
    </w:p>
    <w:p>
      <w:r>
        <w:t>本阶段最重要的产出是保留一个可执行、可审查的真实表型评价任务，并明确停止一个没有足够增量的输入扩展。后续研究应让每一项新增信息或计算承担可验证的决策功能。背景策略独立验证成立后，再决定是否进入廉价状态学习或补证决策研究。</w:t>
      </w:r>
    </w:p>
    <w:p>
      <w:pPr>
        <w:pStyle w:val="Heading1"/>
      </w:pPr>
      <w:r>
        <w:t>13 来源与复现索引</w:t>
      </w:r>
    </w:p>
    <w:p>
      <w:r>
        <w:rPr>
          <w:sz w:val="20"/>
        </w:rPr>
        <w:t>[S1] 项目原始报告 GDSC_SCREEN.md，用户提供，2026 年 10 月 2 日。本文所有 GDSC 样本量、效用、区间、模型配置、运行时长和测试数字均继承该报告；报告中的源码、冻结配置与回执路径是逐项复核入口。原始 RDA SHA256 为 40bc65d4fd9cd61bb8c0faf5fa60ee32a05fccce7eb441cc74e3ed37666ef10a。</w:t>
      </w:r>
    </w:p>
    <w:p>
      <w:r>
        <w:rPr>
          <w:sz w:val="20"/>
        </w:rPr>
        <w:t>[S2] 项目仓库 https://github.com/1-Vast/LLM ，用户报告提交 15fec7c、草稿 PR https://github.com/1-Vast/LLM/pull/1 。本报告不将发布说明替代为独立代码执行验证。</w:t>
      </w:r>
    </w:p>
    <w:p>
      <w:r>
        <w:rPr>
          <w:sz w:val="20"/>
        </w:rPr>
        <w:t>[S3] 项目 ZERO_AUDIT.md 与 2026 年 10 月 2 日实验日志，用户此前提供。用于说明 EGR1、STATE 与数据覆盖问题的历史状态，不与 GDSC 数据合并统计。</w:t>
      </w:r>
    </w:p>
    <w:p>
      <w:r>
        <w:rPr>
          <w:sz w:val="20"/>
        </w:rPr>
        <w:t>[R1] Wellcome Sanger Institute. Drug Sensitivity 数据与协议说明。GDSC1 与 GDSC2 使用不同 assay；GDSC2 为 CellTiter-Glo，报告处理时长为 72 小时。https://depmap.sanger.ac.uk/documentation/datasets/drug-sensitivity/</w:t>
      </w:r>
    </w:p>
    <w:p>
      <w:r>
        <w:rPr>
          <w:sz w:val="20"/>
        </w:rPr>
        <w:t>[R2] Cameron AC, Miller DL. A Practitioner’s Guide to Cluster-Robust Inference. Journal of Human Resources. 2015;50(2):317–372. DOI: 10.3368/jhr.50.2.317。用于有限簇、多维聚类及区间适用条件的审查。https://cameron.econ.ucdavis.edu/research/Cameron_Miller_JHR_2015.pdf</w:t>
      </w:r>
    </w:p>
    <w:p>
      <w:r>
        <w:rPr>
          <w:sz w:val="20"/>
        </w:rPr>
        <w:t>[R3] Assay Guidance Manual. Cell Viability Assays. NCBI Bookshelf。用于 ATP 等代理测量与活细胞评价范围的解释。https://www.ncbi.nlm.nih.gov/books/NBK144065/</w:t>
      </w:r>
    </w:p>
    <w:p>
      <w:r>
        <w:rPr>
          <w:sz w:val="20"/>
        </w:rPr>
        <w:t>[R4] Hafner M, Niepel M, Chung M, Sorger PK. Growth rate inhibition metrics correct for confounders in measuring sensitivity to cancer drugs. Nature Methods. 2016;13:521–527. DOI: 10.1038/nmeth.3853。用于说明增殖速度对终点药敏评价的影响及 GR 指标的适用条件。https://pmc.ncbi.nlm.nih.gov/articles/PMC4887336/</w:t>
      </w:r>
    </w:p>
    <w:p>
      <w:r>
        <w:t>原始格式与示例入口为 gdscIC50 固定提交 34d842254a33bd04f318449969ff9976237c9295 下的 vignettes/gdsc_raw_data_format.Rmd 和 vignettes/gdscIC50.Rmd。精确药物身份与来源哈希应继续使用项目 SOURCES.json，避免动态注释文件漂移。</w:t>
      </w:r>
    </w:p>
    <w:p>
      <w:r>
        <w:t>复现分为 prepare、develop、plan、confirm、reveal 五步，入口分别为 research.astra.gdsc_screen 与 research.astra.gdsc_replay，完整参数见 [S1] 的第 6 节。所有复跑使用新的输出目录。已经读取结果的人再次执行这些步骤属于复现，不构成新的未揭示确认。新先导的孔位表、日期安排、实际输入与分析计划应在新结果产生前另行冻结。</w:t>
      </w:r>
    </w:p>
    <w:sectPr w:rsidR="00FC693F" w:rsidRPr="0006063C" w:rsidSect="00034616">
      <w:footerReference w:type="default" r:id="rId9"/>
      <w:pgSz w:w="12240" w:h="15840"/>
      <w:pgMar w:top="1037" w:right="1080" w:bottom="1037"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8"/>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5" w:lineRule="auto" w:after="120"/>
    </w:pPr>
    <w:rPr>
      <w:rFonts w:ascii="Noto Sans CJK SC" w:hAnsi="Noto Sans CJK SC" w:eastAsia="Noto Sans CJK SC"/>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SC" w:hAnsi="Noto Sans CJK SC" w:eastAsia="Noto Sans CJK SC"/>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Noto Sans CJK SC" w:hAnsi="Noto Sans CJK SC" w:eastAsia="Noto Sans CJK SC"/>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i w:val="0"/>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Noto Sans CJK SC" w:hAnsi="Noto Sans CJK SC" w:eastAsia="Noto Sans CJK SC"/>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Noto Sans CJK SC" w:hAnsi="Noto Sans CJK SC" w:eastAsia="Noto Sans CJK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MAESTRO 双核心药物发现研究报告</dc:title>
  <dc:subject>GDSC 同板表型结果评估与后续验证方案</dc:subject>
  <dc:creator>MAESTRO Research</dc:creator>
  <cp:keywords>GDSC; virtual cell; agent; research evaluation</cp:keywords>
  <dc:description>generated by python-docx</dc:description>
  <cp:lastModifiedBy/>
  <cp:revision>1</cp:revision>
  <dcterms:created xsi:type="dcterms:W3CDTF">2013-12-23T23:15:00Z</dcterms:created>
  <dcterms:modified xsi:type="dcterms:W3CDTF">2013-12-23T23:15:00Z</dcterms:modified>
  <cp:category/>
</cp:coreProperties>
</file>