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FAA35" w14:textId="77777777" w:rsidR="006B6F9C" w:rsidRDefault="006B6F9C" w:rsidP="006B6F9C">
      <w:pPr>
        <w:spacing w:after="0"/>
        <w:jc w:val="center"/>
        <w:rPr>
          <w:b/>
          <w:bCs/>
          <w:sz w:val="52"/>
          <w:szCs w:val="52"/>
        </w:rPr>
      </w:pPr>
    </w:p>
    <w:p w14:paraId="3342866C" w14:textId="77777777" w:rsidR="006B6F9C" w:rsidRDefault="006B6F9C" w:rsidP="006B6F9C">
      <w:pPr>
        <w:spacing w:after="0"/>
        <w:jc w:val="center"/>
        <w:rPr>
          <w:b/>
          <w:bCs/>
          <w:sz w:val="52"/>
          <w:szCs w:val="52"/>
        </w:rPr>
      </w:pPr>
    </w:p>
    <w:p w14:paraId="19ADEA7E" w14:textId="77777777" w:rsidR="006B6F9C" w:rsidRDefault="006B6F9C" w:rsidP="006B6F9C">
      <w:pPr>
        <w:spacing w:after="0"/>
        <w:jc w:val="center"/>
        <w:rPr>
          <w:b/>
          <w:bCs/>
          <w:sz w:val="52"/>
          <w:szCs w:val="52"/>
        </w:rPr>
      </w:pPr>
    </w:p>
    <w:p w14:paraId="4B63BF44" w14:textId="77777777" w:rsidR="006B6F9C" w:rsidRDefault="006B6F9C" w:rsidP="006B6F9C">
      <w:pPr>
        <w:spacing w:after="0"/>
        <w:jc w:val="center"/>
        <w:rPr>
          <w:b/>
          <w:bCs/>
          <w:sz w:val="52"/>
          <w:szCs w:val="52"/>
        </w:rPr>
      </w:pPr>
    </w:p>
    <w:p w14:paraId="35027727" w14:textId="77777777" w:rsidR="006B6F9C" w:rsidRDefault="006B6F9C" w:rsidP="006B6F9C">
      <w:pPr>
        <w:spacing w:after="0"/>
        <w:jc w:val="center"/>
        <w:rPr>
          <w:b/>
          <w:bCs/>
          <w:sz w:val="52"/>
          <w:szCs w:val="52"/>
        </w:rPr>
      </w:pPr>
    </w:p>
    <w:p w14:paraId="33933E41" w14:textId="4CAD7230" w:rsidR="006B6F9C" w:rsidRDefault="006B6F9C" w:rsidP="006B6F9C">
      <w:pPr>
        <w:spacing w:after="0"/>
        <w:jc w:val="center"/>
        <w:rPr>
          <w:b/>
          <w:bCs/>
          <w:sz w:val="52"/>
          <w:szCs w:val="52"/>
        </w:rPr>
      </w:pPr>
      <w:r w:rsidRPr="006B6F9C">
        <w:rPr>
          <w:b/>
          <w:bCs/>
          <w:sz w:val="52"/>
          <w:szCs w:val="52"/>
        </w:rPr>
        <w:t>Assessment 3 –</w:t>
      </w:r>
      <w:r w:rsidRPr="006B6F9C">
        <w:rPr>
          <w:b/>
          <w:bCs/>
          <w:sz w:val="52"/>
          <w:szCs w:val="52"/>
        </w:rPr>
        <w:t xml:space="preserve"> </w:t>
      </w:r>
      <w:r w:rsidRPr="006B6F9C">
        <w:rPr>
          <w:b/>
          <w:bCs/>
          <w:sz w:val="52"/>
          <w:szCs w:val="52"/>
        </w:rPr>
        <w:t>Research Report</w:t>
      </w:r>
    </w:p>
    <w:p w14:paraId="4FCF96CB" w14:textId="426EE6A6" w:rsidR="006B6F9C" w:rsidRPr="006B6F9C" w:rsidRDefault="00C74301" w:rsidP="006B6F9C">
      <w:pPr>
        <w:spacing w:after="0"/>
        <w:jc w:val="center"/>
        <w:rPr>
          <w:b/>
          <w:bCs/>
          <w:sz w:val="48"/>
          <w:szCs w:val="48"/>
        </w:rPr>
      </w:pPr>
      <w:r w:rsidRPr="006B6F9C">
        <w:rPr>
          <w:b/>
          <w:bCs/>
          <w:sz w:val="48"/>
          <w:szCs w:val="48"/>
        </w:rPr>
        <w:br/>
      </w:r>
      <w:r w:rsidR="006B6F9C" w:rsidRPr="006B6F9C">
        <w:rPr>
          <w:b/>
          <w:bCs/>
          <w:sz w:val="48"/>
          <w:szCs w:val="48"/>
        </w:rPr>
        <w:t xml:space="preserve">Subject Name: </w:t>
      </w:r>
      <w:r w:rsidR="006B6F9C" w:rsidRPr="006B6F9C">
        <w:rPr>
          <w:sz w:val="48"/>
          <w:szCs w:val="48"/>
        </w:rPr>
        <w:t>Business Law</w:t>
      </w:r>
    </w:p>
    <w:p w14:paraId="517B03CB" w14:textId="2B3C6060" w:rsidR="006B6F9C" w:rsidRPr="006B6F9C" w:rsidRDefault="006B6F9C" w:rsidP="006B6F9C">
      <w:pPr>
        <w:spacing w:after="0"/>
        <w:jc w:val="center"/>
        <w:rPr>
          <w:b/>
          <w:bCs/>
          <w:sz w:val="48"/>
          <w:szCs w:val="48"/>
        </w:rPr>
      </w:pPr>
      <w:r w:rsidRPr="006B6F9C">
        <w:rPr>
          <w:b/>
          <w:bCs/>
          <w:sz w:val="48"/>
          <w:szCs w:val="48"/>
        </w:rPr>
        <w:t xml:space="preserve">Subject Code: </w:t>
      </w:r>
      <w:r w:rsidRPr="006B6F9C">
        <w:rPr>
          <w:sz w:val="48"/>
          <w:szCs w:val="48"/>
        </w:rPr>
        <w:t>Law500</w:t>
      </w:r>
    </w:p>
    <w:p w14:paraId="596841F6" w14:textId="76F1B008" w:rsidR="00D06E79" w:rsidRPr="006B6F9C" w:rsidRDefault="00D06E79" w:rsidP="006B6F9C">
      <w:pPr>
        <w:spacing w:after="0"/>
        <w:jc w:val="center"/>
        <w:rPr>
          <w:sz w:val="48"/>
          <w:szCs w:val="48"/>
        </w:rPr>
      </w:pPr>
      <w:r w:rsidRPr="006B6F9C">
        <w:rPr>
          <w:b/>
          <w:bCs/>
          <w:sz w:val="48"/>
          <w:szCs w:val="48"/>
        </w:rPr>
        <w:t xml:space="preserve">Student Name: </w:t>
      </w:r>
      <w:r w:rsidR="006C4F89" w:rsidRPr="006B6F9C">
        <w:rPr>
          <w:sz w:val="48"/>
          <w:szCs w:val="48"/>
        </w:rPr>
        <w:t>Umesh</w:t>
      </w:r>
      <w:r w:rsidRPr="006B6F9C">
        <w:rPr>
          <w:sz w:val="48"/>
          <w:szCs w:val="48"/>
        </w:rPr>
        <w:br/>
      </w:r>
      <w:r w:rsidRPr="006B6F9C">
        <w:rPr>
          <w:b/>
          <w:bCs/>
          <w:sz w:val="48"/>
          <w:szCs w:val="48"/>
        </w:rPr>
        <w:t xml:space="preserve">Student ID: </w:t>
      </w:r>
      <w:r w:rsidRPr="006B6F9C">
        <w:rPr>
          <w:sz w:val="48"/>
          <w:szCs w:val="48"/>
        </w:rPr>
        <w:t>2024</w:t>
      </w:r>
      <w:r w:rsidR="006C4F89" w:rsidRPr="006B6F9C">
        <w:rPr>
          <w:sz w:val="48"/>
          <w:szCs w:val="48"/>
        </w:rPr>
        <w:t>3936</w:t>
      </w:r>
    </w:p>
    <w:p w14:paraId="0FB7600C" w14:textId="2F47D781" w:rsidR="00D06E79" w:rsidRDefault="00D06E79" w:rsidP="00D06E79"/>
    <w:p w14:paraId="4E3CB6A8" w14:textId="77777777" w:rsidR="006B6F9C" w:rsidRDefault="006B6F9C" w:rsidP="00D06E79"/>
    <w:p w14:paraId="299D31A6" w14:textId="77777777" w:rsidR="006B6F9C" w:rsidRDefault="006B6F9C" w:rsidP="00D06E79"/>
    <w:p w14:paraId="556C5C9E" w14:textId="77777777" w:rsidR="006B6F9C" w:rsidRDefault="006B6F9C" w:rsidP="00D06E79"/>
    <w:p w14:paraId="1CDA9501" w14:textId="77777777" w:rsidR="006B6F9C" w:rsidRDefault="006B6F9C" w:rsidP="00D06E79"/>
    <w:p w14:paraId="1EB1BCDA" w14:textId="77777777" w:rsidR="006B6F9C" w:rsidRDefault="006B6F9C" w:rsidP="00D06E79"/>
    <w:p w14:paraId="4D4D0A61" w14:textId="77777777" w:rsidR="006B6F9C" w:rsidRDefault="006B6F9C" w:rsidP="00D06E79"/>
    <w:p w14:paraId="0BE729B3" w14:textId="77777777" w:rsidR="006B6F9C" w:rsidRDefault="006B6F9C" w:rsidP="00D06E79"/>
    <w:p w14:paraId="71A228D2" w14:textId="77777777" w:rsidR="006B6F9C" w:rsidRDefault="006B6F9C" w:rsidP="00D06E79"/>
    <w:p w14:paraId="091E223F" w14:textId="77777777" w:rsidR="006B6F9C" w:rsidRDefault="006B6F9C" w:rsidP="00D06E79"/>
    <w:p w14:paraId="6D3163E2" w14:textId="77777777" w:rsidR="006B6F9C" w:rsidRDefault="006B6F9C" w:rsidP="00D06E79"/>
    <w:p w14:paraId="7E9AA6F6" w14:textId="77777777" w:rsidR="006B6F9C" w:rsidRDefault="006B6F9C" w:rsidP="00D06E79"/>
    <w:p w14:paraId="4D8A59EE" w14:textId="77777777" w:rsidR="006B6F9C" w:rsidRDefault="006B6F9C" w:rsidP="00D06E79"/>
    <w:p w14:paraId="1DECB665" w14:textId="77777777" w:rsidR="006B6F9C" w:rsidRDefault="006B6F9C" w:rsidP="00D06E79"/>
    <w:p w14:paraId="22383B45" w14:textId="77777777" w:rsidR="006B6F9C" w:rsidRPr="00D06E79" w:rsidRDefault="006B6F9C" w:rsidP="00D06E79"/>
    <w:p w14:paraId="08EC727F" w14:textId="77777777" w:rsidR="00D06E79" w:rsidRPr="00D06E79" w:rsidRDefault="00D06E79" w:rsidP="00D06E79">
      <w:pPr>
        <w:rPr>
          <w:b/>
          <w:bCs/>
        </w:rPr>
      </w:pPr>
      <w:r w:rsidRPr="00D06E79">
        <w:rPr>
          <w:b/>
          <w:bCs/>
        </w:rPr>
        <w:lastRenderedPageBreak/>
        <w:t>Executive Summary</w:t>
      </w:r>
    </w:p>
    <w:p w14:paraId="12AAECA0" w14:textId="77777777" w:rsidR="006C4F89" w:rsidRPr="006C4F89" w:rsidRDefault="006C4F89" w:rsidP="006C4F89">
      <w:pPr>
        <w:jc w:val="both"/>
      </w:pPr>
      <w:r w:rsidRPr="006C4F89">
        <w:t>This report provides an in-depth examination of the evolution of Indigenous land rights and native title law in Australia, tracing the transformation of legal, social, and political perspectives from the time of British colonisation to the present day. Historically, Aboriginal and Torres Strait Islander peoples were dispossessed of their traditional lands under the legal fiction of terra nullius, which falsely declared the land as belonging to no one prior to European settlement. This doctrine effectively denied Indigenous Australians any formal recognition of their land ownership and rights.</w:t>
      </w:r>
    </w:p>
    <w:p w14:paraId="424477C3" w14:textId="77777777" w:rsidR="006C4F89" w:rsidRPr="006C4F89" w:rsidRDefault="006C4F89" w:rsidP="006C4F89">
      <w:pPr>
        <w:jc w:val="both"/>
      </w:pPr>
      <w:r w:rsidRPr="006C4F89">
        <w:t>The landmark 1992 High Court decision in Mabo v Queensland (No 2) decisively overturned the doctrine of terra nullius, recognising the existence of native title rights grounded in the traditional laws and customs of Indigenous communities. This judicial milestone laid the groundwork for the subsequent enactment of the Native Title Act 1993 (</w:t>
      </w:r>
      <w:proofErr w:type="spellStart"/>
      <w:r w:rsidRPr="006C4F89">
        <w:t>Cth</w:t>
      </w:r>
      <w:proofErr w:type="spellEnd"/>
      <w:r w:rsidRPr="006C4F89">
        <w:t>), which created a statutory framework to formally recognise and regulate native title claims across Australia.</w:t>
      </w:r>
    </w:p>
    <w:p w14:paraId="57B3522C" w14:textId="77777777" w:rsidR="006C4F89" w:rsidRPr="006C4F89" w:rsidRDefault="006C4F89" w:rsidP="006C4F89">
      <w:pPr>
        <w:jc w:val="both"/>
      </w:pPr>
      <w:r w:rsidRPr="006C4F89">
        <w:t xml:space="preserve">The report also explores subsequent key legal cases, including Wik Peoples v Queensland and Yorta </w:t>
      </w:r>
      <w:proofErr w:type="spellStart"/>
      <w:r w:rsidRPr="006C4F89">
        <w:t>Yorta</w:t>
      </w:r>
      <w:proofErr w:type="spellEnd"/>
      <w:r w:rsidRPr="006C4F89">
        <w:t xml:space="preserve"> v Victoria, which illustrate the complex challenges Indigenous peoples face in proving continuous connection to land and navigating a Western legal system that often struggles to accommodate Indigenous cultural perspectives. In addition, a comparative analysis with similar common law jurisdictions such as Canada and New Zealand highlights alternative legal approaches and practices that offer important lessons for Australia.</w:t>
      </w:r>
    </w:p>
    <w:p w14:paraId="15645620" w14:textId="77777777" w:rsidR="006C4F89" w:rsidRPr="006C4F89" w:rsidRDefault="006C4F89" w:rsidP="006C4F89">
      <w:pPr>
        <w:jc w:val="both"/>
      </w:pPr>
      <w:r w:rsidRPr="006C4F89">
        <w:t>The report concludes by proposing several reforms, including reducing the evidentiary burden placed on Indigenous claimants, enhancing compensation mechanisms, and increasing Indigenous self-determination in land management. It asserts that while progress has been made, significant legal and policy reforms remain necessary to achieve true justice, reconciliation, and empowerment for Aboriginal and Torres Strait Islander peoples.</w:t>
      </w:r>
    </w:p>
    <w:p w14:paraId="4B53C8AC" w14:textId="13C22C17" w:rsidR="00D06E79" w:rsidRPr="00D06E79" w:rsidRDefault="00000000" w:rsidP="00D06E79">
      <w:r>
        <w:pict w14:anchorId="6A0B5CE9">
          <v:rect id="_x0000_i1026" style="width:0;height:1.5pt" o:hralign="center" o:hrstd="t" o:hr="t" fillcolor="#a0a0a0" stroked="f"/>
        </w:pict>
      </w:r>
    </w:p>
    <w:p w14:paraId="68464D6B" w14:textId="77777777" w:rsidR="00D06E79" w:rsidRPr="00D06E79" w:rsidRDefault="00D06E79" w:rsidP="00D06E79">
      <w:pPr>
        <w:rPr>
          <w:b/>
          <w:bCs/>
        </w:rPr>
      </w:pPr>
      <w:r w:rsidRPr="00D06E79">
        <w:rPr>
          <w:b/>
          <w:bCs/>
        </w:rPr>
        <w:t>Introduction</w:t>
      </w:r>
    </w:p>
    <w:p w14:paraId="1AFF5E39" w14:textId="77777777" w:rsidR="006C4F89" w:rsidRPr="006C4F89" w:rsidRDefault="006C4F89" w:rsidP="006C4F89">
      <w:pPr>
        <w:jc w:val="both"/>
      </w:pPr>
      <w:r w:rsidRPr="006C4F89">
        <w:t>The recognition and protection of Indigenous land rights in Australia have experienced substantial evolution in recent decades, reflecting broader social and political shifts. Before European arrival in 1788, Aboriginal and Torres Strait Islander peoples maintained deeply rooted and sophisticated systems of law, culture, and governance concerning their land and natural resources. Land was central to their identity, spirituality, and community responsibilities, rather than a commodity to be owned or traded.</w:t>
      </w:r>
    </w:p>
    <w:p w14:paraId="51CE811B" w14:textId="77777777" w:rsidR="006C4F89" w:rsidRPr="006C4F89" w:rsidRDefault="006C4F89" w:rsidP="006C4F89">
      <w:pPr>
        <w:jc w:val="both"/>
      </w:pPr>
      <w:r w:rsidRPr="006C4F89">
        <w:t>However, these traditional systems were disregarded by colonial authorities, who applied the legal doctrine of terra nullius—the assumption that Australia was "land belonging to no one" at the time of British settlement. This doctrine provided the legal justification for the Crown to claim sovereignty and ownership without treaty, negotiation, or compensation to Indigenous inhabitants. For over two centuries, this legal fiction resulted in the dispossession and marginalisation of Aboriginal and Torres Strait Islander peoples, who were excluded from formal property rights and governance structures.</w:t>
      </w:r>
    </w:p>
    <w:p w14:paraId="7A3BBED3" w14:textId="77777777" w:rsidR="006C4F89" w:rsidRPr="006C4F89" w:rsidRDefault="006C4F89" w:rsidP="006C4F89">
      <w:pPr>
        <w:jc w:val="both"/>
      </w:pPr>
      <w:r w:rsidRPr="006C4F89">
        <w:t xml:space="preserve">This legal paradigm began to shift dramatically with the High Court’s decision in Mabo v Queensland (No 2) (1992), which rejected terra nullius as inconsistent with Australian law and recognised the concept of native title—Indigenous land rights existing prior to and independent of British sovereignty. The ruling catalysed legislative reforms culminating in the Native Title Act </w:t>
      </w:r>
      <w:r w:rsidRPr="006C4F89">
        <w:lastRenderedPageBreak/>
        <w:t>1993 (</w:t>
      </w:r>
      <w:proofErr w:type="spellStart"/>
      <w:r w:rsidRPr="006C4F89">
        <w:t>Cth</w:t>
      </w:r>
      <w:proofErr w:type="spellEnd"/>
      <w:r w:rsidRPr="006C4F89">
        <w:t>), which established a statutory mechanism to acknowledge, protect, and resolve native title claims.</w:t>
      </w:r>
    </w:p>
    <w:p w14:paraId="61149292" w14:textId="77777777" w:rsidR="006C4F89" w:rsidRPr="006C4F89" w:rsidRDefault="006C4F89" w:rsidP="006C4F89">
      <w:pPr>
        <w:jc w:val="both"/>
      </w:pPr>
      <w:r w:rsidRPr="006C4F89">
        <w:t>Despite these important developments, native title law remains complex and fraught with challenges, including high evidentiary thresholds and the ongoing tension between Indigenous rights and other land interests such as mining and agriculture. This report aims to critically analyse the historical context, landmark judicial decisions, legislative framework, and socio-political implications of native title in Australia. It will also compare Australia’s approach with other common law countries to identify best practices and propose reforms that promote justice, equity, and meaningful Indigenous self-determination.</w:t>
      </w:r>
    </w:p>
    <w:p w14:paraId="0F11EB8F" w14:textId="6058C77D" w:rsidR="00D06E79" w:rsidRPr="006C4F89" w:rsidRDefault="00000000" w:rsidP="00D06E79">
      <w:r>
        <w:pict w14:anchorId="50F833B4">
          <v:rect id="_x0000_i1027" style="width:0;height:1.5pt" o:hralign="center" o:hrstd="t" o:hr="t" fillcolor="#a0a0a0" stroked="f"/>
        </w:pict>
      </w:r>
    </w:p>
    <w:p w14:paraId="28BBCB16" w14:textId="37C15620" w:rsidR="00D06E79" w:rsidRPr="00D06E79" w:rsidRDefault="00D06E79" w:rsidP="00D06E79">
      <w:pPr>
        <w:rPr>
          <w:b/>
          <w:bCs/>
        </w:rPr>
      </w:pPr>
      <w:r w:rsidRPr="00D06E79">
        <w:rPr>
          <w:b/>
          <w:bCs/>
        </w:rPr>
        <w:t>Historical Context of Indigenous Land Rights</w:t>
      </w:r>
    </w:p>
    <w:p w14:paraId="4FA84CF2" w14:textId="4FAB9CFC" w:rsidR="00D06E79" w:rsidRPr="00A830D8" w:rsidRDefault="00A830D8" w:rsidP="00A830D8">
      <w:pPr>
        <w:jc w:val="both"/>
      </w:pPr>
      <w:r w:rsidRPr="00A830D8">
        <w:t>Before European colonisation, Aboriginal and Torres Strait Islander peoples had established complex systems of law, culture, and sustainable land management. For Indigenous Australians, land was more than just territory — it was central to their identity, spirituality, and social responsibilities. The British arrival in 1788 brought a new legal framework that ignored these deep connections. The settlers applied the doctrine of terra nullius, which claimed the land belonged to no one prior to British possession. This doctrine falsely denied the existence of Indigenous ownership and justified the Crown’s absolute control without treaties or compensation. Unlike nations such as New Zealand and Canada, where formal treaties acknowledged Indigenous sovereignty, Australia refused to recognize Aboriginal peoples’ legal rights to their land, rendering them invisible in the eyes of colonial law.</w:t>
      </w:r>
      <w:r w:rsidR="00000000">
        <w:pict w14:anchorId="5CE47128">
          <v:rect id="_x0000_i1028" style="width:0;height:1.5pt" o:hralign="center" o:hrstd="t" o:hr="t" fillcolor="#a0a0a0" stroked="f"/>
        </w:pict>
      </w:r>
    </w:p>
    <w:p w14:paraId="53CF3289" w14:textId="77777777" w:rsidR="00A830D8" w:rsidRPr="00A830D8" w:rsidRDefault="00A830D8" w:rsidP="00A830D8">
      <w:pPr>
        <w:rPr>
          <w:b/>
          <w:bCs/>
        </w:rPr>
      </w:pPr>
      <w:r w:rsidRPr="00A830D8">
        <w:rPr>
          <w:b/>
          <w:bCs/>
        </w:rPr>
        <w:t>Mabo v Queensland (No 2) and the Overturning of Terra Nullius</w:t>
      </w:r>
    </w:p>
    <w:p w14:paraId="4ED297F9" w14:textId="77777777" w:rsidR="00A830D8" w:rsidRPr="00A830D8" w:rsidRDefault="00A830D8" w:rsidP="00A830D8">
      <w:r w:rsidRPr="00A830D8">
        <w:t>A landmark moment in Australian land law occurred with the Mabo v Queensland (No 2) case. Eddie Mabo and fellow members of the Meriam people from the Murray Islands in the Torres Strait challenged the Queensland Government, seeking legal recognition of their traditional land rights.</w:t>
      </w:r>
    </w:p>
    <w:p w14:paraId="001CFC02" w14:textId="77777777" w:rsidR="00A830D8" w:rsidRPr="00A830D8" w:rsidRDefault="00A830D8" w:rsidP="00A830D8">
      <w:r w:rsidRPr="00A830D8">
        <w:t>In 1992, the High Court delivered a historic ruling that:</w:t>
      </w:r>
    </w:p>
    <w:p w14:paraId="72FC9651" w14:textId="77777777" w:rsidR="00A830D8" w:rsidRPr="00A830D8" w:rsidRDefault="00A830D8" w:rsidP="00A830D8">
      <w:pPr>
        <w:numPr>
          <w:ilvl w:val="0"/>
          <w:numId w:val="19"/>
        </w:numPr>
      </w:pPr>
      <w:r w:rsidRPr="00A830D8">
        <w:t>Rejected the doctrine of terra nullius as invalid under Australian law.</w:t>
      </w:r>
    </w:p>
    <w:p w14:paraId="5F1F871A" w14:textId="77777777" w:rsidR="00A830D8" w:rsidRPr="00A830D8" w:rsidRDefault="00A830D8" w:rsidP="00A830D8">
      <w:pPr>
        <w:numPr>
          <w:ilvl w:val="0"/>
          <w:numId w:val="19"/>
        </w:numPr>
      </w:pPr>
      <w:r w:rsidRPr="00A830D8">
        <w:t>Recognised Indigenous Australians’ land rights under the concept of native title, grounded in traditional laws and customs.</w:t>
      </w:r>
    </w:p>
    <w:p w14:paraId="578EEB67" w14:textId="77777777" w:rsidR="00A830D8" w:rsidRPr="00A830D8" w:rsidRDefault="00A830D8" w:rsidP="00A830D8">
      <w:pPr>
        <w:numPr>
          <w:ilvl w:val="0"/>
          <w:numId w:val="19"/>
        </w:numPr>
      </w:pPr>
      <w:r w:rsidRPr="00A830D8">
        <w:t>Established that native title could coexist with other forms of land tenure but could be extinguished by inconsistent Crown grants.</w:t>
      </w:r>
    </w:p>
    <w:p w14:paraId="20E9AB08" w14:textId="77777777" w:rsidR="00A830D8" w:rsidRPr="00A830D8" w:rsidRDefault="00A830D8" w:rsidP="00A830D8">
      <w:r w:rsidRPr="00A830D8">
        <w:t>This decision was revolutionary. It overturned the longstanding assumption that Indigenous peoples had no legal claim to land and affirmed the existence of pre-colonial land systems. Crucially, the Court clarified that native title is not a new property right but the recognition of rights that existed prior to colonisation.</w:t>
      </w:r>
    </w:p>
    <w:p w14:paraId="3F5318DD" w14:textId="77777777" w:rsidR="00A830D8" w:rsidRPr="00A830D8" w:rsidRDefault="00000000" w:rsidP="00A830D8">
      <w:pPr>
        <w:rPr>
          <w:b/>
          <w:bCs/>
        </w:rPr>
      </w:pPr>
      <w:r>
        <w:rPr>
          <w:b/>
          <w:bCs/>
        </w:rPr>
        <w:pict w14:anchorId="4ACAECAC">
          <v:rect id="_x0000_i1029" style="width:0;height:1.5pt" o:hralign="center" o:hrstd="t" o:hr="t" fillcolor="#a0a0a0" stroked="f"/>
        </w:pict>
      </w:r>
    </w:p>
    <w:p w14:paraId="71EDB0A5" w14:textId="77777777" w:rsidR="00A830D8" w:rsidRPr="00A830D8" w:rsidRDefault="00A830D8" w:rsidP="00A830D8">
      <w:pPr>
        <w:rPr>
          <w:b/>
          <w:bCs/>
        </w:rPr>
      </w:pPr>
      <w:r w:rsidRPr="00A830D8">
        <w:rPr>
          <w:b/>
          <w:bCs/>
        </w:rPr>
        <w:t>The Native Title Act 1993 (</w:t>
      </w:r>
      <w:proofErr w:type="spellStart"/>
      <w:r w:rsidRPr="00A830D8">
        <w:rPr>
          <w:b/>
          <w:bCs/>
        </w:rPr>
        <w:t>Cth</w:t>
      </w:r>
      <w:proofErr w:type="spellEnd"/>
      <w:r w:rsidRPr="00A830D8">
        <w:rPr>
          <w:b/>
          <w:bCs/>
        </w:rPr>
        <w:t>)</w:t>
      </w:r>
    </w:p>
    <w:p w14:paraId="469EAC64" w14:textId="77777777" w:rsidR="00A830D8" w:rsidRPr="00A830D8" w:rsidRDefault="00A830D8" w:rsidP="00A830D8">
      <w:pPr>
        <w:jc w:val="both"/>
      </w:pPr>
      <w:r w:rsidRPr="00A830D8">
        <w:lastRenderedPageBreak/>
        <w:t>Following the Mabo decision, the Australian Parliament enacted the Native Title Act 1993 (</w:t>
      </w:r>
      <w:proofErr w:type="spellStart"/>
      <w:r w:rsidRPr="00A830D8">
        <w:t>Cth</w:t>
      </w:r>
      <w:proofErr w:type="spellEnd"/>
      <w:r w:rsidRPr="00A830D8">
        <w:t>) to create a formal framework for recognising and protecting native title. The Act established:</w:t>
      </w:r>
    </w:p>
    <w:p w14:paraId="50485B4F" w14:textId="77777777" w:rsidR="00A830D8" w:rsidRPr="00A830D8" w:rsidRDefault="00A830D8" w:rsidP="00A830D8">
      <w:pPr>
        <w:numPr>
          <w:ilvl w:val="0"/>
          <w:numId w:val="20"/>
        </w:numPr>
        <w:jc w:val="both"/>
      </w:pPr>
      <w:r w:rsidRPr="00A830D8">
        <w:t>The National Native Title Tribunal (NNTT) to oversee claims and mediate disputes.</w:t>
      </w:r>
    </w:p>
    <w:p w14:paraId="02E3BD85" w14:textId="77777777" w:rsidR="00A830D8" w:rsidRPr="00A830D8" w:rsidRDefault="00A830D8" w:rsidP="00A830D8">
      <w:pPr>
        <w:numPr>
          <w:ilvl w:val="0"/>
          <w:numId w:val="20"/>
        </w:numPr>
        <w:jc w:val="both"/>
      </w:pPr>
      <w:r w:rsidRPr="00A830D8">
        <w:t>A structured process for lodging and determining native title claims.</w:t>
      </w:r>
    </w:p>
    <w:p w14:paraId="75EA464B" w14:textId="77777777" w:rsidR="00A830D8" w:rsidRPr="00A830D8" w:rsidRDefault="00A830D8" w:rsidP="00A830D8">
      <w:pPr>
        <w:numPr>
          <w:ilvl w:val="0"/>
          <w:numId w:val="20"/>
        </w:numPr>
        <w:jc w:val="both"/>
      </w:pPr>
      <w:r w:rsidRPr="00A830D8">
        <w:t>Rules outlining how native title can coexist with or be extinguished by other land interests.</w:t>
      </w:r>
    </w:p>
    <w:p w14:paraId="3797A72E" w14:textId="77777777" w:rsidR="00A830D8" w:rsidRPr="00A830D8" w:rsidRDefault="00A830D8" w:rsidP="00A830D8">
      <w:pPr>
        <w:numPr>
          <w:ilvl w:val="0"/>
          <w:numId w:val="20"/>
        </w:numPr>
        <w:jc w:val="both"/>
      </w:pPr>
      <w:r w:rsidRPr="00A830D8">
        <w:t>Validation of certain government acts that might have otherwise invalidated native title rights.</w:t>
      </w:r>
    </w:p>
    <w:p w14:paraId="4FF56AE6" w14:textId="77777777" w:rsidR="00A830D8" w:rsidRPr="00A830D8" w:rsidRDefault="00A830D8" w:rsidP="00A830D8">
      <w:pPr>
        <w:jc w:val="both"/>
      </w:pPr>
      <w:r w:rsidRPr="00A830D8">
        <w:t xml:space="preserve">While the Act was a significant legislative milestone, it has faced criticism for imposing high evidentiary requirements on claimants, demanding proof of continuous traditional connection. Additionally, many argue the law </w:t>
      </w:r>
      <w:proofErr w:type="spellStart"/>
      <w:r w:rsidRPr="00A830D8">
        <w:t>favors</w:t>
      </w:r>
      <w:proofErr w:type="spellEnd"/>
      <w:r w:rsidRPr="00A830D8">
        <w:t xml:space="preserve"> existing land users such as mining and agricultural interests over Indigenous claimants.</w:t>
      </w:r>
    </w:p>
    <w:p w14:paraId="1512D592" w14:textId="77777777" w:rsidR="00A830D8" w:rsidRPr="00A830D8" w:rsidRDefault="00000000" w:rsidP="00A830D8">
      <w:pPr>
        <w:rPr>
          <w:b/>
          <w:bCs/>
        </w:rPr>
      </w:pPr>
      <w:r>
        <w:rPr>
          <w:b/>
          <w:bCs/>
        </w:rPr>
        <w:pict w14:anchorId="65E66C22">
          <v:rect id="_x0000_i1030" style="width:0;height:1.5pt" o:hralign="center" o:hrstd="t" o:hr="t" fillcolor="#a0a0a0" stroked="f"/>
        </w:pict>
      </w:r>
    </w:p>
    <w:p w14:paraId="0E97F79E" w14:textId="77777777" w:rsidR="00A830D8" w:rsidRPr="00A830D8" w:rsidRDefault="00A830D8" w:rsidP="00A830D8">
      <w:pPr>
        <w:rPr>
          <w:b/>
          <w:bCs/>
        </w:rPr>
      </w:pPr>
      <w:r w:rsidRPr="00A830D8">
        <w:rPr>
          <w:b/>
          <w:bCs/>
        </w:rPr>
        <w:t>Wik Peoples v Queensland and the Coexistence Principle</w:t>
      </w:r>
    </w:p>
    <w:p w14:paraId="77031700" w14:textId="77777777" w:rsidR="00A830D8" w:rsidRPr="00A830D8" w:rsidRDefault="00A830D8" w:rsidP="00A830D8">
      <w:r w:rsidRPr="00A830D8">
        <w:t>In Wik Peoples v Queensland (1996), the High Court addressed whether native title could survive alongside pastoral leases—Crown leases generally granted for livestock grazing. The Queensland Government contended that pastoral leases extinguished native title.</w:t>
      </w:r>
    </w:p>
    <w:p w14:paraId="4C965A74" w14:textId="77777777" w:rsidR="00A830D8" w:rsidRPr="00A830D8" w:rsidRDefault="00A830D8" w:rsidP="00A830D8">
      <w:r w:rsidRPr="00A830D8">
        <w:t>The Court ruled that:</w:t>
      </w:r>
    </w:p>
    <w:p w14:paraId="3F18ECEE" w14:textId="77777777" w:rsidR="00A830D8" w:rsidRPr="00A830D8" w:rsidRDefault="00A830D8" w:rsidP="00A830D8">
      <w:pPr>
        <w:numPr>
          <w:ilvl w:val="0"/>
          <w:numId w:val="21"/>
        </w:numPr>
      </w:pPr>
      <w:r w:rsidRPr="00A830D8">
        <w:t>Pastoral leases do not grant exclusive possession to leaseholders.</w:t>
      </w:r>
    </w:p>
    <w:p w14:paraId="3A4649AB" w14:textId="77777777" w:rsidR="00A830D8" w:rsidRPr="00A830D8" w:rsidRDefault="00A830D8" w:rsidP="00A830D8">
      <w:pPr>
        <w:numPr>
          <w:ilvl w:val="0"/>
          <w:numId w:val="21"/>
        </w:numPr>
      </w:pPr>
      <w:r w:rsidRPr="00A830D8">
        <w:t>Native title can coexist with pastoral leases unless the rights granted under the lease are directly inconsistent with native title rights.</w:t>
      </w:r>
    </w:p>
    <w:p w14:paraId="05EC5A0A" w14:textId="1BB3F1FF" w:rsidR="00D06E79" w:rsidRPr="00A830D8" w:rsidRDefault="00A830D8" w:rsidP="00D06E79">
      <w:r w:rsidRPr="00A830D8">
        <w:t>This ruling was important as it clarified that not all Crown land tenures extinguish native title. However, it sparked political controversy. The federal government responded with the Native Title Amendment Act 1998 (</w:t>
      </w:r>
      <w:proofErr w:type="spellStart"/>
      <w:r w:rsidRPr="00A830D8">
        <w:t>Cth</w:t>
      </w:r>
      <w:proofErr w:type="spellEnd"/>
      <w:r w:rsidRPr="00A830D8">
        <w:t xml:space="preserve">), known as the "10 Point Plan," which introduced tighter restrictions on native title claims. Critics argue these amendments </w:t>
      </w:r>
      <w:proofErr w:type="spellStart"/>
      <w:r w:rsidRPr="00A830D8">
        <w:t>favored</w:t>
      </w:r>
      <w:proofErr w:type="spellEnd"/>
      <w:r w:rsidRPr="00A830D8">
        <w:t xml:space="preserve"> industry interests and undermined the protections offered by the original Act.</w:t>
      </w:r>
    </w:p>
    <w:p w14:paraId="5746EEFF" w14:textId="77777777" w:rsidR="00D06E79" w:rsidRPr="00D06E79" w:rsidRDefault="00000000" w:rsidP="00D06E79">
      <w:r>
        <w:pict w14:anchorId="20F9F4CD">
          <v:rect id="_x0000_i1031" style="width:0;height:1.5pt" o:hralign="center" o:hrstd="t" o:hr="t" fillcolor="#a0a0a0" stroked="f"/>
        </w:pict>
      </w:r>
    </w:p>
    <w:p w14:paraId="574BA3C6" w14:textId="77777777" w:rsidR="00D06E79" w:rsidRPr="00D06E79" w:rsidRDefault="00D06E79" w:rsidP="00D06E79">
      <w:pPr>
        <w:rPr>
          <w:b/>
          <w:bCs/>
        </w:rPr>
      </w:pPr>
      <w:r w:rsidRPr="00D06E79">
        <w:rPr>
          <w:b/>
          <w:bCs/>
        </w:rPr>
        <w:t xml:space="preserve">Yorta </w:t>
      </w:r>
      <w:proofErr w:type="spellStart"/>
      <w:r w:rsidRPr="00D06E79">
        <w:rPr>
          <w:b/>
          <w:bCs/>
        </w:rPr>
        <w:t>Yorta</w:t>
      </w:r>
      <w:proofErr w:type="spellEnd"/>
      <w:r w:rsidRPr="00D06E79">
        <w:rPr>
          <w:b/>
          <w:bCs/>
        </w:rPr>
        <w:t xml:space="preserve"> v Victoria and the Burden of Proof</w:t>
      </w:r>
    </w:p>
    <w:p w14:paraId="7409BD25" w14:textId="1F561E66" w:rsidR="00C74301" w:rsidRPr="006C4F89" w:rsidRDefault="00A830D8" w:rsidP="00D06E79">
      <w:r w:rsidRPr="00A830D8">
        <w:t xml:space="preserve">The 2002 </w:t>
      </w:r>
      <w:r w:rsidRPr="00A830D8">
        <w:rPr>
          <w:i/>
          <w:iCs/>
        </w:rPr>
        <w:t xml:space="preserve">Yorta </w:t>
      </w:r>
      <w:proofErr w:type="spellStart"/>
      <w:r w:rsidRPr="00A830D8">
        <w:rPr>
          <w:i/>
          <w:iCs/>
        </w:rPr>
        <w:t>Yorta</w:t>
      </w:r>
      <w:proofErr w:type="spellEnd"/>
      <w:r w:rsidRPr="00A830D8">
        <w:rPr>
          <w:i/>
          <w:iCs/>
        </w:rPr>
        <w:t xml:space="preserve"> v Victoria</w:t>
      </w:r>
      <w:r w:rsidRPr="00A830D8">
        <w:t xml:space="preserve"> case highlighted the difficulties Indigenous groups face in proving native title. The Yorta </w:t>
      </w:r>
      <w:proofErr w:type="spellStart"/>
      <w:r w:rsidRPr="00A830D8">
        <w:t>Yorta</w:t>
      </w:r>
      <w:proofErr w:type="spellEnd"/>
      <w:r w:rsidRPr="00A830D8">
        <w:t xml:space="preserve"> people claimed native title over land in northern Victoria and southern New South Wales, but the High Court rejected the claim, stating their connection to traditional laws had been "washed away by the tide of history." The Court set a strict requirement for continuous observance of traditional customs, a standard many Indigenous communities cannot meet due to historical displacement and assimilation. Critics argue this ruling imposes unrealistic expectations, ignoring the impacts of colonisation and creating a heavy burden for claimants to prove an unbroken cultural connection.</w:t>
      </w:r>
      <w:r w:rsidR="00000000">
        <w:pict w14:anchorId="303124C8">
          <v:rect id="_x0000_i1032" style="width:0;height:1.5pt" o:hralign="center" o:hrstd="t" o:hr="t" fillcolor="#a0a0a0" stroked="f"/>
        </w:pict>
      </w:r>
    </w:p>
    <w:p w14:paraId="1A253C5F" w14:textId="6DC9DBFF" w:rsidR="00D06E79" w:rsidRPr="00D06E79" w:rsidRDefault="00D06E79" w:rsidP="00D06E79">
      <w:pPr>
        <w:rPr>
          <w:b/>
          <w:bCs/>
        </w:rPr>
      </w:pPr>
      <w:r w:rsidRPr="00D06E79">
        <w:rPr>
          <w:b/>
          <w:bCs/>
        </w:rPr>
        <w:t>International Comparisons</w:t>
      </w:r>
    </w:p>
    <w:p w14:paraId="37945161" w14:textId="77777777" w:rsidR="00A830D8" w:rsidRPr="00A830D8" w:rsidRDefault="00A830D8" w:rsidP="00A830D8">
      <w:r w:rsidRPr="00A830D8">
        <w:lastRenderedPageBreak/>
        <w:t>Legal systems in Canada and New Zealand offer useful lessons. New Zealand’s 1840 Treaty of Waitangi established a formal agreement between Māori chiefs and the British Crown, providing a foundation for ongoing negotiations despite inconsistent implementation. In Canada, the 1982 Constitution Act recognizes Aboriginal and treaty rights, and the 1997 Delgamuukw decision confirmed Aboriginal title’s constitutional protection. Canadian courts also accept oral histories and apply a more flexible proof standard than Australia. These examples show that inclusive, flexible legal approaches can improve outcomes for Indigenous peoples.</w:t>
      </w:r>
    </w:p>
    <w:p w14:paraId="374ABC22" w14:textId="77777777" w:rsidR="00D06E79" w:rsidRPr="00D06E79" w:rsidRDefault="00000000" w:rsidP="00D06E79">
      <w:r>
        <w:pict w14:anchorId="685CCAFF">
          <v:rect id="_x0000_i1033" style="width:0;height:1.5pt" o:hralign="center" o:hrstd="t" o:hr="t" fillcolor="#a0a0a0" stroked="f"/>
        </w:pict>
      </w:r>
    </w:p>
    <w:p w14:paraId="49203247" w14:textId="77777777" w:rsidR="00D06E79" w:rsidRPr="00D06E79" w:rsidRDefault="00D06E79" w:rsidP="00D06E79">
      <w:pPr>
        <w:rPr>
          <w:b/>
          <w:bCs/>
        </w:rPr>
      </w:pPr>
      <w:r w:rsidRPr="00D06E79">
        <w:rPr>
          <w:b/>
          <w:bCs/>
        </w:rPr>
        <w:t>Socio-Political Impact of Native Title</w:t>
      </w:r>
    </w:p>
    <w:p w14:paraId="1A88E50A" w14:textId="77777777" w:rsidR="00A830D8" w:rsidRPr="00A830D8" w:rsidRDefault="00A830D8" w:rsidP="00A830D8">
      <w:r w:rsidRPr="00A830D8">
        <w:t>Legal recognition of native title symbolically affirms Indigenous peoples’ connection to land and acknowledges historical injustices. However, it often falls short in delivering real benefits like land access, control, or socio-economic improvements. Key challenges include:</w:t>
      </w:r>
    </w:p>
    <w:p w14:paraId="10C77964" w14:textId="77777777" w:rsidR="00A830D8" w:rsidRPr="00A830D8" w:rsidRDefault="00A830D8" w:rsidP="00A830D8">
      <w:pPr>
        <w:numPr>
          <w:ilvl w:val="0"/>
          <w:numId w:val="18"/>
        </w:numPr>
      </w:pPr>
      <w:r w:rsidRPr="00A830D8">
        <w:t>The high burden of proving continuous connection to land.</w:t>
      </w:r>
    </w:p>
    <w:p w14:paraId="4F88B31D" w14:textId="77777777" w:rsidR="00A830D8" w:rsidRPr="00A830D8" w:rsidRDefault="00A830D8" w:rsidP="00A830D8">
      <w:pPr>
        <w:numPr>
          <w:ilvl w:val="0"/>
          <w:numId w:val="18"/>
        </w:numPr>
      </w:pPr>
      <w:r w:rsidRPr="00A830D8">
        <w:t>Native title rights being mostly non-exclusive, limiting control over land use.</w:t>
      </w:r>
    </w:p>
    <w:p w14:paraId="4A4C4BCE" w14:textId="77777777" w:rsidR="00A830D8" w:rsidRPr="00A830D8" w:rsidRDefault="00A830D8" w:rsidP="00A830D8">
      <w:pPr>
        <w:numPr>
          <w:ilvl w:val="0"/>
          <w:numId w:val="18"/>
        </w:numPr>
      </w:pPr>
      <w:r w:rsidRPr="00A830D8">
        <w:t>Once extinguished, native title cannot be restored.</w:t>
      </w:r>
    </w:p>
    <w:p w14:paraId="6C0509BB" w14:textId="77777777" w:rsidR="00A830D8" w:rsidRPr="00A830D8" w:rsidRDefault="00A830D8" w:rsidP="00A830D8">
      <w:pPr>
        <w:numPr>
          <w:ilvl w:val="0"/>
          <w:numId w:val="18"/>
        </w:numPr>
      </w:pPr>
      <w:r w:rsidRPr="00A830D8">
        <w:t>Power imbalances during negotiations.</w:t>
      </w:r>
    </w:p>
    <w:p w14:paraId="18533A5B" w14:textId="77777777" w:rsidR="00A830D8" w:rsidRPr="00A830D8" w:rsidRDefault="00A830D8" w:rsidP="00A830D8">
      <w:r w:rsidRPr="00A830D8">
        <w:t>Native title has brought Indigenous rights into national political discussions and increased public support for cultural heritage. Yet, conflicts remain between Indigenous goals and economic interests, especially in mining and development. These ongoing tensions emphasize the need for respectful, ongoing dialogue and genuine engagement between Indigenous and non-Indigenous Australians.</w:t>
      </w:r>
    </w:p>
    <w:p w14:paraId="4197611A" w14:textId="566DD4FB" w:rsidR="00A830D8" w:rsidRPr="00A830D8" w:rsidRDefault="00000000" w:rsidP="00D06E79">
      <w:r>
        <w:pict w14:anchorId="4AE47745">
          <v:rect id="_x0000_i1034" style="width:0;height:1.5pt" o:hralign="center" o:hrstd="t" o:hr="t" fillcolor="#a0a0a0" stroked="f"/>
        </w:pict>
      </w:r>
    </w:p>
    <w:p w14:paraId="41516599" w14:textId="1F70B333" w:rsidR="00D06E79" w:rsidRPr="00D06E79" w:rsidRDefault="00D06E79" w:rsidP="00D06E79">
      <w:pPr>
        <w:rPr>
          <w:b/>
          <w:bCs/>
        </w:rPr>
      </w:pPr>
      <w:r w:rsidRPr="00D06E79">
        <w:rPr>
          <w:b/>
          <w:bCs/>
        </w:rPr>
        <w:t>Future Challenges and Recommendations for Reform</w:t>
      </w:r>
    </w:p>
    <w:p w14:paraId="6AB364DD" w14:textId="77777777" w:rsidR="00D06E79" w:rsidRPr="00D06E79" w:rsidRDefault="00D06E79" w:rsidP="00D06E79">
      <w:r w:rsidRPr="00D06E79">
        <w:t>The future of native title in Australia depends on meaningful reform. Based on the issues discussed, the following recommendations are proposed:</w:t>
      </w:r>
    </w:p>
    <w:p w14:paraId="63DFEC23" w14:textId="77777777" w:rsidR="00A830D8" w:rsidRPr="00A830D8" w:rsidRDefault="00A830D8" w:rsidP="00A830D8">
      <w:pPr>
        <w:numPr>
          <w:ilvl w:val="0"/>
          <w:numId w:val="17"/>
        </w:numPr>
      </w:pPr>
      <w:r w:rsidRPr="00A830D8">
        <w:t>Accept oral histories as valid evidence.</w:t>
      </w:r>
    </w:p>
    <w:p w14:paraId="2072E50A" w14:textId="77777777" w:rsidR="00A830D8" w:rsidRPr="00A830D8" w:rsidRDefault="00A830D8" w:rsidP="00A830D8">
      <w:pPr>
        <w:numPr>
          <w:ilvl w:val="0"/>
          <w:numId w:val="17"/>
        </w:numPr>
      </w:pPr>
      <w:r w:rsidRPr="00A830D8">
        <w:t>Strengthen compensation for lost native title.</w:t>
      </w:r>
    </w:p>
    <w:p w14:paraId="72C980CE" w14:textId="77777777" w:rsidR="00A830D8" w:rsidRPr="00A830D8" w:rsidRDefault="00A830D8" w:rsidP="00A830D8">
      <w:pPr>
        <w:numPr>
          <w:ilvl w:val="0"/>
          <w:numId w:val="17"/>
        </w:numPr>
      </w:pPr>
      <w:r w:rsidRPr="00A830D8">
        <w:t>Give Indigenous communities more control over their land.</w:t>
      </w:r>
    </w:p>
    <w:p w14:paraId="375F4650" w14:textId="77777777" w:rsidR="00A830D8" w:rsidRPr="00A830D8" w:rsidRDefault="00A830D8" w:rsidP="00A830D8">
      <w:pPr>
        <w:numPr>
          <w:ilvl w:val="0"/>
          <w:numId w:val="17"/>
        </w:numPr>
      </w:pPr>
      <w:r w:rsidRPr="00A830D8">
        <w:t>Raise public awareness about native title.</w:t>
      </w:r>
    </w:p>
    <w:p w14:paraId="5D193F0E" w14:textId="77777777" w:rsidR="00A830D8" w:rsidRPr="00A830D8" w:rsidRDefault="00A830D8" w:rsidP="00A830D8">
      <w:pPr>
        <w:numPr>
          <w:ilvl w:val="0"/>
          <w:numId w:val="17"/>
        </w:numPr>
      </w:pPr>
      <w:r w:rsidRPr="00A830D8">
        <w:t>Start treaty talks recognizing Indigenous sovereignty.</w:t>
      </w:r>
    </w:p>
    <w:p w14:paraId="2C94EDAE" w14:textId="77777777" w:rsidR="00A830D8" w:rsidRPr="00A830D8" w:rsidRDefault="00A830D8" w:rsidP="00A830D8">
      <w:pPr>
        <w:rPr>
          <w:b/>
          <w:bCs/>
        </w:rPr>
      </w:pPr>
      <w:r w:rsidRPr="00A830D8">
        <w:rPr>
          <w:b/>
          <w:bCs/>
        </w:rPr>
        <w:t>These steps will help native title become a real tool for justice and empowerment</w:t>
      </w:r>
    </w:p>
    <w:p w14:paraId="77D71555" w14:textId="77777777" w:rsidR="00D06E79" w:rsidRPr="00D06E79" w:rsidRDefault="00000000" w:rsidP="00D06E79">
      <w:r>
        <w:pict w14:anchorId="39C07BB7">
          <v:rect id="_x0000_i1035" style="width:0;height:1.5pt" o:hralign="center" o:hrstd="t" o:hr="t" fillcolor="#a0a0a0" stroked="f"/>
        </w:pict>
      </w:r>
    </w:p>
    <w:p w14:paraId="115A571E" w14:textId="77777777" w:rsidR="00D06E79" w:rsidRPr="00D06E79" w:rsidRDefault="00D06E79" w:rsidP="00D06E79">
      <w:pPr>
        <w:rPr>
          <w:b/>
          <w:bCs/>
        </w:rPr>
      </w:pPr>
      <w:r w:rsidRPr="00D06E79">
        <w:rPr>
          <w:b/>
          <w:bCs/>
        </w:rPr>
        <w:t>Case Law Summary Table</w:t>
      </w:r>
    </w:p>
    <w:tbl>
      <w:tblPr>
        <w:tblStyle w:val="TableGrid"/>
        <w:tblW w:w="0" w:type="auto"/>
        <w:tblLook w:val="04A0" w:firstRow="1" w:lastRow="0" w:firstColumn="1" w:lastColumn="0" w:noHBand="0" w:noVBand="1"/>
      </w:tblPr>
      <w:tblGrid>
        <w:gridCol w:w="2106"/>
        <w:gridCol w:w="687"/>
        <w:gridCol w:w="6223"/>
      </w:tblGrid>
      <w:tr w:rsidR="00D06E79" w:rsidRPr="00D06E79" w14:paraId="0A3FF3EF" w14:textId="77777777" w:rsidTr="00C74301">
        <w:tc>
          <w:tcPr>
            <w:tcW w:w="0" w:type="auto"/>
            <w:hideMark/>
          </w:tcPr>
          <w:p w14:paraId="51CCC97A" w14:textId="77777777" w:rsidR="00D06E79" w:rsidRPr="006C4F89" w:rsidRDefault="00D06E79" w:rsidP="00D06E79">
            <w:pPr>
              <w:spacing w:after="160" w:line="259" w:lineRule="auto"/>
              <w:rPr>
                <w:b/>
                <w:bCs/>
              </w:rPr>
            </w:pPr>
            <w:r w:rsidRPr="006C4F89">
              <w:rPr>
                <w:b/>
                <w:bCs/>
              </w:rPr>
              <w:t>Case</w:t>
            </w:r>
          </w:p>
        </w:tc>
        <w:tc>
          <w:tcPr>
            <w:tcW w:w="0" w:type="auto"/>
            <w:hideMark/>
          </w:tcPr>
          <w:p w14:paraId="385A3446" w14:textId="77777777" w:rsidR="00D06E79" w:rsidRPr="006C4F89" w:rsidRDefault="00D06E79" w:rsidP="00D06E79">
            <w:pPr>
              <w:spacing w:after="160" w:line="259" w:lineRule="auto"/>
              <w:rPr>
                <w:b/>
                <w:bCs/>
              </w:rPr>
            </w:pPr>
            <w:r w:rsidRPr="006C4F89">
              <w:rPr>
                <w:b/>
                <w:bCs/>
              </w:rPr>
              <w:t>Year</w:t>
            </w:r>
          </w:p>
        </w:tc>
        <w:tc>
          <w:tcPr>
            <w:tcW w:w="0" w:type="auto"/>
            <w:hideMark/>
          </w:tcPr>
          <w:p w14:paraId="77942AEE" w14:textId="77777777" w:rsidR="00D06E79" w:rsidRPr="006C4F89" w:rsidRDefault="00D06E79" w:rsidP="00D06E79">
            <w:pPr>
              <w:spacing w:after="160" w:line="259" w:lineRule="auto"/>
              <w:rPr>
                <w:b/>
                <w:bCs/>
              </w:rPr>
            </w:pPr>
            <w:r w:rsidRPr="006C4F89">
              <w:rPr>
                <w:b/>
                <w:bCs/>
              </w:rPr>
              <w:t>Significance</w:t>
            </w:r>
          </w:p>
        </w:tc>
      </w:tr>
      <w:tr w:rsidR="00D06E79" w:rsidRPr="00D06E79" w14:paraId="13EE8648" w14:textId="77777777" w:rsidTr="00C74301">
        <w:tc>
          <w:tcPr>
            <w:tcW w:w="0" w:type="auto"/>
            <w:hideMark/>
          </w:tcPr>
          <w:p w14:paraId="527DDAE2" w14:textId="77777777" w:rsidR="00D06E79" w:rsidRPr="006C4F89" w:rsidRDefault="00D06E79" w:rsidP="00D06E79">
            <w:pPr>
              <w:spacing w:after="160" w:line="259" w:lineRule="auto"/>
            </w:pPr>
            <w:r w:rsidRPr="006C4F89">
              <w:lastRenderedPageBreak/>
              <w:t>Mabo v Queensland (No 2)</w:t>
            </w:r>
          </w:p>
        </w:tc>
        <w:tc>
          <w:tcPr>
            <w:tcW w:w="0" w:type="auto"/>
            <w:hideMark/>
          </w:tcPr>
          <w:p w14:paraId="4142FFBF" w14:textId="77777777" w:rsidR="00D06E79" w:rsidRPr="006C4F89" w:rsidRDefault="00D06E79" w:rsidP="00D06E79">
            <w:pPr>
              <w:spacing w:after="160" w:line="259" w:lineRule="auto"/>
            </w:pPr>
            <w:r w:rsidRPr="006C4F89">
              <w:t>1992</w:t>
            </w:r>
          </w:p>
        </w:tc>
        <w:tc>
          <w:tcPr>
            <w:tcW w:w="0" w:type="auto"/>
            <w:hideMark/>
          </w:tcPr>
          <w:p w14:paraId="425A0E97" w14:textId="257CC49E" w:rsidR="00D06E79" w:rsidRPr="006C4F89" w:rsidRDefault="006C4F89" w:rsidP="00D06E79">
            <w:pPr>
              <w:spacing w:after="160" w:line="259" w:lineRule="auto"/>
            </w:pPr>
            <w:r w:rsidRPr="006C4F89">
              <w:t>Rejected the concept of terra nullius and legally recognized native title rights.</w:t>
            </w:r>
          </w:p>
        </w:tc>
      </w:tr>
      <w:tr w:rsidR="00D06E79" w:rsidRPr="00D06E79" w14:paraId="683B1DBA" w14:textId="77777777" w:rsidTr="00C74301">
        <w:tc>
          <w:tcPr>
            <w:tcW w:w="0" w:type="auto"/>
            <w:hideMark/>
          </w:tcPr>
          <w:p w14:paraId="40A24050" w14:textId="77777777" w:rsidR="00D06E79" w:rsidRPr="006C4F89" w:rsidRDefault="00D06E79" w:rsidP="00D06E79">
            <w:pPr>
              <w:spacing w:after="160" w:line="259" w:lineRule="auto"/>
            </w:pPr>
            <w:r w:rsidRPr="006C4F89">
              <w:t>Wik Peoples v Queensland</w:t>
            </w:r>
          </w:p>
        </w:tc>
        <w:tc>
          <w:tcPr>
            <w:tcW w:w="0" w:type="auto"/>
            <w:hideMark/>
          </w:tcPr>
          <w:p w14:paraId="2B8A13D5" w14:textId="77777777" w:rsidR="00D06E79" w:rsidRPr="006C4F89" w:rsidRDefault="00D06E79" w:rsidP="00D06E79">
            <w:pPr>
              <w:spacing w:after="160" w:line="259" w:lineRule="auto"/>
            </w:pPr>
            <w:r w:rsidRPr="006C4F89">
              <w:t>1996</w:t>
            </w:r>
          </w:p>
        </w:tc>
        <w:tc>
          <w:tcPr>
            <w:tcW w:w="0" w:type="auto"/>
            <w:hideMark/>
          </w:tcPr>
          <w:p w14:paraId="6B2792E4" w14:textId="06646713" w:rsidR="00D06E79" w:rsidRPr="006C4F89" w:rsidRDefault="006C4F89" w:rsidP="00D06E79">
            <w:pPr>
              <w:spacing w:after="160" w:line="259" w:lineRule="auto"/>
            </w:pPr>
            <w:r w:rsidRPr="006C4F89">
              <w:t>Confirmed that native title rights can exist alongside pastoral leases, allowing coexistence.</w:t>
            </w:r>
          </w:p>
        </w:tc>
      </w:tr>
      <w:tr w:rsidR="00D06E79" w:rsidRPr="00D06E79" w14:paraId="629B2E78" w14:textId="77777777" w:rsidTr="00C74301">
        <w:tc>
          <w:tcPr>
            <w:tcW w:w="0" w:type="auto"/>
            <w:hideMark/>
          </w:tcPr>
          <w:p w14:paraId="3EF04DCC" w14:textId="77777777" w:rsidR="00D06E79" w:rsidRPr="006C4F89" w:rsidRDefault="00D06E79" w:rsidP="00D06E79">
            <w:pPr>
              <w:spacing w:after="160" w:line="259" w:lineRule="auto"/>
            </w:pPr>
            <w:r w:rsidRPr="006C4F89">
              <w:t xml:space="preserve">Yorta </w:t>
            </w:r>
            <w:proofErr w:type="spellStart"/>
            <w:r w:rsidRPr="006C4F89">
              <w:t>Yorta</w:t>
            </w:r>
            <w:proofErr w:type="spellEnd"/>
            <w:r w:rsidRPr="006C4F89">
              <w:t xml:space="preserve"> v Victoria</w:t>
            </w:r>
          </w:p>
        </w:tc>
        <w:tc>
          <w:tcPr>
            <w:tcW w:w="0" w:type="auto"/>
            <w:hideMark/>
          </w:tcPr>
          <w:p w14:paraId="23E57429" w14:textId="77777777" w:rsidR="00D06E79" w:rsidRPr="006C4F89" w:rsidRDefault="00D06E79" w:rsidP="00D06E79">
            <w:pPr>
              <w:spacing w:after="160" w:line="259" w:lineRule="auto"/>
            </w:pPr>
            <w:r w:rsidRPr="006C4F89">
              <w:t>2002</w:t>
            </w:r>
          </w:p>
        </w:tc>
        <w:tc>
          <w:tcPr>
            <w:tcW w:w="0" w:type="auto"/>
            <w:hideMark/>
          </w:tcPr>
          <w:p w14:paraId="34A615B2" w14:textId="001F577A" w:rsidR="00D06E79" w:rsidRPr="006C4F89" w:rsidRDefault="006C4F89" w:rsidP="00D06E79">
            <w:pPr>
              <w:spacing w:after="160" w:line="259" w:lineRule="auto"/>
            </w:pPr>
            <w:r w:rsidRPr="006C4F89">
              <w:t>Set stringent requirements for demonstrating the continuous observance of traditional laws and customs.</w:t>
            </w:r>
          </w:p>
        </w:tc>
      </w:tr>
    </w:tbl>
    <w:p w14:paraId="6D48126A" w14:textId="41B84CF9" w:rsidR="006C4F89" w:rsidRPr="00A830D8" w:rsidRDefault="00000000" w:rsidP="00D06E79">
      <w:r>
        <w:pict w14:anchorId="2856F9AB">
          <v:rect id="_x0000_i1036" style="width:0;height:1.5pt" o:hralign="center" o:hrstd="t" o:hr="t" fillcolor="#a0a0a0" stroked="f"/>
        </w:pict>
      </w:r>
    </w:p>
    <w:p w14:paraId="5BA445FD" w14:textId="480E7269" w:rsidR="00D06E79" w:rsidRPr="00D06E79" w:rsidRDefault="00D06E79" w:rsidP="00D06E79">
      <w:pPr>
        <w:rPr>
          <w:b/>
          <w:bCs/>
        </w:rPr>
      </w:pPr>
      <w:r w:rsidRPr="00D06E79">
        <w:rPr>
          <w:b/>
          <w:bCs/>
        </w:rPr>
        <w:t>Conclusion</w:t>
      </w:r>
    </w:p>
    <w:p w14:paraId="1852AF4D" w14:textId="77777777" w:rsidR="006C4F89" w:rsidRPr="006C4F89" w:rsidRDefault="006C4F89" w:rsidP="006C4F89">
      <w:pPr>
        <w:jc w:val="both"/>
      </w:pPr>
      <w:r w:rsidRPr="006C4F89">
        <w:t xml:space="preserve">The evolution of native title in Australia marks a significant shift in how Indigenous rights are legally recognized. Starting with the rejection of terra nullius in Mabo, followed by the recognition of coexistence in Wik, and the evidentiary difficulties highlighted in Yorta </w:t>
      </w:r>
      <w:proofErr w:type="spellStart"/>
      <w:r w:rsidRPr="006C4F89">
        <w:t>Yorta</w:t>
      </w:r>
      <w:proofErr w:type="spellEnd"/>
      <w:r w:rsidRPr="006C4F89">
        <w:t>, these cases demonstrate a complex and sometimes contradictory legal framework.</w:t>
      </w:r>
    </w:p>
    <w:p w14:paraId="371BD266" w14:textId="77777777" w:rsidR="006C4F89" w:rsidRPr="006C4F89" w:rsidRDefault="006C4F89" w:rsidP="006C4F89">
      <w:pPr>
        <w:jc w:val="both"/>
      </w:pPr>
      <w:r w:rsidRPr="006C4F89">
        <w:t>While native title provides important symbolic and practical recognition, its limitations reveal the need for ongoing reform. Legal systems must better address the lasting impacts of colonisation and support Indigenous peoples in reclaiming their land, dignity, and sovereignty. True reconciliation requires sustained commitment across legal, political, and social spheres, grounded in justice and fairness.</w:t>
      </w:r>
    </w:p>
    <w:p w14:paraId="41635A16" w14:textId="77777777" w:rsidR="006C4F89" w:rsidRPr="006C4F89" w:rsidRDefault="006C4F89" w:rsidP="006C4F89">
      <w:pPr>
        <w:jc w:val="both"/>
      </w:pPr>
      <w:r w:rsidRPr="006C4F89">
        <w:t xml:space="preserve">Moreover, addressing native title effectively calls for more than legal changes—it demands genuine partnerships with Indigenous communities. This involves respecting cultural diversity, promoting Indigenous self-determination, and ensuring that land rights </w:t>
      </w:r>
      <w:proofErr w:type="gramStart"/>
      <w:r w:rsidRPr="006C4F89">
        <w:t>lead</w:t>
      </w:r>
      <w:proofErr w:type="gramEnd"/>
      <w:r w:rsidRPr="006C4F89">
        <w:t xml:space="preserve"> to tangible social and economic improvements. Only through such comprehensive efforts can Australia move beyond legal recognition toward real empowerment, healing, and the restoration of Indigenous peoples’ rightful place in the nation’s identity.</w:t>
      </w:r>
    </w:p>
    <w:p w14:paraId="5C636582" w14:textId="77777777" w:rsidR="00D06E79" w:rsidRPr="00D06E79" w:rsidRDefault="00000000" w:rsidP="00D06E79">
      <w:r>
        <w:pict w14:anchorId="2BB4D4F6">
          <v:rect id="_x0000_i1037" style="width:0;height:1.5pt" o:hralign="center" o:hrstd="t" o:hr="t" fillcolor="#a0a0a0" stroked="f"/>
        </w:pict>
      </w:r>
    </w:p>
    <w:p w14:paraId="6C3A229C" w14:textId="77777777" w:rsidR="00D06E79" w:rsidRPr="00D06E79" w:rsidRDefault="00D06E79" w:rsidP="00D06E79">
      <w:pPr>
        <w:rPr>
          <w:b/>
          <w:bCs/>
        </w:rPr>
      </w:pPr>
      <w:r w:rsidRPr="00D06E79">
        <w:rPr>
          <w:b/>
          <w:bCs/>
        </w:rPr>
        <w:t>References</w:t>
      </w:r>
    </w:p>
    <w:p w14:paraId="0D4EBA94" w14:textId="77777777" w:rsidR="00D06E79" w:rsidRPr="00D06E79" w:rsidRDefault="00D06E79" w:rsidP="00D06E79">
      <w:pPr>
        <w:numPr>
          <w:ilvl w:val="0"/>
          <w:numId w:val="15"/>
        </w:numPr>
      </w:pPr>
      <w:r w:rsidRPr="00D06E79">
        <w:t xml:space="preserve">Australian Government. (1993). </w:t>
      </w:r>
      <w:r w:rsidRPr="00D06E79">
        <w:rPr>
          <w:i/>
          <w:iCs/>
        </w:rPr>
        <w:t>Native Title Act 1993 (</w:t>
      </w:r>
      <w:proofErr w:type="spellStart"/>
      <w:r w:rsidRPr="00D06E79">
        <w:rPr>
          <w:i/>
          <w:iCs/>
        </w:rPr>
        <w:t>Cth</w:t>
      </w:r>
      <w:proofErr w:type="spellEnd"/>
      <w:r w:rsidRPr="00D06E79">
        <w:rPr>
          <w:i/>
          <w:iCs/>
        </w:rPr>
        <w:t>).</w:t>
      </w:r>
      <w:r w:rsidRPr="00D06E79">
        <w:t xml:space="preserve"> Retrieved from </w:t>
      </w:r>
      <w:hyperlink r:id="rId5" w:history="1">
        <w:r w:rsidRPr="00D06E79">
          <w:rPr>
            <w:rStyle w:val="Hyperlink"/>
          </w:rPr>
          <w:t>https://www.legislation.gov.au/</w:t>
        </w:r>
      </w:hyperlink>
    </w:p>
    <w:p w14:paraId="205875A4" w14:textId="77777777" w:rsidR="00D06E79" w:rsidRPr="00D06E79" w:rsidRDefault="00D06E79" w:rsidP="00D06E79">
      <w:pPr>
        <w:numPr>
          <w:ilvl w:val="0"/>
          <w:numId w:val="15"/>
        </w:numPr>
      </w:pPr>
      <w:r w:rsidRPr="00D06E79">
        <w:t xml:space="preserve">Brennan, S. (2004). </w:t>
      </w:r>
      <w:r w:rsidRPr="00D06E79">
        <w:rPr>
          <w:i/>
          <w:iCs/>
        </w:rPr>
        <w:t>Native Title in Australia</w:t>
      </w:r>
      <w:r w:rsidRPr="00D06E79">
        <w:t>. Sydney: LexisNexis Butterworths.</w:t>
      </w:r>
    </w:p>
    <w:p w14:paraId="7CA5DF0E" w14:textId="77777777" w:rsidR="00D06E79" w:rsidRPr="00D06E79" w:rsidRDefault="00D06E79" w:rsidP="00D06E79">
      <w:pPr>
        <w:numPr>
          <w:ilvl w:val="0"/>
          <w:numId w:val="15"/>
        </w:numPr>
      </w:pPr>
      <w:r w:rsidRPr="00D06E79">
        <w:t xml:space="preserve">High Court of Australia. (1992). </w:t>
      </w:r>
      <w:r w:rsidRPr="00D06E79">
        <w:rPr>
          <w:i/>
          <w:iCs/>
        </w:rPr>
        <w:t>Mabo v Queensland (No 2)</w:t>
      </w:r>
      <w:r w:rsidRPr="00D06E79">
        <w:t>, 175 CLR 1.</w:t>
      </w:r>
    </w:p>
    <w:p w14:paraId="026B0B0F" w14:textId="77777777" w:rsidR="00D06E79" w:rsidRPr="00D06E79" w:rsidRDefault="00D06E79" w:rsidP="00D06E79">
      <w:pPr>
        <w:numPr>
          <w:ilvl w:val="0"/>
          <w:numId w:val="15"/>
        </w:numPr>
      </w:pPr>
      <w:r w:rsidRPr="00D06E79">
        <w:t xml:space="preserve">High Court of Australia. (1996). </w:t>
      </w:r>
      <w:r w:rsidRPr="00D06E79">
        <w:rPr>
          <w:i/>
          <w:iCs/>
        </w:rPr>
        <w:t>Wik Peoples v Queensland</w:t>
      </w:r>
      <w:r w:rsidRPr="00D06E79">
        <w:t>, 187 CLR 1.</w:t>
      </w:r>
    </w:p>
    <w:p w14:paraId="5F93F25F" w14:textId="77777777" w:rsidR="00D06E79" w:rsidRPr="00D06E79" w:rsidRDefault="00D06E79" w:rsidP="00D06E79">
      <w:pPr>
        <w:numPr>
          <w:ilvl w:val="0"/>
          <w:numId w:val="15"/>
        </w:numPr>
      </w:pPr>
      <w:r w:rsidRPr="00D06E79">
        <w:t xml:space="preserve">High Court of Australia. (2002). </w:t>
      </w:r>
      <w:r w:rsidRPr="00D06E79">
        <w:rPr>
          <w:i/>
          <w:iCs/>
        </w:rPr>
        <w:t xml:space="preserve">Yorta </w:t>
      </w:r>
      <w:proofErr w:type="spellStart"/>
      <w:r w:rsidRPr="00D06E79">
        <w:rPr>
          <w:i/>
          <w:iCs/>
        </w:rPr>
        <w:t>Yorta</w:t>
      </w:r>
      <w:proofErr w:type="spellEnd"/>
      <w:r w:rsidRPr="00D06E79">
        <w:rPr>
          <w:i/>
          <w:iCs/>
        </w:rPr>
        <w:t xml:space="preserve"> v Victoria</w:t>
      </w:r>
      <w:r w:rsidRPr="00D06E79">
        <w:t>, 214 CLR 422.</w:t>
      </w:r>
    </w:p>
    <w:p w14:paraId="49C621FF" w14:textId="77777777" w:rsidR="00D06E79" w:rsidRPr="00D06E79" w:rsidRDefault="00D06E79" w:rsidP="00D06E79">
      <w:pPr>
        <w:numPr>
          <w:ilvl w:val="0"/>
          <w:numId w:val="15"/>
        </w:numPr>
      </w:pPr>
      <w:proofErr w:type="spellStart"/>
      <w:r w:rsidRPr="00D06E79">
        <w:t>Strelein</w:t>
      </w:r>
      <w:proofErr w:type="spellEnd"/>
      <w:r w:rsidRPr="00D06E79">
        <w:t xml:space="preserve">, L. (2006). </w:t>
      </w:r>
      <w:r w:rsidRPr="00D06E79">
        <w:rPr>
          <w:i/>
          <w:iCs/>
        </w:rPr>
        <w:t>Compromised Jurisprudence: Native Title Cases Since Mabo</w:t>
      </w:r>
      <w:r w:rsidRPr="00D06E79">
        <w:t>. Canberra: Aboriginal Studies Press.</w:t>
      </w:r>
    </w:p>
    <w:p w14:paraId="51130B4D" w14:textId="77777777" w:rsidR="00D06E79" w:rsidRPr="00D06E79" w:rsidRDefault="00D06E79" w:rsidP="00D06E79">
      <w:pPr>
        <w:numPr>
          <w:ilvl w:val="0"/>
          <w:numId w:val="15"/>
        </w:numPr>
      </w:pPr>
      <w:r w:rsidRPr="00D06E79">
        <w:t xml:space="preserve">Tehan, M. (2003). A Hope Disillusioned, an Opportunity Lost? </w:t>
      </w:r>
      <w:r w:rsidRPr="00D06E79">
        <w:rPr>
          <w:i/>
          <w:iCs/>
        </w:rPr>
        <w:t>Melbourne University Law Review</w:t>
      </w:r>
      <w:r w:rsidRPr="00D06E79">
        <w:t>, 27(2), 523–565.</w:t>
      </w:r>
    </w:p>
    <w:p w14:paraId="28FC5482" w14:textId="79D2B917" w:rsidR="00357847" w:rsidRPr="00D06E79" w:rsidRDefault="00D06E79" w:rsidP="00D06E79">
      <w:pPr>
        <w:numPr>
          <w:ilvl w:val="0"/>
          <w:numId w:val="15"/>
        </w:numPr>
      </w:pPr>
      <w:r w:rsidRPr="00D06E79">
        <w:t xml:space="preserve">Watson, I. (2009). Sovereign Spaces, Caring for Country, and the Homeless Position of Aboriginal Peoples. </w:t>
      </w:r>
      <w:r w:rsidRPr="00D06E79">
        <w:rPr>
          <w:i/>
          <w:iCs/>
        </w:rPr>
        <w:t>South Atlantic Quarterly</w:t>
      </w:r>
      <w:r w:rsidRPr="00D06E79">
        <w:t>, 108(1), 27–51.</w:t>
      </w:r>
    </w:p>
    <w:sectPr w:rsidR="00357847" w:rsidRPr="00D06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36D59"/>
    <w:multiLevelType w:val="multilevel"/>
    <w:tmpl w:val="5F80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94A20"/>
    <w:multiLevelType w:val="multilevel"/>
    <w:tmpl w:val="04E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5B6"/>
    <w:multiLevelType w:val="multilevel"/>
    <w:tmpl w:val="2EB2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249D6"/>
    <w:multiLevelType w:val="multilevel"/>
    <w:tmpl w:val="B89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E1093"/>
    <w:multiLevelType w:val="multilevel"/>
    <w:tmpl w:val="212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002D2"/>
    <w:multiLevelType w:val="multilevel"/>
    <w:tmpl w:val="9E1E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66374"/>
    <w:multiLevelType w:val="multilevel"/>
    <w:tmpl w:val="5CC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87814"/>
    <w:multiLevelType w:val="multilevel"/>
    <w:tmpl w:val="BEF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D7F6B"/>
    <w:multiLevelType w:val="multilevel"/>
    <w:tmpl w:val="134C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00200"/>
    <w:multiLevelType w:val="multilevel"/>
    <w:tmpl w:val="F71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B3D91"/>
    <w:multiLevelType w:val="multilevel"/>
    <w:tmpl w:val="374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72CC9"/>
    <w:multiLevelType w:val="multilevel"/>
    <w:tmpl w:val="D1F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D4099"/>
    <w:multiLevelType w:val="multilevel"/>
    <w:tmpl w:val="CF14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654AE"/>
    <w:multiLevelType w:val="multilevel"/>
    <w:tmpl w:val="A2C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85E14"/>
    <w:multiLevelType w:val="multilevel"/>
    <w:tmpl w:val="C82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72940"/>
    <w:multiLevelType w:val="multilevel"/>
    <w:tmpl w:val="514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3594E"/>
    <w:multiLevelType w:val="multilevel"/>
    <w:tmpl w:val="9B32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274C6"/>
    <w:multiLevelType w:val="multilevel"/>
    <w:tmpl w:val="66E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D5AB3"/>
    <w:multiLevelType w:val="multilevel"/>
    <w:tmpl w:val="929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73D40"/>
    <w:multiLevelType w:val="multilevel"/>
    <w:tmpl w:val="17F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718CB"/>
    <w:multiLevelType w:val="multilevel"/>
    <w:tmpl w:val="ABAC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680961">
    <w:abstractNumId w:val="2"/>
  </w:num>
  <w:num w:numId="2" w16cid:durableId="1908147856">
    <w:abstractNumId w:val="17"/>
  </w:num>
  <w:num w:numId="3" w16cid:durableId="1172453609">
    <w:abstractNumId w:val="15"/>
  </w:num>
  <w:num w:numId="4" w16cid:durableId="170921710">
    <w:abstractNumId w:val="0"/>
  </w:num>
  <w:num w:numId="5" w16cid:durableId="1442650796">
    <w:abstractNumId w:val="6"/>
  </w:num>
  <w:num w:numId="6" w16cid:durableId="1978992127">
    <w:abstractNumId w:val="19"/>
  </w:num>
  <w:num w:numId="7" w16cid:durableId="481387855">
    <w:abstractNumId w:val="7"/>
  </w:num>
  <w:num w:numId="8" w16cid:durableId="120458983">
    <w:abstractNumId w:val="8"/>
  </w:num>
  <w:num w:numId="9" w16cid:durableId="1372606254">
    <w:abstractNumId w:val="3"/>
  </w:num>
  <w:num w:numId="10" w16cid:durableId="1703164146">
    <w:abstractNumId w:val="13"/>
  </w:num>
  <w:num w:numId="11" w16cid:durableId="2040621091">
    <w:abstractNumId w:val="14"/>
  </w:num>
  <w:num w:numId="12" w16cid:durableId="1214270514">
    <w:abstractNumId w:val="12"/>
  </w:num>
  <w:num w:numId="13" w16cid:durableId="511914339">
    <w:abstractNumId w:val="18"/>
  </w:num>
  <w:num w:numId="14" w16cid:durableId="1964191382">
    <w:abstractNumId w:val="16"/>
  </w:num>
  <w:num w:numId="15" w16cid:durableId="828519838">
    <w:abstractNumId w:val="11"/>
  </w:num>
  <w:num w:numId="16" w16cid:durableId="598685782">
    <w:abstractNumId w:val="9"/>
  </w:num>
  <w:num w:numId="17" w16cid:durableId="1349982661">
    <w:abstractNumId w:val="5"/>
  </w:num>
  <w:num w:numId="18" w16cid:durableId="1680421500">
    <w:abstractNumId w:val="1"/>
  </w:num>
  <w:num w:numId="19" w16cid:durableId="1162430065">
    <w:abstractNumId w:val="10"/>
  </w:num>
  <w:num w:numId="20" w16cid:durableId="2015301024">
    <w:abstractNumId w:val="4"/>
  </w:num>
  <w:num w:numId="21" w16cid:durableId="8566978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79"/>
    <w:rsid w:val="00357847"/>
    <w:rsid w:val="003C5A7F"/>
    <w:rsid w:val="00433B48"/>
    <w:rsid w:val="004C56D7"/>
    <w:rsid w:val="005F5BA3"/>
    <w:rsid w:val="006B6F9C"/>
    <w:rsid w:val="006C4F89"/>
    <w:rsid w:val="00A830D8"/>
    <w:rsid w:val="00A8508A"/>
    <w:rsid w:val="00C74301"/>
    <w:rsid w:val="00D06E79"/>
    <w:rsid w:val="00D82685"/>
    <w:rsid w:val="00FA22B0"/>
    <w:rsid w:val="00FB5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A46A"/>
  <w15:chartTrackingRefBased/>
  <w15:docId w15:val="{80C7B987-D890-4F8F-A169-1EB19EE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E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6E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6E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6E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6E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6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E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6E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6E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6E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6E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6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E79"/>
    <w:rPr>
      <w:rFonts w:eastAsiaTheme="majorEastAsia" w:cstheme="majorBidi"/>
      <w:color w:val="272727" w:themeColor="text1" w:themeTint="D8"/>
    </w:rPr>
  </w:style>
  <w:style w:type="paragraph" w:styleId="Title">
    <w:name w:val="Title"/>
    <w:basedOn w:val="Normal"/>
    <w:next w:val="Normal"/>
    <w:link w:val="TitleChar"/>
    <w:uiPriority w:val="10"/>
    <w:qFormat/>
    <w:rsid w:val="00D06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E79"/>
    <w:pPr>
      <w:spacing w:before="160"/>
      <w:jc w:val="center"/>
    </w:pPr>
    <w:rPr>
      <w:i/>
      <w:iCs/>
      <w:color w:val="404040" w:themeColor="text1" w:themeTint="BF"/>
    </w:rPr>
  </w:style>
  <w:style w:type="character" w:customStyle="1" w:styleId="QuoteChar">
    <w:name w:val="Quote Char"/>
    <w:basedOn w:val="DefaultParagraphFont"/>
    <w:link w:val="Quote"/>
    <w:uiPriority w:val="29"/>
    <w:rsid w:val="00D06E79"/>
    <w:rPr>
      <w:i/>
      <w:iCs/>
      <w:color w:val="404040" w:themeColor="text1" w:themeTint="BF"/>
    </w:rPr>
  </w:style>
  <w:style w:type="paragraph" w:styleId="ListParagraph">
    <w:name w:val="List Paragraph"/>
    <w:basedOn w:val="Normal"/>
    <w:uiPriority w:val="34"/>
    <w:qFormat/>
    <w:rsid w:val="00D06E79"/>
    <w:pPr>
      <w:ind w:left="720"/>
      <w:contextualSpacing/>
    </w:pPr>
  </w:style>
  <w:style w:type="character" w:styleId="IntenseEmphasis">
    <w:name w:val="Intense Emphasis"/>
    <w:basedOn w:val="DefaultParagraphFont"/>
    <w:uiPriority w:val="21"/>
    <w:qFormat/>
    <w:rsid w:val="00D06E79"/>
    <w:rPr>
      <w:i/>
      <w:iCs/>
      <w:color w:val="2E74B5" w:themeColor="accent1" w:themeShade="BF"/>
    </w:rPr>
  </w:style>
  <w:style w:type="paragraph" w:styleId="IntenseQuote">
    <w:name w:val="Intense Quote"/>
    <w:basedOn w:val="Normal"/>
    <w:next w:val="Normal"/>
    <w:link w:val="IntenseQuoteChar"/>
    <w:uiPriority w:val="30"/>
    <w:qFormat/>
    <w:rsid w:val="00D06E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6E79"/>
    <w:rPr>
      <w:i/>
      <w:iCs/>
      <w:color w:val="2E74B5" w:themeColor="accent1" w:themeShade="BF"/>
    </w:rPr>
  </w:style>
  <w:style w:type="character" w:styleId="IntenseReference">
    <w:name w:val="Intense Reference"/>
    <w:basedOn w:val="DefaultParagraphFont"/>
    <w:uiPriority w:val="32"/>
    <w:qFormat/>
    <w:rsid w:val="00D06E79"/>
    <w:rPr>
      <w:b/>
      <w:bCs/>
      <w:smallCaps/>
      <w:color w:val="2E74B5" w:themeColor="accent1" w:themeShade="BF"/>
      <w:spacing w:val="5"/>
    </w:rPr>
  </w:style>
  <w:style w:type="character" w:styleId="Hyperlink">
    <w:name w:val="Hyperlink"/>
    <w:basedOn w:val="DefaultParagraphFont"/>
    <w:uiPriority w:val="99"/>
    <w:unhideWhenUsed/>
    <w:rsid w:val="00D06E79"/>
    <w:rPr>
      <w:color w:val="0563C1" w:themeColor="hyperlink"/>
      <w:u w:val="single"/>
    </w:rPr>
  </w:style>
  <w:style w:type="character" w:styleId="UnresolvedMention">
    <w:name w:val="Unresolved Mention"/>
    <w:basedOn w:val="DefaultParagraphFont"/>
    <w:uiPriority w:val="99"/>
    <w:semiHidden/>
    <w:unhideWhenUsed/>
    <w:rsid w:val="00D06E79"/>
    <w:rPr>
      <w:color w:val="605E5C"/>
      <w:shd w:val="clear" w:color="auto" w:fill="E1DFDD"/>
    </w:rPr>
  </w:style>
  <w:style w:type="table" w:styleId="TableGrid">
    <w:name w:val="Table Grid"/>
    <w:basedOn w:val="TableNormal"/>
    <w:uiPriority w:val="39"/>
    <w:rsid w:val="00C7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765">
      <w:bodyDiv w:val="1"/>
      <w:marLeft w:val="0"/>
      <w:marRight w:val="0"/>
      <w:marTop w:val="0"/>
      <w:marBottom w:val="0"/>
      <w:divBdr>
        <w:top w:val="none" w:sz="0" w:space="0" w:color="auto"/>
        <w:left w:val="none" w:sz="0" w:space="0" w:color="auto"/>
        <w:bottom w:val="none" w:sz="0" w:space="0" w:color="auto"/>
        <w:right w:val="none" w:sz="0" w:space="0" w:color="auto"/>
      </w:divBdr>
    </w:div>
    <w:div w:id="127281971">
      <w:bodyDiv w:val="1"/>
      <w:marLeft w:val="0"/>
      <w:marRight w:val="0"/>
      <w:marTop w:val="0"/>
      <w:marBottom w:val="0"/>
      <w:divBdr>
        <w:top w:val="none" w:sz="0" w:space="0" w:color="auto"/>
        <w:left w:val="none" w:sz="0" w:space="0" w:color="auto"/>
        <w:bottom w:val="none" w:sz="0" w:space="0" w:color="auto"/>
        <w:right w:val="none" w:sz="0" w:space="0" w:color="auto"/>
      </w:divBdr>
    </w:div>
    <w:div w:id="139543272">
      <w:bodyDiv w:val="1"/>
      <w:marLeft w:val="0"/>
      <w:marRight w:val="0"/>
      <w:marTop w:val="0"/>
      <w:marBottom w:val="0"/>
      <w:divBdr>
        <w:top w:val="none" w:sz="0" w:space="0" w:color="auto"/>
        <w:left w:val="none" w:sz="0" w:space="0" w:color="auto"/>
        <w:bottom w:val="none" w:sz="0" w:space="0" w:color="auto"/>
        <w:right w:val="none" w:sz="0" w:space="0" w:color="auto"/>
      </w:divBdr>
    </w:div>
    <w:div w:id="236062167">
      <w:bodyDiv w:val="1"/>
      <w:marLeft w:val="0"/>
      <w:marRight w:val="0"/>
      <w:marTop w:val="0"/>
      <w:marBottom w:val="0"/>
      <w:divBdr>
        <w:top w:val="none" w:sz="0" w:space="0" w:color="auto"/>
        <w:left w:val="none" w:sz="0" w:space="0" w:color="auto"/>
        <w:bottom w:val="none" w:sz="0" w:space="0" w:color="auto"/>
        <w:right w:val="none" w:sz="0" w:space="0" w:color="auto"/>
      </w:divBdr>
    </w:div>
    <w:div w:id="243416751">
      <w:bodyDiv w:val="1"/>
      <w:marLeft w:val="0"/>
      <w:marRight w:val="0"/>
      <w:marTop w:val="0"/>
      <w:marBottom w:val="0"/>
      <w:divBdr>
        <w:top w:val="none" w:sz="0" w:space="0" w:color="auto"/>
        <w:left w:val="none" w:sz="0" w:space="0" w:color="auto"/>
        <w:bottom w:val="none" w:sz="0" w:space="0" w:color="auto"/>
        <w:right w:val="none" w:sz="0" w:space="0" w:color="auto"/>
      </w:divBdr>
    </w:div>
    <w:div w:id="305860827">
      <w:bodyDiv w:val="1"/>
      <w:marLeft w:val="0"/>
      <w:marRight w:val="0"/>
      <w:marTop w:val="0"/>
      <w:marBottom w:val="0"/>
      <w:divBdr>
        <w:top w:val="none" w:sz="0" w:space="0" w:color="auto"/>
        <w:left w:val="none" w:sz="0" w:space="0" w:color="auto"/>
        <w:bottom w:val="none" w:sz="0" w:space="0" w:color="auto"/>
        <w:right w:val="none" w:sz="0" w:space="0" w:color="auto"/>
      </w:divBdr>
    </w:div>
    <w:div w:id="317345189">
      <w:bodyDiv w:val="1"/>
      <w:marLeft w:val="0"/>
      <w:marRight w:val="0"/>
      <w:marTop w:val="0"/>
      <w:marBottom w:val="0"/>
      <w:divBdr>
        <w:top w:val="none" w:sz="0" w:space="0" w:color="auto"/>
        <w:left w:val="none" w:sz="0" w:space="0" w:color="auto"/>
        <w:bottom w:val="none" w:sz="0" w:space="0" w:color="auto"/>
        <w:right w:val="none" w:sz="0" w:space="0" w:color="auto"/>
      </w:divBdr>
    </w:div>
    <w:div w:id="441537861">
      <w:bodyDiv w:val="1"/>
      <w:marLeft w:val="0"/>
      <w:marRight w:val="0"/>
      <w:marTop w:val="0"/>
      <w:marBottom w:val="0"/>
      <w:divBdr>
        <w:top w:val="none" w:sz="0" w:space="0" w:color="auto"/>
        <w:left w:val="none" w:sz="0" w:space="0" w:color="auto"/>
        <w:bottom w:val="none" w:sz="0" w:space="0" w:color="auto"/>
        <w:right w:val="none" w:sz="0" w:space="0" w:color="auto"/>
      </w:divBdr>
    </w:div>
    <w:div w:id="461732184">
      <w:bodyDiv w:val="1"/>
      <w:marLeft w:val="0"/>
      <w:marRight w:val="0"/>
      <w:marTop w:val="0"/>
      <w:marBottom w:val="0"/>
      <w:divBdr>
        <w:top w:val="none" w:sz="0" w:space="0" w:color="auto"/>
        <w:left w:val="none" w:sz="0" w:space="0" w:color="auto"/>
        <w:bottom w:val="none" w:sz="0" w:space="0" w:color="auto"/>
        <w:right w:val="none" w:sz="0" w:space="0" w:color="auto"/>
      </w:divBdr>
    </w:div>
    <w:div w:id="515928648">
      <w:bodyDiv w:val="1"/>
      <w:marLeft w:val="0"/>
      <w:marRight w:val="0"/>
      <w:marTop w:val="0"/>
      <w:marBottom w:val="0"/>
      <w:divBdr>
        <w:top w:val="none" w:sz="0" w:space="0" w:color="auto"/>
        <w:left w:val="none" w:sz="0" w:space="0" w:color="auto"/>
        <w:bottom w:val="none" w:sz="0" w:space="0" w:color="auto"/>
        <w:right w:val="none" w:sz="0" w:space="0" w:color="auto"/>
      </w:divBdr>
    </w:div>
    <w:div w:id="676618142">
      <w:bodyDiv w:val="1"/>
      <w:marLeft w:val="0"/>
      <w:marRight w:val="0"/>
      <w:marTop w:val="0"/>
      <w:marBottom w:val="0"/>
      <w:divBdr>
        <w:top w:val="none" w:sz="0" w:space="0" w:color="auto"/>
        <w:left w:val="none" w:sz="0" w:space="0" w:color="auto"/>
        <w:bottom w:val="none" w:sz="0" w:space="0" w:color="auto"/>
        <w:right w:val="none" w:sz="0" w:space="0" w:color="auto"/>
      </w:divBdr>
    </w:div>
    <w:div w:id="684869696">
      <w:bodyDiv w:val="1"/>
      <w:marLeft w:val="0"/>
      <w:marRight w:val="0"/>
      <w:marTop w:val="0"/>
      <w:marBottom w:val="0"/>
      <w:divBdr>
        <w:top w:val="none" w:sz="0" w:space="0" w:color="auto"/>
        <w:left w:val="none" w:sz="0" w:space="0" w:color="auto"/>
        <w:bottom w:val="none" w:sz="0" w:space="0" w:color="auto"/>
        <w:right w:val="none" w:sz="0" w:space="0" w:color="auto"/>
      </w:divBdr>
    </w:div>
    <w:div w:id="732191575">
      <w:bodyDiv w:val="1"/>
      <w:marLeft w:val="0"/>
      <w:marRight w:val="0"/>
      <w:marTop w:val="0"/>
      <w:marBottom w:val="0"/>
      <w:divBdr>
        <w:top w:val="none" w:sz="0" w:space="0" w:color="auto"/>
        <w:left w:val="none" w:sz="0" w:space="0" w:color="auto"/>
        <w:bottom w:val="none" w:sz="0" w:space="0" w:color="auto"/>
        <w:right w:val="none" w:sz="0" w:space="0" w:color="auto"/>
      </w:divBdr>
    </w:div>
    <w:div w:id="903222697">
      <w:bodyDiv w:val="1"/>
      <w:marLeft w:val="0"/>
      <w:marRight w:val="0"/>
      <w:marTop w:val="0"/>
      <w:marBottom w:val="0"/>
      <w:divBdr>
        <w:top w:val="none" w:sz="0" w:space="0" w:color="auto"/>
        <w:left w:val="none" w:sz="0" w:space="0" w:color="auto"/>
        <w:bottom w:val="none" w:sz="0" w:space="0" w:color="auto"/>
        <w:right w:val="none" w:sz="0" w:space="0" w:color="auto"/>
      </w:divBdr>
    </w:div>
    <w:div w:id="944701529">
      <w:bodyDiv w:val="1"/>
      <w:marLeft w:val="0"/>
      <w:marRight w:val="0"/>
      <w:marTop w:val="0"/>
      <w:marBottom w:val="0"/>
      <w:divBdr>
        <w:top w:val="none" w:sz="0" w:space="0" w:color="auto"/>
        <w:left w:val="none" w:sz="0" w:space="0" w:color="auto"/>
        <w:bottom w:val="none" w:sz="0" w:space="0" w:color="auto"/>
        <w:right w:val="none" w:sz="0" w:space="0" w:color="auto"/>
      </w:divBdr>
    </w:div>
    <w:div w:id="961763286">
      <w:bodyDiv w:val="1"/>
      <w:marLeft w:val="0"/>
      <w:marRight w:val="0"/>
      <w:marTop w:val="0"/>
      <w:marBottom w:val="0"/>
      <w:divBdr>
        <w:top w:val="none" w:sz="0" w:space="0" w:color="auto"/>
        <w:left w:val="none" w:sz="0" w:space="0" w:color="auto"/>
        <w:bottom w:val="none" w:sz="0" w:space="0" w:color="auto"/>
        <w:right w:val="none" w:sz="0" w:space="0" w:color="auto"/>
      </w:divBdr>
    </w:div>
    <w:div w:id="1062024766">
      <w:bodyDiv w:val="1"/>
      <w:marLeft w:val="0"/>
      <w:marRight w:val="0"/>
      <w:marTop w:val="0"/>
      <w:marBottom w:val="0"/>
      <w:divBdr>
        <w:top w:val="none" w:sz="0" w:space="0" w:color="auto"/>
        <w:left w:val="none" w:sz="0" w:space="0" w:color="auto"/>
        <w:bottom w:val="none" w:sz="0" w:space="0" w:color="auto"/>
        <w:right w:val="none" w:sz="0" w:space="0" w:color="auto"/>
      </w:divBdr>
    </w:div>
    <w:div w:id="1135753537">
      <w:bodyDiv w:val="1"/>
      <w:marLeft w:val="0"/>
      <w:marRight w:val="0"/>
      <w:marTop w:val="0"/>
      <w:marBottom w:val="0"/>
      <w:divBdr>
        <w:top w:val="none" w:sz="0" w:space="0" w:color="auto"/>
        <w:left w:val="none" w:sz="0" w:space="0" w:color="auto"/>
        <w:bottom w:val="none" w:sz="0" w:space="0" w:color="auto"/>
        <w:right w:val="none" w:sz="0" w:space="0" w:color="auto"/>
      </w:divBdr>
    </w:div>
    <w:div w:id="1143810432">
      <w:bodyDiv w:val="1"/>
      <w:marLeft w:val="0"/>
      <w:marRight w:val="0"/>
      <w:marTop w:val="0"/>
      <w:marBottom w:val="0"/>
      <w:divBdr>
        <w:top w:val="none" w:sz="0" w:space="0" w:color="auto"/>
        <w:left w:val="none" w:sz="0" w:space="0" w:color="auto"/>
        <w:bottom w:val="none" w:sz="0" w:space="0" w:color="auto"/>
        <w:right w:val="none" w:sz="0" w:space="0" w:color="auto"/>
      </w:divBdr>
    </w:div>
    <w:div w:id="1248223911">
      <w:bodyDiv w:val="1"/>
      <w:marLeft w:val="0"/>
      <w:marRight w:val="0"/>
      <w:marTop w:val="0"/>
      <w:marBottom w:val="0"/>
      <w:divBdr>
        <w:top w:val="none" w:sz="0" w:space="0" w:color="auto"/>
        <w:left w:val="none" w:sz="0" w:space="0" w:color="auto"/>
        <w:bottom w:val="none" w:sz="0" w:space="0" w:color="auto"/>
        <w:right w:val="none" w:sz="0" w:space="0" w:color="auto"/>
      </w:divBdr>
    </w:div>
    <w:div w:id="1251281437">
      <w:bodyDiv w:val="1"/>
      <w:marLeft w:val="0"/>
      <w:marRight w:val="0"/>
      <w:marTop w:val="0"/>
      <w:marBottom w:val="0"/>
      <w:divBdr>
        <w:top w:val="none" w:sz="0" w:space="0" w:color="auto"/>
        <w:left w:val="none" w:sz="0" w:space="0" w:color="auto"/>
        <w:bottom w:val="none" w:sz="0" w:space="0" w:color="auto"/>
        <w:right w:val="none" w:sz="0" w:space="0" w:color="auto"/>
      </w:divBdr>
    </w:div>
    <w:div w:id="1357002475">
      <w:bodyDiv w:val="1"/>
      <w:marLeft w:val="0"/>
      <w:marRight w:val="0"/>
      <w:marTop w:val="0"/>
      <w:marBottom w:val="0"/>
      <w:divBdr>
        <w:top w:val="none" w:sz="0" w:space="0" w:color="auto"/>
        <w:left w:val="none" w:sz="0" w:space="0" w:color="auto"/>
        <w:bottom w:val="none" w:sz="0" w:space="0" w:color="auto"/>
        <w:right w:val="none" w:sz="0" w:space="0" w:color="auto"/>
      </w:divBdr>
    </w:div>
    <w:div w:id="1381318044">
      <w:bodyDiv w:val="1"/>
      <w:marLeft w:val="0"/>
      <w:marRight w:val="0"/>
      <w:marTop w:val="0"/>
      <w:marBottom w:val="0"/>
      <w:divBdr>
        <w:top w:val="none" w:sz="0" w:space="0" w:color="auto"/>
        <w:left w:val="none" w:sz="0" w:space="0" w:color="auto"/>
        <w:bottom w:val="none" w:sz="0" w:space="0" w:color="auto"/>
        <w:right w:val="none" w:sz="0" w:space="0" w:color="auto"/>
      </w:divBdr>
    </w:div>
    <w:div w:id="1389107302">
      <w:bodyDiv w:val="1"/>
      <w:marLeft w:val="0"/>
      <w:marRight w:val="0"/>
      <w:marTop w:val="0"/>
      <w:marBottom w:val="0"/>
      <w:divBdr>
        <w:top w:val="none" w:sz="0" w:space="0" w:color="auto"/>
        <w:left w:val="none" w:sz="0" w:space="0" w:color="auto"/>
        <w:bottom w:val="none" w:sz="0" w:space="0" w:color="auto"/>
        <w:right w:val="none" w:sz="0" w:space="0" w:color="auto"/>
      </w:divBdr>
    </w:div>
    <w:div w:id="1410158758">
      <w:bodyDiv w:val="1"/>
      <w:marLeft w:val="0"/>
      <w:marRight w:val="0"/>
      <w:marTop w:val="0"/>
      <w:marBottom w:val="0"/>
      <w:divBdr>
        <w:top w:val="none" w:sz="0" w:space="0" w:color="auto"/>
        <w:left w:val="none" w:sz="0" w:space="0" w:color="auto"/>
        <w:bottom w:val="none" w:sz="0" w:space="0" w:color="auto"/>
        <w:right w:val="none" w:sz="0" w:space="0" w:color="auto"/>
      </w:divBdr>
    </w:div>
    <w:div w:id="1430588555">
      <w:bodyDiv w:val="1"/>
      <w:marLeft w:val="0"/>
      <w:marRight w:val="0"/>
      <w:marTop w:val="0"/>
      <w:marBottom w:val="0"/>
      <w:divBdr>
        <w:top w:val="none" w:sz="0" w:space="0" w:color="auto"/>
        <w:left w:val="none" w:sz="0" w:space="0" w:color="auto"/>
        <w:bottom w:val="none" w:sz="0" w:space="0" w:color="auto"/>
        <w:right w:val="none" w:sz="0" w:space="0" w:color="auto"/>
      </w:divBdr>
    </w:div>
    <w:div w:id="1433284594">
      <w:bodyDiv w:val="1"/>
      <w:marLeft w:val="0"/>
      <w:marRight w:val="0"/>
      <w:marTop w:val="0"/>
      <w:marBottom w:val="0"/>
      <w:divBdr>
        <w:top w:val="none" w:sz="0" w:space="0" w:color="auto"/>
        <w:left w:val="none" w:sz="0" w:space="0" w:color="auto"/>
        <w:bottom w:val="none" w:sz="0" w:space="0" w:color="auto"/>
        <w:right w:val="none" w:sz="0" w:space="0" w:color="auto"/>
      </w:divBdr>
    </w:div>
    <w:div w:id="1438714766">
      <w:bodyDiv w:val="1"/>
      <w:marLeft w:val="0"/>
      <w:marRight w:val="0"/>
      <w:marTop w:val="0"/>
      <w:marBottom w:val="0"/>
      <w:divBdr>
        <w:top w:val="none" w:sz="0" w:space="0" w:color="auto"/>
        <w:left w:val="none" w:sz="0" w:space="0" w:color="auto"/>
        <w:bottom w:val="none" w:sz="0" w:space="0" w:color="auto"/>
        <w:right w:val="none" w:sz="0" w:space="0" w:color="auto"/>
      </w:divBdr>
    </w:div>
    <w:div w:id="1541821882">
      <w:bodyDiv w:val="1"/>
      <w:marLeft w:val="0"/>
      <w:marRight w:val="0"/>
      <w:marTop w:val="0"/>
      <w:marBottom w:val="0"/>
      <w:divBdr>
        <w:top w:val="none" w:sz="0" w:space="0" w:color="auto"/>
        <w:left w:val="none" w:sz="0" w:space="0" w:color="auto"/>
        <w:bottom w:val="none" w:sz="0" w:space="0" w:color="auto"/>
        <w:right w:val="none" w:sz="0" w:space="0" w:color="auto"/>
      </w:divBdr>
    </w:div>
    <w:div w:id="1656107948">
      <w:bodyDiv w:val="1"/>
      <w:marLeft w:val="0"/>
      <w:marRight w:val="0"/>
      <w:marTop w:val="0"/>
      <w:marBottom w:val="0"/>
      <w:divBdr>
        <w:top w:val="none" w:sz="0" w:space="0" w:color="auto"/>
        <w:left w:val="none" w:sz="0" w:space="0" w:color="auto"/>
        <w:bottom w:val="none" w:sz="0" w:space="0" w:color="auto"/>
        <w:right w:val="none" w:sz="0" w:space="0" w:color="auto"/>
      </w:divBdr>
    </w:div>
    <w:div w:id="1774980680">
      <w:bodyDiv w:val="1"/>
      <w:marLeft w:val="0"/>
      <w:marRight w:val="0"/>
      <w:marTop w:val="0"/>
      <w:marBottom w:val="0"/>
      <w:divBdr>
        <w:top w:val="none" w:sz="0" w:space="0" w:color="auto"/>
        <w:left w:val="none" w:sz="0" w:space="0" w:color="auto"/>
        <w:bottom w:val="none" w:sz="0" w:space="0" w:color="auto"/>
        <w:right w:val="none" w:sz="0" w:space="0" w:color="auto"/>
      </w:divBdr>
    </w:div>
    <w:div w:id="1836796779">
      <w:bodyDiv w:val="1"/>
      <w:marLeft w:val="0"/>
      <w:marRight w:val="0"/>
      <w:marTop w:val="0"/>
      <w:marBottom w:val="0"/>
      <w:divBdr>
        <w:top w:val="none" w:sz="0" w:space="0" w:color="auto"/>
        <w:left w:val="none" w:sz="0" w:space="0" w:color="auto"/>
        <w:bottom w:val="none" w:sz="0" w:space="0" w:color="auto"/>
        <w:right w:val="none" w:sz="0" w:space="0" w:color="auto"/>
      </w:divBdr>
    </w:div>
    <w:div w:id="1840194024">
      <w:bodyDiv w:val="1"/>
      <w:marLeft w:val="0"/>
      <w:marRight w:val="0"/>
      <w:marTop w:val="0"/>
      <w:marBottom w:val="0"/>
      <w:divBdr>
        <w:top w:val="none" w:sz="0" w:space="0" w:color="auto"/>
        <w:left w:val="none" w:sz="0" w:space="0" w:color="auto"/>
        <w:bottom w:val="none" w:sz="0" w:space="0" w:color="auto"/>
        <w:right w:val="none" w:sz="0" w:space="0" w:color="auto"/>
      </w:divBdr>
    </w:div>
    <w:div w:id="1900507626">
      <w:bodyDiv w:val="1"/>
      <w:marLeft w:val="0"/>
      <w:marRight w:val="0"/>
      <w:marTop w:val="0"/>
      <w:marBottom w:val="0"/>
      <w:divBdr>
        <w:top w:val="none" w:sz="0" w:space="0" w:color="auto"/>
        <w:left w:val="none" w:sz="0" w:space="0" w:color="auto"/>
        <w:bottom w:val="none" w:sz="0" w:space="0" w:color="auto"/>
        <w:right w:val="none" w:sz="0" w:space="0" w:color="auto"/>
      </w:divBdr>
    </w:div>
    <w:div w:id="1963657636">
      <w:bodyDiv w:val="1"/>
      <w:marLeft w:val="0"/>
      <w:marRight w:val="0"/>
      <w:marTop w:val="0"/>
      <w:marBottom w:val="0"/>
      <w:divBdr>
        <w:top w:val="none" w:sz="0" w:space="0" w:color="auto"/>
        <w:left w:val="none" w:sz="0" w:space="0" w:color="auto"/>
        <w:bottom w:val="none" w:sz="0" w:space="0" w:color="auto"/>
        <w:right w:val="none" w:sz="0" w:space="0" w:color="auto"/>
      </w:divBdr>
    </w:div>
    <w:div w:id="20580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islation.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Paighan</dc:creator>
  <cp:keywords/>
  <dc:description/>
  <cp:lastModifiedBy>Vipul Paighan</cp:lastModifiedBy>
  <cp:revision>4</cp:revision>
  <dcterms:created xsi:type="dcterms:W3CDTF">2025-05-18T06:15:00Z</dcterms:created>
  <dcterms:modified xsi:type="dcterms:W3CDTF">2025-05-18T08:57:00Z</dcterms:modified>
</cp:coreProperties>
</file>