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1F5F74"/>
          <w:sz w:val="28"/>
        </w:rPr>
        <w:t>VibeCAD</w:t>
      </w:r>
    </w:p>
    <w:p>
      <w:pPr>
        <w:pStyle w:val="Title"/>
      </w:pPr>
      <w:r>
        <w:t>The Remaining Roadmap—and What It Means for the User Experience</w:t>
      </w:r>
    </w:p>
    <w:p>
      <w:pPr>
        <w:pStyle w:val="Subtitle"/>
      </w:pPr>
      <w:r>
        <w:t>A repository-grounded product and engineering paper</w:t>
      </w:r>
    </w:p>
    <w:tbl>
      <w:tblPr>
        <w:tblW w:type="auto" w:w="0"/>
        <w:jc w:val="center"/>
        <w:tblLayout w:type="fixed"/>
        <w:tblLook w:firstColumn="1" w:firstRow="1" w:lastColumn="0" w:lastRow="0" w:noHBand="0" w:noVBand="1" w:val="04A0"/>
        <w:tblBorders>
          <w:top w:val="single" w:sz="7" w:color="9EB6C1"/>
          <w:left w:val="single" w:sz="7" w:color="9EB6C1"/>
          <w:bottom w:val="single" w:sz="7" w:color="9EB6C1"/>
          <w:right w:val="single" w:sz="7" w:color="9EB6C1"/>
          <w:insideH w:val="single" w:sz="7" w:color="9EB6C1"/>
          <w:insideV w:val="single" w:sz="7" w:color="9EB6C1"/>
        </w:tblBorders>
      </w:tblPr>
      <w:tblGrid>
        <w:gridCol w:w="9706"/>
      </w:tblGrid>
      <w:tr>
        <w:tc>
          <w:tcPr>
            <w:tcW w:type="dxa" w:w="9680"/>
            <w:shd w:fill="E7F0F3"/>
          </w:tcPr>
          <w:p>
            <w:pPr>
              <w:spacing w:after="40"/>
            </w:pPr>
            <w:r>
              <w:rPr>
                <w:b/>
                <w:color w:val="17324D"/>
              </w:rPr>
              <w:t xml:space="preserve">Central proposition  </w:t>
            </w:r>
            <w:r>
              <w:t>The remaining work is not simply “more CAD.” It is the work required to make AI-assisted engineering feel direct and powerful while keeping authorship, reversibility, evidence, provenance, and the limits of every claim visible to the user.</w:t>
            </w:r>
          </w:p>
        </w:tc>
      </w:tr>
    </w:tbl>
    <w:p>
      <w:pPr>
        <w:spacing w:after="0"/>
      </w:pPr>
    </w:p>
    <w:p>
      <w:pPr>
        <w:spacing w:before="360"/>
      </w:pPr>
      <w:r>
        <w:rPr>
          <w:i/>
        </w:rPr>
        <w:t>Prepared from the canonical governed-engineering roadmap, the Engineering Experience specification, the VibeCADAero roadmap and recovery package, and the approved 50-slice CAD-honesty plan.</w:t>
      </w:r>
    </w:p>
    <w:p>
      <w:r>
        <w:rPr>
          <w:i/>
        </w:rPr>
        <w:t>Status basis: repository branch roadmap/engineering-scoped-view-presets at c0157d9a, with two pre-existing modified files left untouched.</w:t>
      </w:r>
    </w:p>
    <w:p>
      <w:r>
        <w:br w:type="page"/>
      </w:r>
    </w:p>
    <w:p>
      <w:pPr>
        <w:pStyle w:val="Heading1"/>
      </w:pPr>
      <w:r>
        <w:t>Executive summary</w:t>
      </w:r>
    </w:p>
    <w:p>
      <w:r>
        <w:t>VibeCAD is already past the stage of proving that an AI can call CAD functions. The repository contains substantial foundations: a Native dispatcher and receipt model, preview/apply support for multiple modeling families, domain-neutral Analysis contracts, durable metadata and artifact primitives, a workflow-DAG core, optimization records, Assembly identities and interfaces, bounded joint proposals, early sequencing and service-plan contracts, and the first Engineering Experience projections. The remaining roadmap is about joining those foundations into a trustworthy product experience that survives real use: restarts, stale geometry, failed providers, ambiguous assemblies, long-running solvers, export boundaries, and human changes of mind.</w:t>
      </w:r>
    </w:p>
    <w:p>
      <w:r>
        <w:t>For the user, the desired transformation is from a collection of powerful but uneven tools into one coherent engineering conversation. A user should be able to ask for a model change, inspect a bounded preview, understand exactly what will change, apply or reject it, launch analysis against an exact revision, leave and return, compare results and alternatives, and follow every claim back to its source. The interface should remain calm when evidence is incomplete: “not solved,” “stale,” “indeterminate,” and “not qualified” are useful product states, not embarrassing errors to hide.</w:t>
      </w:r>
    </w:p>
    <w:p>
      <w:r>
        <w:t>The roadmap therefore advances four user-facing promises at once:</w:t>
      </w:r>
    </w:p>
    <w:p>
      <w:pPr>
        <w:pStyle w:val="ListBullet"/>
        <w:spacing w:after="60"/>
      </w:pPr>
      <w:r>
        <w:t>Creative velocity: natural-language and direct manipulation share the same native authoring kernel instead of producing disconnected geometry.</w:t>
      </w:r>
    </w:p>
    <w:p>
      <w:pPr>
        <w:pStyle w:val="ListBullet"/>
        <w:spacing w:after="60"/>
      </w:pPr>
      <w:r>
        <w:t>Control: consequential changes are previewed, remain revision-bound, and are applied once through the authoritative owner.</w:t>
      </w:r>
    </w:p>
    <w:p>
      <w:pPr>
        <w:pStyle w:val="ListBullet"/>
        <w:spacing w:after="60"/>
      </w:pPr>
      <w:r>
        <w:t>Continuity: analysis, workflows, optimization, and remote jobs persist across crashes and restarts without losing identity or duplicating publication.</w:t>
      </w:r>
    </w:p>
    <w:p>
      <w:pPr>
        <w:pStyle w:val="ListBullet"/>
        <w:spacing w:after="60"/>
      </w:pPr>
      <w:r>
        <w:t>Trust: results expose what ran, what was checked, whether the source is current, what was published, and the maximum claim the evidence supports.</w:t>
      </w:r>
    </w:p>
    <w:p>
      <w:r>
        <w:t>The recommended sequence is dependency-driven. First close durable Analysis and workflow acceptance, then finish the Native preview families and controls, then make the Engineering Experience shell real across installed builds. Remote execution, Manufacture, Assembly planning, Robot handoff, and advanced Aero follow only when their prerequisites can preserve identity and evidence end to end. This sequencing is not bureaucratic overhead: it prevents the interface from teaching users to trust results that the system cannot yet defend.</w:t>
      </w:r>
    </w:p>
    <w:p>
      <w:pPr>
        <w:pStyle w:val="Heading2"/>
      </w:pPr>
      <w:r>
        <w:t>Strategic posture: build the definitive VibeCAD product</w:t>
      </w:r>
    </w:p>
    <w:p>
      <w:r>
        <w:t>This paper treats VibeCAD as an intentional product fork, not as a temporary patch queue whose success depends on upstream acceptance. The governing question is therefore not “what is easiest for another project to merge?” It is “what makes our installed VibeCAD experience the most coherent, capable, trustworthy, and maintainable version of the product?” Upstream projects may adopt individual changes if they find them valuable, but their merge appetite is not a product requirement and should not dictate VibeCAD’s architecture, interface, release sequence, or definition of done.</w:t>
      </w:r>
    </w:p>
    <w:p>
      <w:r>
        <w:t>That posture changes execution in several important ways:</w:t>
      </w:r>
    </w:p>
    <w:p>
      <w:pPr>
        <w:pStyle w:val="ListBullet"/>
        <w:spacing w:after="60"/>
      </w:pPr>
      <w:r>
        <w:t>Optimize for one coherent product architecture across CAD, Analysis, Aero, Manufacture, Assembly, Robot, automation, and the Engineering Experience—not for artificially isolated patches designed around an external reviewer’s preferred scope.</w:t>
      </w:r>
    </w:p>
    <w:p>
      <w:pPr>
        <w:pStyle w:val="ListBullet"/>
        <w:spacing w:after="60"/>
      </w:pPr>
      <w:r>
        <w:t>Keep compatibility where it preserves user data, workflows, ecosystem access, and maintainability. Do not preserve upstream constraints merely to make hypothetical cherry-picks easier.</w:t>
      </w:r>
    </w:p>
    <w:p>
      <w:pPr>
        <w:pStyle w:val="ListBullet"/>
        <w:spacing w:after="60"/>
      </w:pPr>
      <w:r>
        <w:t>Allow coordinated cross-layer releases when the user experience genuinely requires contracts, persistence, UI, packaging, migration, and documentation to land together. Internal commits should remain reviewable, but the shipped unit is the complete experience.</w:t>
      </w:r>
    </w:p>
    <w:p>
      <w:pPr>
        <w:pStyle w:val="ListBullet"/>
        <w:spacing w:after="60"/>
      </w:pPr>
      <w:r>
        <w:t>Treat installed-product behavior, migration safety, recovery, performance, accessibility, and release quality as stronger evidence than whether a change resembles an upstream-sized contribution.</w:t>
      </w:r>
    </w:p>
    <w:p>
      <w:pPr>
        <w:pStyle w:val="ListBullet"/>
        <w:spacing w:after="60"/>
      </w:pPr>
      <w:r>
        <w:t>Maintain a legible divergence ledger and continuously review the upstream repository so its bug fixes, security work, performance improvements, platform support, and useful features can be absorbed or adapted without surrendering our product direction.</w:t>
      </w:r>
    </w:p>
    <w:tbl>
      <w:tblPr>
        <w:tblW w:type="auto" w:w="0"/>
        <w:jc w:val="center"/>
        <w:tblLayout w:type="fixed"/>
        <w:tblLook w:firstColumn="1" w:firstRow="1" w:lastColumn="0" w:lastRow="0" w:noHBand="0" w:noVBand="1" w:val="04A0"/>
        <w:tblBorders>
          <w:top w:val="single" w:sz="7" w:color="9EB6C1"/>
          <w:left w:val="single" w:sz="7" w:color="9EB6C1"/>
          <w:bottom w:val="single" w:sz="7" w:color="9EB6C1"/>
          <w:right w:val="single" w:sz="7" w:color="9EB6C1"/>
          <w:insideH w:val="single" w:sz="7" w:color="9EB6C1"/>
          <w:insideV w:val="single" w:sz="7" w:color="9EB6C1"/>
        </w:tblBorders>
      </w:tblPr>
      <w:tblGrid>
        <w:gridCol w:w="9706"/>
      </w:tblGrid>
      <w:tr>
        <w:tc>
          <w:tcPr>
            <w:tcW w:type="dxa" w:w="9680"/>
            <w:shd w:fill="E7F0F3"/>
          </w:tcPr>
          <w:p>
            <w:pPr>
              <w:spacing w:after="40"/>
            </w:pPr>
            <w:r>
              <w:rPr>
                <w:b/>
                <w:color w:val="17324D"/>
              </w:rPr>
              <w:t xml:space="preserve">Fork principle  </w:t>
            </w:r>
            <w:r>
              <w:t>Upstream compatibility is an input. VibeCAD product quality is the objective. If another project wants a capability, it can merge or adapt it from a well-structured, well-documented implementation.</w:t>
            </w:r>
          </w:p>
        </w:tc>
      </w:tr>
    </w:tbl>
    <w:p>
      <w:pPr>
        <w:spacing w:after="0"/>
      </w:pPr>
    </w:p>
    <w:p>
      <w:r>
        <w:t>This is a two-way relationship, not a one-time fork. Upstream remains an active source of engineering value. Our version should track upstream continuously, classify incoming changes by benefit and integration risk, and incorporate the strongest work on a deliberate cadence. The fork earns independence by making better product decisions, not by ignoring valuable work done elsewhere.</w:t>
      </w:r>
    </w:p>
    <w:p>
      <w:pPr>
        <w:pStyle w:val="Heading1"/>
      </w:pPr>
      <w:r>
        <w:t>1. The product destination</w:t>
      </w:r>
    </w:p>
    <w:p>
      <w:r>
        <w:t>The repository defines VibeCAD as a governed parametric engineering host. AI may propose, explain, compare, and steer work, but the existing domain owners retain authority. Native FreeCAD/VibeCAD and VibeScript own accepted CAD mutation; Analysis owns detached execution lifecycle; domain adapters own physics and manufacturing meaning; Assembly owns occurrences, joints, placements, and mechanism state; Manufacture owns jobs, tools, posts, simulation, and outputs; Robot owns kinematics, trajectories, simulation, and export. The Engineering Experience layer presents those facts without becoming a shadow owner.</w:t>
      </w:r>
    </w:p>
    <w:p>
      <w:r>
        <w:t>This architecture has a direct experiential consequence: users should not need to understand the internal owner map, but they should feel its benefits. The same request should behave consistently whether it begins in the ribbon, the in-app assistant, or Grok Bot. A preview should mean preview everywhere. A stale result should never quietly attach to a new design. A remote solver should not choose physics. A comparison view should not secretly rank or publish. Each surface can be expressive because its authority is bounded.</w:t>
      </w:r>
    </w:p>
    <w:tbl>
      <w:tblPr>
        <w:tblW w:type="auto" w:w="0"/>
        <w:jc w:val="center"/>
        <w:tblLayout w:type="fixed"/>
        <w:tblLook w:firstColumn="1" w:firstRow="1" w:lastColumn="0" w:lastRow="0" w:noHBand="0" w:noVBand="1" w:val="04A0"/>
        <w:tblBorders>
          <w:top w:val="single" w:sz="7" w:color="9EB6C1"/>
          <w:left w:val="single" w:sz="7" w:color="9EB6C1"/>
          <w:bottom w:val="single" w:sz="7" w:color="9EB6C1"/>
          <w:right w:val="single" w:sz="7" w:color="9EB6C1"/>
          <w:insideH w:val="single" w:sz="7" w:color="9EB6C1"/>
          <w:insideV w:val="single" w:sz="7" w:color="9EB6C1"/>
        </w:tblBorders>
      </w:tblPr>
      <w:tblGrid>
        <w:gridCol w:w="9706"/>
      </w:tblGrid>
      <w:tr>
        <w:tc>
          <w:tcPr>
            <w:tcW w:type="dxa" w:w="9680"/>
            <w:shd w:fill="EAF2F5"/>
          </w:tcPr>
          <w:p>
            <w:pPr>
              <w:spacing w:after="40"/>
            </w:pPr>
            <w:r>
              <w:rPr>
                <w:b/>
                <w:color w:val="17324D"/>
              </w:rPr>
              <w:t xml:space="preserve">Experience principle  </w:t>
            </w:r>
            <w:r>
              <w:t>Make the safe path feel like the shortest path. Governance should appear as clear choices, useful status, and recoverable continuity—not as modal bureaucracy or vague warnings.</w:t>
            </w:r>
          </w:p>
        </w:tc>
      </w:tr>
    </w:tbl>
    <w:p>
      <w:pPr>
        <w:spacing w:after="0"/>
      </w:pPr>
    </w:p>
    <w:p>
      <w:pPr>
        <w:pStyle w:val="Heading1"/>
      </w:pPr>
      <w:r>
        <w:t>2. What is already present—and why the boundary matters</w:t>
      </w:r>
    </w:p>
    <w:tbl>
      <w:tblPr>
        <w:tblW w:type="auto" w:w="0"/>
        <w:jc w:val="center"/>
        <w:tblLayout w:type="fixed"/>
        <w:tblLook w:firstColumn="1" w:firstRow="1" w:lastColumn="0" w:lastRow="0" w:noHBand="0" w:noVBand="1" w:val="04A0"/>
        <w:tblBorders>
          <w:top w:val="single" w:sz="6" w:color="C7D1DA"/>
          <w:left w:val="single" w:sz="6" w:color="C7D1DA"/>
          <w:bottom w:val="single" w:sz="6" w:color="C7D1DA"/>
          <w:right w:val="single" w:sz="6" w:color="C7D1DA"/>
          <w:insideH w:val="single" w:sz="6" w:color="C7D1DA"/>
          <w:insideV w:val="single" w:sz="6" w:color="C7D1DA"/>
        </w:tblBorders>
      </w:tblPr>
      <w:tblGrid>
        <w:gridCol w:w="2426"/>
        <w:gridCol w:w="2426"/>
        <w:gridCol w:w="2426"/>
        <w:gridCol w:w="2426"/>
      </w:tblGrid>
      <w:tr>
        <w:trPr>
          <w:tblHeader w:val="true"/>
        </w:trPr>
        <w:tc>
          <w:tcPr>
            <w:tcW w:type="dxa" w:w="1500"/>
            <w:shd w:fill="DCE8EE"/>
            <w:vAlign w:val="center"/>
          </w:tcPr>
          <w:p>
            <w:pPr>
              <w:spacing w:after="20"/>
            </w:pPr>
            <w:r>
              <w:rPr>
                <w:b/>
                <w:color w:val="17324D"/>
                <w:sz w:val="18"/>
              </w:rPr>
              <w:t>Foundation</w:t>
            </w:r>
          </w:p>
        </w:tc>
        <w:tc>
          <w:tcPr>
            <w:tcW w:type="dxa" w:w="1500"/>
            <w:shd w:fill="DCE8EE"/>
            <w:vAlign w:val="center"/>
          </w:tcPr>
          <w:p>
            <w:pPr>
              <w:spacing w:after="20"/>
            </w:pPr>
            <w:r>
              <w:rPr>
                <w:b/>
                <w:color w:val="17324D"/>
                <w:sz w:val="18"/>
              </w:rPr>
              <w:t>Repository status</w:t>
            </w:r>
          </w:p>
        </w:tc>
        <w:tc>
          <w:tcPr>
            <w:tcW w:type="dxa" w:w="3400"/>
            <w:shd w:fill="DCE8EE"/>
            <w:vAlign w:val="center"/>
          </w:tcPr>
          <w:p>
            <w:pPr>
              <w:spacing w:after="20"/>
            </w:pPr>
            <w:r>
              <w:rPr>
                <w:b/>
                <w:color w:val="17324D"/>
                <w:sz w:val="18"/>
              </w:rPr>
              <w:t>What the user can reasonably expect today</w:t>
            </w:r>
          </w:p>
        </w:tc>
        <w:tc>
          <w:tcPr>
            <w:tcW w:type="dxa" w:w="3280"/>
            <w:shd w:fill="DCE8EE"/>
            <w:vAlign w:val="center"/>
          </w:tcPr>
          <w:p>
            <w:pPr>
              <w:spacing w:after="20"/>
            </w:pPr>
            <w:r>
              <w:rPr>
                <w:b/>
                <w:color w:val="17324D"/>
                <w:sz w:val="18"/>
              </w:rPr>
              <w:t>What must not yet be implied</w:t>
            </w:r>
          </w:p>
        </w:tc>
      </w:tr>
      <w:tr>
        <w:tc>
          <w:tcPr>
            <w:tcW w:type="dxa" w:w="1500"/>
          </w:tcPr>
          <w:p>
            <w:pPr>
              <w:spacing w:after="20" w:line="252" w:lineRule="auto"/>
            </w:pPr>
            <w:r>
              <w:rPr>
                <w:sz w:val="17"/>
              </w:rPr>
              <w:t>Native control</w:t>
            </w:r>
          </w:p>
        </w:tc>
        <w:tc>
          <w:tcPr>
            <w:tcW w:type="dxa" w:w="1500"/>
          </w:tcPr>
          <w:p>
            <w:pPr>
              <w:spacing w:after="20" w:line="252" w:lineRule="auto"/>
            </w:pPr>
            <w:r>
              <w:rPr>
                <w:sz w:val="17"/>
              </w:rPr>
              <w:t>Substantial foundation</w:t>
            </w:r>
          </w:p>
        </w:tc>
        <w:tc>
          <w:tcPr>
            <w:tcW w:type="dxa" w:w="3400"/>
          </w:tcPr>
          <w:p>
            <w:pPr>
              <w:spacing w:after="20" w:line="252" w:lineRule="auto"/>
            </w:pPr>
            <w:r>
              <w:rPr>
                <w:sz w:val="17"/>
              </w:rPr>
              <w:t>Frozen capability surfaces, receipts, revision checks, held sessions, and multiple preview families.</w:t>
            </w:r>
          </w:p>
        </w:tc>
        <w:tc>
          <w:tcPr>
            <w:tcW w:type="dxa" w:w="3280"/>
          </w:tcPr>
          <w:p>
            <w:pPr>
              <w:spacing w:after="20" w:line="252" w:lineRule="auto"/>
            </w:pPr>
            <w:r>
              <w:rPr>
                <w:sz w:val="17"/>
              </w:rPr>
              <w:t>That every mutation is previewed or that every automation path is governed.</w:t>
            </w:r>
          </w:p>
        </w:tc>
      </w:tr>
      <w:tr>
        <w:tc>
          <w:tcPr>
            <w:tcW w:type="dxa" w:w="1500"/>
            <w:shd w:fill="F6F8FA"/>
          </w:tcPr>
          <w:p>
            <w:pPr>
              <w:spacing w:after="20" w:line="252" w:lineRule="auto"/>
            </w:pPr>
            <w:r>
              <w:rPr>
                <w:sz w:val="17"/>
              </w:rPr>
              <w:t>Analysis host</w:t>
            </w:r>
          </w:p>
        </w:tc>
        <w:tc>
          <w:tcPr>
            <w:tcW w:type="dxa" w:w="1500"/>
            <w:shd w:fill="F6F8FA"/>
          </w:tcPr>
          <w:p>
            <w:pPr>
              <w:spacing w:after="20" w:line="252" w:lineRule="auto"/>
            </w:pPr>
            <w:r>
              <w:rPr>
                <w:sz w:val="17"/>
              </w:rPr>
              <w:t>Partial</w:t>
            </w:r>
          </w:p>
        </w:tc>
        <w:tc>
          <w:tcPr>
            <w:tcW w:type="dxa" w:w="3400"/>
            <w:shd w:fill="F6F8FA"/>
          </w:tcPr>
          <w:p>
            <w:pPr>
              <w:spacing w:after="20" w:line="252" w:lineRule="auto"/>
            </w:pPr>
            <w:r>
              <w:rPr>
                <w:sz w:val="17"/>
              </w:rPr>
              <w:t>Domain-neutral contracts, local provider paths, durable primitives, artifact admission, recovery and publication components.</w:t>
            </w:r>
          </w:p>
        </w:tc>
        <w:tc>
          <w:tcPr>
            <w:tcW w:type="dxa" w:w="3280"/>
            <w:shd w:fill="F6F8FA"/>
          </w:tcPr>
          <w:p>
            <w:pPr>
              <w:spacing w:after="20" w:line="252" w:lineRule="auto"/>
            </w:pPr>
            <w:r>
              <w:rPr>
                <w:sz w:val="17"/>
              </w:rPr>
              <w:t>Complete restart recovery, cross-platform packaging, or real remote reconnect.</w:t>
            </w:r>
          </w:p>
        </w:tc>
      </w:tr>
      <w:tr>
        <w:tc>
          <w:tcPr>
            <w:tcW w:type="dxa" w:w="1500"/>
          </w:tcPr>
          <w:p>
            <w:pPr>
              <w:spacing w:after="20" w:line="252" w:lineRule="auto"/>
            </w:pPr>
            <w:r>
              <w:rPr>
                <w:sz w:val="17"/>
              </w:rPr>
              <w:t>Workflow and optimization</w:t>
            </w:r>
          </w:p>
        </w:tc>
        <w:tc>
          <w:tcPr>
            <w:tcW w:type="dxa" w:w="1500"/>
          </w:tcPr>
          <w:p>
            <w:pPr>
              <w:spacing w:after="20" w:line="252" w:lineRule="auto"/>
            </w:pPr>
            <w:r>
              <w:rPr>
                <w:sz w:val="17"/>
              </w:rPr>
              <w:t>Partial</w:t>
            </w:r>
          </w:p>
        </w:tc>
        <w:tc>
          <w:tcPr>
            <w:tcW w:type="dxa" w:w="3400"/>
          </w:tcPr>
          <w:p>
            <w:pPr>
              <w:spacing w:after="20" w:line="252" w:lineRule="auto"/>
            </w:pPr>
            <w:r>
              <w:rPr>
                <w:sz w:val="17"/>
              </w:rPr>
              <w:t>Bounded DAG and deterministic optimization records with exact provenance projections.</w:t>
            </w:r>
          </w:p>
        </w:tc>
        <w:tc>
          <w:tcPr>
            <w:tcW w:type="dxa" w:w="3280"/>
          </w:tcPr>
          <w:p>
            <w:pPr>
              <w:spacing w:after="20" w:line="252" w:lineRule="auto"/>
            </w:pPr>
            <w:r>
              <w:rPr>
                <w:sz w:val="17"/>
              </w:rPr>
              <w:t>Production domain wiring, installed acceptance, or autonomous mutation.</w:t>
            </w:r>
          </w:p>
        </w:tc>
      </w:tr>
      <w:tr>
        <w:tc>
          <w:tcPr>
            <w:tcW w:type="dxa" w:w="1500"/>
            <w:shd w:fill="F6F8FA"/>
          </w:tcPr>
          <w:p>
            <w:pPr>
              <w:spacing w:after="20" w:line="252" w:lineRule="auto"/>
            </w:pPr>
            <w:r>
              <w:rPr>
                <w:sz w:val="17"/>
              </w:rPr>
              <w:t>Manufacture</w:t>
            </w:r>
          </w:p>
        </w:tc>
        <w:tc>
          <w:tcPr>
            <w:tcW w:type="dxa" w:w="1500"/>
            <w:shd w:fill="F6F8FA"/>
          </w:tcPr>
          <w:p>
            <w:pPr>
              <w:spacing w:after="20" w:line="252" w:lineRule="auto"/>
            </w:pPr>
            <w:r>
              <w:rPr>
                <w:sz w:val="17"/>
              </w:rPr>
              <w:t>Partial integration</w:t>
            </w:r>
          </w:p>
        </w:tc>
        <w:tc>
          <w:tcPr>
            <w:tcW w:type="dxa" w:w="3400"/>
            <w:shd w:fill="F6F8FA"/>
          </w:tcPr>
          <w:p>
            <w:pPr>
              <w:spacing w:after="20" w:line="252" w:lineRule="auto"/>
            </w:pPr>
            <w:r>
              <w:rPr>
                <w:sz w:val="17"/>
              </w:rPr>
              <w:t>Durable records for selected post/simulation seams while native Manufacture remains authoritative.</w:t>
            </w:r>
          </w:p>
        </w:tc>
        <w:tc>
          <w:tcPr>
            <w:tcW w:type="dxa" w:w="3280"/>
            <w:shd w:fill="F6F8FA"/>
          </w:tcPr>
          <w:p>
            <w:pPr>
              <w:spacing w:after="20" w:line="252" w:lineRule="auto"/>
            </w:pPr>
            <w:r>
              <w:rPr>
                <w:sz w:val="17"/>
              </w:rPr>
              <w:t>A posted file is a proven toolpath or a simulated process is manufactured.</w:t>
            </w:r>
          </w:p>
        </w:tc>
      </w:tr>
      <w:tr>
        <w:tc>
          <w:tcPr>
            <w:tcW w:type="dxa" w:w="1500"/>
          </w:tcPr>
          <w:p>
            <w:pPr>
              <w:spacing w:after="20" w:line="252" w:lineRule="auto"/>
            </w:pPr>
            <w:r>
              <w:rPr>
                <w:sz w:val="17"/>
              </w:rPr>
              <w:t>Assembly</w:t>
            </w:r>
          </w:p>
        </w:tc>
        <w:tc>
          <w:tcPr>
            <w:tcW w:type="dxa" w:w="1500"/>
          </w:tcPr>
          <w:p>
            <w:pPr>
              <w:spacing w:after="20" w:line="252" w:lineRule="auto"/>
            </w:pPr>
            <w:r>
              <w:rPr>
                <w:sz w:val="17"/>
              </w:rPr>
              <w:t>Partial foundation</w:t>
            </w:r>
          </w:p>
        </w:tc>
        <w:tc>
          <w:tcPr>
            <w:tcW w:type="dxa" w:w="3400"/>
          </w:tcPr>
          <w:p>
            <w:pPr>
              <w:spacing w:after="20" w:line="252" w:lineRule="auto"/>
            </w:pPr>
            <w:r>
              <w:rPr>
                <w:sz w:val="17"/>
              </w:rPr>
              <w:t>Persisted identities, richer interface contracts, conservative geometry binding, proposals, and early sequence/service contracts.</w:t>
            </w:r>
          </w:p>
        </w:tc>
        <w:tc>
          <w:tcPr>
            <w:tcW w:type="dxa" w:w="3280"/>
          </w:tcPr>
          <w:p>
            <w:pPr>
              <w:spacing w:after="20" w:line="252" w:lineRule="auto"/>
            </w:pPr>
            <w:r>
              <w:rPr>
                <w:sz w:val="17"/>
              </w:rPr>
              <w:t>Complete topology stability, continuous collision/access proof, or shop-feasible sequencing.</w:t>
            </w:r>
          </w:p>
        </w:tc>
      </w:tr>
      <w:tr>
        <w:tc>
          <w:tcPr>
            <w:tcW w:type="dxa" w:w="1500"/>
            <w:shd w:fill="F6F8FA"/>
          </w:tcPr>
          <w:p>
            <w:pPr>
              <w:spacing w:after="20" w:line="252" w:lineRule="auto"/>
            </w:pPr>
            <w:r>
              <w:rPr>
                <w:sz w:val="17"/>
              </w:rPr>
              <w:t>Engineering Experience</w:t>
            </w:r>
          </w:p>
        </w:tc>
        <w:tc>
          <w:tcPr>
            <w:tcW w:type="dxa" w:w="1500"/>
            <w:shd w:fill="F6F8FA"/>
          </w:tcPr>
          <w:p>
            <w:pPr>
              <w:spacing w:after="20" w:line="252" w:lineRule="auto"/>
            </w:pPr>
            <w:r>
              <w:rPr>
                <w:sz w:val="17"/>
              </w:rPr>
              <w:t>Projection foundations</w:t>
            </w:r>
          </w:p>
        </w:tc>
        <w:tc>
          <w:tcPr>
            <w:tcW w:type="dxa" w:w="3400"/>
            <w:shd w:fill="F6F8FA"/>
          </w:tcPr>
          <w:p>
            <w:pPr>
              <w:spacing w:after="20" w:line="252" w:lineRule="auto"/>
            </w:pPr>
            <w:r>
              <w:rPr>
                <w:sz w:val="17"/>
              </w:rPr>
              <w:t>Analyze shell styling, field cards, view-state contracts, durable activity, comparison, and optimization projections.</w:t>
            </w:r>
          </w:p>
        </w:tc>
        <w:tc>
          <w:tcPr>
            <w:tcW w:type="dxa" w:w="3280"/>
            <w:shd w:fill="F6F8FA"/>
          </w:tcPr>
          <w:p>
            <w:pPr>
              <w:spacing w:after="20" w:line="252" w:lineRule="auto"/>
            </w:pPr>
            <w:r>
              <w:rPr>
                <w:sz w:val="17"/>
              </w:rPr>
              <w:t>A finished cross-domain GUI or installed-platform acceptance.</w:t>
            </w:r>
          </w:p>
        </w:tc>
      </w:tr>
      <w:tr>
        <w:tc>
          <w:tcPr>
            <w:tcW w:type="dxa" w:w="1500"/>
          </w:tcPr>
          <w:p>
            <w:pPr>
              <w:spacing w:after="20" w:line="252" w:lineRule="auto"/>
            </w:pPr>
            <w:r>
              <w:rPr>
                <w:sz w:val="17"/>
              </w:rPr>
              <w:t>Aero</w:t>
            </w:r>
          </w:p>
        </w:tc>
        <w:tc>
          <w:tcPr>
            <w:tcW w:type="dxa" w:w="1500"/>
          </w:tcPr>
          <w:p>
            <w:pPr>
              <w:spacing w:after="20" w:line="252" w:lineRule="auto"/>
            </w:pPr>
            <w:r>
              <w:rPr>
                <w:sz w:val="17"/>
              </w:rPr>
              <w:t>Substantial host foundation; advanced body remains</w:t>
            </w:r>
          </w:p>
        </w:tc>
        <w:tc>
          <w:tcPr>
            <w:tcW w:type="dxa" w:w="3400"/>
          </w:tcPr>
          <w:p>
            <w:pPr>
              <w:spacing w:after="20" w:line="252" w:lineRule="auto"/>
            </w:pPr>
            <w:r>
              <w:rPr>
                <w:sz w:val="17"/>
              </w:rPr>
              <w:t>Host runtime wiring and honest lifecycle semantics are partly implemented.</w:t>
            </w:r>
          </w:p>
        </w:tc>
        <w:tc>
          <w:tcPr>
            <w:tcW w:type="dxa" w:w="3280"/>
          </w:tcPr>
          <w:p>
            <w:pPr>
              <w:spacing w:after="20" w:line="252" w:lineRule="auto"/>
            </w:pPr>
            <w:r>
              <w:rPr>
                <w:sz w:val="17"/>
              </w:rPr>
              <w:t>Solver qualification, airworthiness, complete OpenFOAM/FluidX3D integration, or coupled flight physics.</w:t>
            </w:r>
          </w:p>
        </w:tc>
      </w:tr>
    </w:tbl>
    <w:p>
      <w:pPr>
        <w:spacing w:after="0"/>
      </w:pPr>
    </w:p>
    <w:p>
      <w:r>
        <w:t>This boundary is central to the roadmap. “Partial” does not mean conceptual. Real code and tests exist. It means the last mile includes integration and failure modes that users experience directly: saving and reopening, a changed model invalidating a job, a remote worker returning duplicate events, a preview expiring, a solver producing incomplete output, or a comparison losing its common basis. The paper treats those closure gates as product work, not hidden infrastructure.</w:t>
      </w:r>
    </w:p>
    <w:p>
      <w:pPr>
        <w:pStyle w:val="Heading1"/>
      </w:pPr>
      <w:r>
        <w:t>3. Remaining work in the governed engineering core</w:t>
      </w:r>
    </w:p>
    <w:p>
      <w:pPr>
        <w:pStyle w:val="RoadmapItem"/>
      </w:pPr>
      <w:r>
        <w:t>G1 — Complete the common engineering contract</w:t>
      </w:r>
    </w:p>
    <w:p>
      <w:r>
        <w:rPr>
          <w:b/>
        </w:rPr>
        <w:t xml:space="preserve">What remains. </w:t>
      </w:r>
      <w:r>
        <w:t>Finish versioned result, finding, provenance, compatibility, and cross-domain fixture coverage. Domain payloads must remain intact while execution, verification, currentness, and publication are represented as independent axes.</w:t>
      </w:r>
    </w:p>
    <w:p>
      <w:r>
        <w:rPr>
          <w:b/>
        </w:rPr>
        <w:t xml:space="preserve">User experience. </w:t>
      </w:r>
      <w:r>
        <w:t>Every result card can answer four separate questions: Did it run? Was it verified? Is it still current for this design? Was it deliberately published? Users stop decoding ambiguous green checkmarks and can open the exact evidence behind each answer.</w:t>
      </w:r>
    </w:p>
    <w:p>
      <w:r>
        <w:rPr>
          <w:b/>
        </w:rPr>
        <w:t xml:space="preserve">Completion evidence. </w:t>
      </w:r>
      <w:r>
        <w:t>Representative Native, FEM, Aero, Manufacture, Assembly, and Robot records serialize canonically; unknown versions fail clearly; identities cannot be substituted; installed facades and compatibility rules pass.</w:t>
      </w:r>
    </w:p>
    <w:p>
      <w:pPr>
        <w:pStyle w:val="RoadmapItem"/>
      </w:pPr>
      <w:r>
        <w:t>G2 — Close durable Analysis, artifact, recovery, and publication</w:t>
      </w:r>
    </w:p>
    <w:p>
      <w:r>
        <w:rPr>
          <w:b/>
        </w:rPr>
        <w:t xml:space="preserve">What remains. </w:t>
      </w:r>
      <w:r>
        <w:t>Complete schema migrations, application-data discovery, quota and reference integrity, crash recovery, provider reconnect, document rebinding, domain publication wiring, and cross-platform installed acceptance.</w:t>
      </w:r>
    </w:p>
    <w:p>
      <w:r>
        <w:rPr>
          <w:b/>
        </w:rPr>
        <w:t xml:space="preserve">User experience. </w:t>
      </w:r>
      <w:r>
        <w:t>An analysis becomes a durable object rather than a transient progress dialog. Users can close VibeCAD, restart after a crash, recover the same job and artifacts, see whether the source changed, and publish exactly once—or receive a precise refusal. Large result files remain outside the project document without becoming detached mysteries.</w:t>
      </w:r>
    </w:p>
    <w:p>
      <w:r>
        <w:rPr>
          <w:b/>
        </w:rPr>
        <w:t xml:space="preserve">Completion evidence. </w:t>
      </w:r>
      <w:r>
        <w:t>Injected failures at lifecycle and atomic-write boundaries recover truthfully; same-name or replaced documents cannot capture results; artifact descriptors are rechecked; publication is idempotent; supported packages pass Windows, Linux, and macOS acceptance as applicable.</w:t>
      </w:r>
    </w:p>
    <w:p>
      <w:pPr>
        <w:pStyle w:val="RoadmapItem"/>
      </w:pPr>
      <w:r>
        <w:t>G3 — Add one real reconnectable remote provider</w:t>
      </w:r>
    </w:p>
    <w:p>
      <w:r>
        <w:rPr>
          <w:b/>
        </w:rPr>
        <w:t xml:space="preserve">What remains. </w:t>
      </w:r>
      <w:r>
        <w:t>After G2 closes, implement a production provider with credential isolation, package upload, polling or events, cancellation, backoff, reconnect, verified artifact download, and restart behavior.</w:t>
      </w:r>
    </w:p>
    <w:p>
      <w:r>
        <w:rPr>
          <w:b/>
        </w:rPr>
        <w:t xml:space="preserve">User experience. </w:t>
      </w:r>
      <w:r>
        <w:t>Remote compute feels like a continuation of local work. The user can submit a large job, leave, reopen VibeCAD, and reconnect to the same attempt. Network loss becomes a visible recoverable state rather than a duplicate job or vanished result. Fidelity and solver choice remain explicit rather than silently changing to fit availability.</w:t>
      </w:r>
    </w:p>
    <w:p>
      <w:r>
        <w:rPr>
          <w:b/>
        </w:rPr>
        <w:t xml:space="preserve">Completion evidence. </w:t>
      </w:r>
      <w:r>
        <w:t>One supported remote attempt survives a VibeCAD restart, rejects duplicate or out-of-order events, verifies every returned descriptor, handles auth and quota failures, cancels without later publication, and never persists credentials.</w:t>
      </w:r>
    </w:p>
    <w:p>
      <w:pPr>
        <w:pStyle w:val="RoadmapItem"/>
      </w:pPr>
      <w:r>
        <w:t>G4 — Deepen preview evidence where the authority census requires it</w:t>
      </w:r>
    </w:p>
    <w:p>
      <w:r>
        <w:rPr>
          <w:b/>
        </w:rPr>
        <w:t xml:space="preserve">What remains. </w:t>
      </w:r>
      <w:r>
        <w:t>The registry-bound operation census exists; remaining work adds bounded affected-object identities, parameter/dependency diffs, geometry or placement summaries, interference/toolpath/output summaries, and resource estimates for appropriate operations, plus installed-runtime proof.</w:t>
      </w:r>
    </w:p>
    <w:p>
      <w:r>
        <w:rPr>
          <w:b/>
        </w:rPr>
        <w:t xml:space="preserve">User experience. </w:t>
      </w:r>
      <w:r>
        <w:t>Before accepting a consequential action, users see a focused explanation of what will change and what evidence exists. Routine safe actions stay fluid; high-impact actions earn richer review. The product avoids both extremes: previewing everything until it is tedious, or silently applying actions that deserve scrutiny.</w:t>
      </w:r>
    </w:p>
    <w:p>
      <w:r>
        <w:rPr>
          <w:b/>
        </w:rPr>
        <w:t xml:space="preserve">Completion evidence. </w:t>
      </w:r>
      <w:r>
        <w:t>Representative operations from every authority class behave correctly in the installed application; stale, rejected, expired, and applied previews preserve exact identity and rollback boundaries; no preview surface gains mutation authority.</w:t>
      </w:r>
    </w:p>
    <w:p>
      <w:pPr>
        <w:pStyle w:val="RoadmapItem"/>
      </w:pPr>
      <w:r>
        <w:t>G5 — Wire the durable workflow DAG to real engineering work</w:t>
      </w:r>
    </w:p>
    <w:p>
      <w:r>
        <w:rPr>
          <w:b/>
        </w:rPr>
        <w:t xml:space="preserve">What remains. </w:t>
      </w:r>
      <w:r>
        <w:t>Connect the implemented bounded scheduler to real G2 submissions and domain adapters, complete reconnect and failure-policy execution, validate installed application-data behavior, and run a real five-stage FEM workflow.</w:t>
      </w:r>
    </w:p>
    <w:p>
      <w:r>
        <w:rPr>
          <w:b/>
        </w:rPr>
        <w:t xml:space="preserve">User experience. </w:t>
      </w:r>
      <w:r>
        <w:t>Users can see preparation, meshing, solving, post-processing, and verification as one durable workflow. When one node fails, the interface explains what ran, what was skipped, what may retry, and why downstream work is blocked. Restart no longer destroys the chain of evidence.</w:t>
      </w:r>
    </w:p>
    <w:p>
      <w:r>
        <w:rPr>
          <w:b/>
        </w:rPr>
        <w:t xml:space="preserve">Completion evidence. </w:t>
      </w:r>
      <w:r>
        <w:t>A real prepare–mesh–solve–postprocess–verify run survives crashes and retries, never launches from disallowed upstream state, retains node/result provenance, enforces cancellation and publish-once policy, and is discoverable after reinstall/reopen.</w:t>
      </w:r>
    </w:p>
    <w:p>
      <w:pPr>
        <w:pStyle w:val="RoadmapItem"/>
      </w:pPr>
      <w:r>
        <w:t>G6 — Finish governed optimization</w:t>
      </w:r>
    </w:p>
    <w:p>
      <w:r>
        <w:rPr>
          <w:b/>
        </w:rPr>
        <w:t xml:space="preserve">What remains. </w:t>
      </w:r>
      <w:r>
        <w:t>Bind deterministic candidate generation and ranking to real mutation-owner preparation, G5 workflows, a real G3 provider where useful, and installed acceptance. Keep human selection and publication explicit.</w:t>
      </w:r>
    </w:p>
    <w:p>
      <w:r>
        <w:rPr>
          <w:b/>
        </w:rPr>
        <w:t xml:space="preserve">User experience. </w:t>
      </w:r>
      <w:r>
        <w:t>Optimization becomes inspectable exploration, not a magic “best design” button. Users see the search space, budgets, failed and indeterminate candidates, objective and constraint values, and why one candidate ranks above another. Selecting a candidate does not alter accepted CAD until the user authorizes publication.</w:t>
      </w:r>
    </w:p>
    <w:p>
      <w:r>
        <w:rPr>
          <w:b/>
        </w:rPr>
        <w:t xml:space="preserve">Completion evidence. </w:t>
      </w:r>
      <w:r>
        <w:t>An independently enumerable design space produces durable, repeatable ranking after restart; exceptional or failed outcomes remain visible; exact-source selection publishes once through the Native mutation owner; no candidate mutates accepted state early.</w:t>
      </w:r>
    </w:p>
    <w:p>
      <w:pPr>
        <w:pStyle w:val="RoadmapItem"/>
      </w:pPr>
      <w:r>
        <w:t>G7 — Complete Manufacture runtime integration</w:t>
      </w:r>
    </w:p>
    <w:p>
      <w:r>
        <w:rPr>
          <w:b/>
        </w:rPr>
        <w:t xml:space="preserve">What remains. </w:t>
      </w:r>
      <w:r>
        <w:t>Extend exact G2/G5 records beyond the current post and simulation seams, finish A/B compatibility, stale/restart behavior, authoritative installed integration, and verified attachment to current Manufacture Jobs.</w:t>
      </w:r>
    </w:p>
    <w:p>
      <w:r>
        <w:rPr>
          <w:b/>
        </w:rPr>
        <w:t xml:space="preserve">User experience. </w:t>
      </w:r>
      <w:r>
        <w:t>Expensive posts and simulations can run in the background without severing their relationship to the exact Job, tools, stock, operations, and settings. Users can distinguish generated G-code, simulated behavior, and actually proven machining. Stale outputs remain reviewable but cannot masquerade as current.</w:t>
      </w:r>
    </w:p>
    <w:p>
      <w:r>
        <w:rPr>
          <w:b/>
        </w:rPr>
        <w:t xml:space="preserve">Completion evidence. </w:t>
      </w:r>
      <w:r>
        <w:t>A real detached Manufacture task returns verified artifacts, refuses stale attachment, preserves existing native behavior and schemas, and attaches once to the exact current Job with an owner-appropriate claim ceiling.</w:t>
      </w:r>
    </w:p>
    <w:p>
      <w:pPr>
        <w:pStyle w:val="Heading1"/>
      </w:pPr>
      <w:r>
        <w:t>4. Remaining work in Assembly, service, and Robot handoff</w:t>
      </w:r>
    </w:p>
    <w:p>
      <w:pPr>
        <w:pStyle w:val="RoadmapItem"/>
      </w:pPr>
      <w:r>
        <w:t>G8 — Consolidate Assembly identity, interfaces, and validation</w:t>
      </w:r>
    </w:p>
    <w:p>
      <w:r>
        <w:rPr>
          <w:b/>
        </w:rPr>
        <w:t xml:space="preserve">What remains. </w:t>
      </w:r>
      <w:r>
        <w:t>Complete legacy migration, reopen/rename proof, stable graph revision, topology-stable subelement references, broader port/fixture/tool geometry, catalog fit evaluation, continuous motion, flexible bodies, closed loops, contact, and Part Design gates.</w:t>
      </w:r>
    </w:p>
    <w:p>
      <w:r>
        <w:rPr>
          <w:b/>
        </w:rPr>
        <w:t xml:space="preserve">User experience. </w:t>
      </w:r>
      <w:r>
        <w:t>Assemblies become resilient engineering objects rather than label-based collections. Users can rename components, reopen files, replace sources, and still understand what every joint and interface refers to. When geometry changes invalidate a connector, VibeCAD says “stale,” “unbound,” or “indeterminate” instead of guessing.</w:t>
      </w:r>
    </w:p>
    <w:p>
      <w:r>
        <w:rPr>
          <w:b/>
        </w:rPr>
        <w:t xml:space="preserve">Completion evidence. </w:t>
      </w:r>
      <w:r>
        <w:t>Real assemblies preserve identity through save/reopen/rename; incompatible interfaces refuse publication; conservative invalidation is replaced only where stronger stable-reference proof exists; representative rigid, flexible, closed-loop, and contact cases produce bounded verdicts.</w:t>
      </w:r>
    </w:p>
    <w:p>
      <w:pPr>
        <w:pStyle w:val="RoadmapItem"/>
      </w:pPr>
      <w:r>
        <w:t>G9 — Make joint inference reachable and trustworthy</w:t>
      </w:r>
    </w:p>
    <w:p>
      <w:r>
        <w:rPr>
          <w:b/>
        </w:rPr>
        <w:t xml:space="preserve">What remains. </w:t>
      </w:r>
      <w:r>
        <w:t>Finish richer semantic geometry, provider and UI reachability, installed-host acceptance, and adversarial coverage while preserving the existing propose-only, exact-revision model.</w:t>
      </w:r>
    </w:p>
    <w:p>
      <w:r>
        <w:rPr>
          <w:b/>
        </w:rPr>
        <w:t xml:space="preserve">User experience. </w:t>
      </w:r>
      <w:r>
        <w:t>Users can ask how two components might connect and receive ranked, explainable proposals. Ambiguity is surfaced. Rejected proposals can be remembered. Accepting a proposal revalidates the current Assembly and creates the joint exactly once through the ordinary Native path; the assistant never fabricates dimensions or moving members.</w:t>
      </w:r>
    </w:p>
    <w:p>
      <w:r>
        <w:rPr>
          <w:b/>
        </w:rPr>
        <w:t xml:space="preserve">Completion evidence. </w:t>
      </w:r>
      <w:r>
        <w:t>Provider and UI flows consume the same live scenario, refuse stale or unresolved inputs, avoid duplicate couplings, preserve rejection history without faking acceptance, and create supported joints or relations only through a receipt-backed Native operation.</w:t>
      </w:r>
    </w:p>
    <w:p>
      <w:pPr>
        <w:pStyle w:val="RoadmapItem"/>
      </w:pPr>
      <w:r>
        <w:t>G10 — Turn assembly sequencing into verified planning</w:t>
      </w:r>
    </w:p>
    <w:p>
      <w:r>
        <w:rPr>
          <w:b/>
        </w:rPr>
        <w:t xml:space="preserve">What remains. </w:t>
      </w:r>
      <w:r>
        <w:t>Add real insertion and access constraints, fastener and fixture state, native collision and continuous-motion evidence, durable records, and runtime/GUI integration.</w:t>
      </w:r>
    </w:p>
    <w:p>
      <w:r>
        <w:rPr>
          <w:b/>
        </w:rPr>
        <w:t xml:space="preserve">User experience. </w:t>
      </w:r>
      <w:r>
        <w:t>Instead of treating an exploded view as a build plan, VibeCAD presents candidate assembly orders with per-step evidence. The user can see whether a step is collision-checked, merely sampled, inaccessible, unsupported, or indeterminate. Equal alternatives remain visible rather than being collapsed into arbitrary certainty.</w:t>
      </w:r>
    </w:p>
    <w:p>
      <w:r>
        <w:rPr>
          <w:b/>
        </w:rPr>
        <w:t xml:space="preserve">Completion evidence. </w:t>
      </w:r>
      <w:r>
        <w:t>Real Assembly documents produce deterministic sequences from exact current graphs; precedence is enforced; continuous claims require continuous evidence; no-solution and indeterminate cases are first-class; records survive restart.</w:t>
      </w:r>
    </w:p>
    <w:p>
      <w:pPr>
        <w:pStyle w:val="RoadmapItem"/>
      </w:pPr>
      <w:r>
        <w:t>G11 — Complete service and disassembly planning</w:t>
      </w:r>
    </w:p>
    <w:p>
      <w:r>
        <w:rPr>
          <w:b/>
        </w:rPr>
        <w:t xml:space="preserve">What remains. </w:t>
      </w:r>
      <w:r>
        <w:t>Build full removal constraints, fastener/tool/fixture/access and replacement policies, minimum-set search, failed reverse-step verification, durable evidence, and UI integration after G10 matures.</w:t>
      </w:r>
    </w:p>
    <w:p>
      <w:r>
        <w:rPr>
          <w:b/>
        </w:rPr>
        <w:t xml:space="preserve">User experience. </w:t>
      </w:r>
      <w:r>
        <w:t>A user selects a component to replace and receives a bounded removal plan: what must come off first, which tools and fixtures are required, what must be protected, and which assumptions remain unverified. The product does not equate reversing an assembly animation with service feasibility.</w:t>
      </w:r>
    </w:p>
    <w:p>
      <w:r>
        <w:rPr>
          <w:b/>
        </w:rPr>
        <w:t xml:space="preserve">Completion evidence. </w:t>
      </w:r>
      <w:r>
        <w:t>Small independently checkable fixtures yield optimal or equal-optimal plans; protected components remain protected; failed reverse steps are retained; access and tool evidence is explicit; results are presented as bounded plans, not shop certification.</w:t>
      </w:r>
    </w:p>
    <w:p>
      <w:pPr>
        <w:pStyle w:val="RoadmapItem"/>
      </w:pPr>
      <w:r>
        <w:t>G12 — Complete Assembly-step to Robot-task projection</w:t>
      </w:r>
    </w:p>
    <w:p>
      <w:r>
        <w:rPr>
          <w:b/>
        </w:rPr>
        <w:t xml:space="preserve">What remains. </w:t>
      </w:r>
      <w:r>
        <w:t>Finish the versioned handoff into Robot with exact frames, units, tool/TCP, force/torque, tolerance, source traceability, currentness, and unsupported-assumption handling.</w:t>
      </w:r>
    </w:p>
    <w:p>
      <w:r>
        <w:rPr>
          <w:b/>
        </w:rPr>
        <w:t xml:space="preserve">User experience. </w:t>
      </w:r>
      <w:r>
        <w:t>A validated assembly step can seed a robot task without pretending that a task description is a safe trajectory. Users see the handoff boundary: the source step, coordinate frames, tool identity, tolerances, and assumptions, followed by separate Robot-domain reachability, planning, simulation, calibration, and export status.</w:t>
      </w:r>
    </w:p>
    <w:p>
      <w:r>
        <w:rPr>
          <w:b/>
        </w:rPr>
        <w:t xml:space="preserve">Completion evidence. </w:t>
      </w:r>
      <w:r>
        <w:t>A real step projects into a traceable task; Robot accepts or rejects it independently; later trajectory and export remain linked to the source step; missing frames, units, TCP, tolerance, or currentness fail closed.</w:t>
      </w:r>
    </w:p>
    <w:p>
      <w:pPr>
        <w:pStyle w:val="Heading1"/>
      </w:pPr>
      <w:r>
        <w:t>5. The Engineering Experience: turning governed state into a usable product</w:t>
      </w:r>
    </w:p>
    <w:p>
      <w:r>
        <w:t>The X-track is the bridge between correct internals and a coherent daily experience. It does not create a new engineering owner. It reads exact records from the G-track and lets users navigate, compare, inspect, and request owner actions. The remaining work is therefore both visual and semantic: the shell must look unified while refusing to flatten meaningful differences between domains.</w:t>
      </w:r>
    </w:p>
    <w:tbl>
      <w:tblPr>
        <w:tblW w:type="auto" w:w="0"/>
        <w:jc w:val="center"/>
        <w:tblLayout w:type="fixed"/>
        <w:tblLook w:firstColumn="1" w:firstRow="1" w:lastColumn="0" w:lastRow="0" w:noHBand="0" w:noVBand="1" w:val="04A0"/>
        <w:tblBorders>
          <w:top w:val="single" w:sz="6" w:color="C7D1DA"/>
          <w:left w:val="single" w:sz="6" w:color="C7D1DA"/>
          <w:bottom w:val="single" w:sz="6" w:color="C7D1DA"/>
          <w:right w:val="single" w:sz="6" w:color="C7D1DA"/>
          <w:insideH w:val="single" w:sz="6" w:color="C7D1DA"/>
          <w:insideV w:val="single" w:sz="6" w:color="C7D1DA"/>
        </w:tblBorders>
      </w:tblPr>
      <w:tblGrid>
        <w:gridCol w:w="3235"/>
        <w:gridCol w:w="3235"/>
        <w:gridCol w:w="3235"/>
      </w:tblGrid>
      <w:tr>
        <w:trPr>
          <w:tblHeader w:val="true"/>
        </w:trPr>
        <w:tc>
          <w:tcPr>
            <w:tcW w:type="dxa" w:w="1650"/>
            <w:shd w:fill="DCE8EE"/>
            <w:vAlign w:val="center"/>
          </w:tcPr>
          <w:p>
            <w:pPr>
              <w:spacing w:after="20"/>
            </w:pPr>
            <w:r>
              <w:rPr>
                <w:b/>
                <w:color w:val="17324D"/>
                <w:sz w:val="18"/>
              </w:rPr>
              <w:t>Experience slice</w:t>
            </w:r>
          </w:p>
        </w:tc>
        <w:tc>
          <w:tcPr>
            <w:tcW w:type="dxa" w:w="4030"/>
            <w:shd w:fill="DCE8EE"/>
            <w:vAlign w:val="center"/>
          </w:tcPr>
          <w:p>
            <w:pPr>
              <w:spacing w:after="20"/>
            </w:pPr>
            <w:r>
              <w:rPr>
                <w:b/>
                <w:color w:val="17324D"/>
                <w:sz w:val="18"/>
              </w:rPr>
              <w:t>Remaining product work</w:t>
            </w:r>
          </w:p>
        </w:tc>
        <w:tc>
          <w:tcPr>
            <w:tcW w:type="dxa" w:w="4000"/>
            <w:shd w:fill="DCE8EE"/>
            <w:vAlign w:val="center"/>
          </w:tcPr>
          <w:p>
            <w:pPr>
              <w:spacing w:after="20"/>
            </w:pPr>
            <w:r>
              <w:rPr>
                <w:b/>
                <w:color w:val="17324D"/>
                <w:sz w:val="18"/>
              </w:rPr>
              <w:t>User-visible meaning</w:t>
            </w:r>
          </w:p>
        </w:tc>
      </w:tr>
      <w:tr>
        <w:tc>
          <w:tcPr>
            <w:tcW w:type="dxa" w:w="1650"/>
          </w:tcPr>
          <w:p>
            <w:pPr>
              <w:spacing w:after="20" w:line="252" w:lineRule="auto"/>
            </w:pPr>
            <w:r>
              <w:rPr>
                <w:sz w:val="17"/>
              </w:rPr>
              <w:t>X1 / EVS-03–06: results and fields</w:t>
            </w:r>
          </w:p>
        </w:tc>
        <w:tc>
          <w:tcPr>
            <w:tcW w:type="dxa" w:w="4030"/>
          </w:tcPr>
          <w:p>
            <w:pPr>
              <w:spacing w:after="20" w:line="252" w:lineRule="auto"/>
            </w:pPr>
            <w:r>
              <w:rPr>
                <w:sz w:val="17"/>
              </w:rPr>
              <w:t>Attach exact G1 envelopes, finish owner-supported field routing, truthful legends and ranges, deformation/mesh/outline controls, scoped presets, GUI accessibility, and installed acceptance.</w:t>
            </w:r>
          </w:p>
        </w:tc>
        <w:tc>
          <w:tcPr>
            <w:tcW w:type="dxa" w:w="4000"/>
          </w:tcPr>
          <w:p>
            <w:pPr>
              <w:spacing w:after="20" w:line="252" w:lineRule="auto"/>
            </w:pPr>
            <w:r>
              <w:rPr>
                <w:sz w:val="17"/>
              </w:rPr>
              <w:t>A structural or flow result opens in one understandable Analyze workspace. Units, range, association, scale, source, and governance states are visible; unsupported controls are disabled with a reason.</w:t>
            </w:r>
          </w:p>
        </w:tc>
      </w:tr>
      <w:tr>
        <w:tc>
          <w:tcPr>
            <w:tcW w:type="dxa" w:w="1650"/>
            <w:shd w:fill="F6F8FA"/>
          </w:tcPr>
          <w:p>
            <w:pPr>
              <w:spacing w:after="20" w:line="252" w:lineRule="auto"/>
            </w:pPr>
            <w:r>
              <w:rPr>
                <w:sz w:val="17"/>
              </w:rPr>
              <w:t>X2 / EVS-08: durable activity</w:t>
            </w:r>
          </w:p>
        </w:tc>
        <w:tc>
          <w:tcPr>
            <w:tcW w:type="dxa" w:w="4030"/>
            <w:shd w:fill="F6F8FA"/>
          </w:tcPr>
          <w:p>
            <w:pPr>
              <w:spacing w:after="20" w:line="252" w:lineRule="auto"/>
            </w:pPr>
            <w:r>
              <w:rPr>
                <w:sz w:val="17"/>
              </w:rPr>
              <w:t>Finish installed GUI acceptance, restart/staleness states, recovery links, artifact navigation, and authoritative refresh.</w:t>
            </w:r>
          </w:p>
        </w:tc>
        <w:tc>
          <w:tcPr>
            <w:tcW w:type="dxa" w:w="4000"/>
            <w:shd w:fill="F6F8FA"/>
          </w:tcPr>
          <w:p>
            <w:pPr>
              <w:spacing w:after="20" w:line="252" w:lineRule="auto"/>
            </w:pPr>
            <w:r>
              <w:rPr>
                <w:sz w:val="17"/>
              </w:rPr>
              <w:t>The user has a project activity center showing jobs, attempts, artifacts, currentness, restart disposition, and publication without polling or hidden state.</w:t>
            </w:r>
          </w:p>
        </w:tc>
      </w:tr>
      <w:tr>
        <w:tc>
          <w:tcPr>
            <w:tcW w:type="dxa" w:w="1650"/>
          </w:tcPr>
          <w:p>
            <w:pPr>
              <w:spacing w:after="20" w:line="252" w:lineRule="auto"/>
            </w:pPr>
            <w:r>
              <w:rPr>
                <w:sz w:val="17"/>
              </w:rPr>
              <w:t>X3: remote execution</w:t>
            </w:r>
          </w:p>
        </w:tc>
        <w:tc>
          <w:tcPr>
            <w:tcW w:type="dxa" w:w="4030"/>
          </w:tcPr>
          <w:p>
            <w:pPr>
              <w:spacing w:after="20" w:line="252" w:lineRule="auto"/>
            </w:pPr>
            <w:r>
              <w:rPr>
                <w:sz w:val="17"/>
              </w:rPr>
              <w:t>Render real G3 transfer, queue, compute, reconnect, cancel, auth/quota and artifact-verification states.</w:t>
            </w:r>
          </w:p>
        </w:tc>
        <w:tc>
          <w:tcPr>
            <w:tcW w:type="dxa" w:w="4000"/>
          </w:tcPr>
          <w:p>
            <w:pPr>
              <w:spacing w:after="20" w:line="252" w:lineRule="auto"/>
            </w:pPr>
            <w:r>
              <w:rPr>
                <w:sz w:val="17"/>
              </w:rPr>
              <w:t>Remote work has legible progress and recovery. “Connection lost” is not confused with “job failed,” and “provider complete” is not confused with “published.”</w:t>
            </w:r>
          </w:p>
        </w:tc>
      </w:tr>
      <w:tr>
        <w:tc>
          <w:tcPr>
            <w:tcW w:type="dxa" w:w="1650"/>
            <w:shd w:fill="F6F8FA"/>
          </w:tcPr>
          <w:p>
            <w:pPr>
              <w:spacing w:after="20" w:line="252" w:lineRule="auto"/>
            </w:pPr>
            <w:r>
              <w:rPr>
                <w:sz w:val="17"/>
              </w:rPr>
              <w:t>X4: preview evidence</w:t>
            </w:r>
          </w:p>
        </w:tc>
        <w:tc>
          <w:tcPr>
            <w:tcW w:type="dxa" w:w="4030"/>
            <w:shd w:fill="F6F8FA"/>
          </w:tcPr>
          <w:p>
            <w:pPr>
              <w:spacing w:after="20" w:line="252" w:lineRule="auto"/>
            </w:pPr>
            <w:r>
              <w:rPr>
                <w:sz w:val="17"/>
              </w:rPr>
              <w:t>Present G4 policy and evidence with Apply/Reject controls that do not own mutation.</w:t>
            </w:r>
          </w:p>
        </w:tc>
        <w:tc>
          <w:tcPr>
            <w:tcW w:type="dxa" w:w="4000"/>
            <w:shd w:fill="F6F8FA"/>
          </w:tcPr>
          <w:p>
            <w:pPr>
              <w:spacing w:after="20" w:line="252" w:lineRule="auto"/>
            </w:pPr>
            <w:r>
              <w:rPr>
                <w:sz w:val="17"/>
              </w:rPr>
              <w:t>Consequential edits are reviewable in context, with affected objects, diffs, evidence, expiry, and stale reasons.</w:t>
            </w:r>
          </w:p>
        </w:tc>
      </w:tr>
      <w:tr>
        <w:tc>
          <w:tcPr>
            <w:tcW w:type="dxa" w:w="1650"/>
          </w:tcPr>
          <w:p>
            <w:pPr>
              <w:spacing w:after="20" w:line="252" w:lineRule="auto"/>
            </w:pPr>
            <w:r>
              <w:rPr>
                <w:sz w:val="17"/>
              </w:rPr>
              <w:t>X5/X6 / EVS-07–09: workflows, charts, comparison, optimization</w:t>
            </w:r>
          </w:p>
        </w:tc>
        <w:tc>
          <w:tcPr>
            <w:tcW w:type="dxa" w:w="4030"/>
          </w:tcPr>
          <w:p>
            <w:pPr>
              <w:spacing w:after="20" w:line="252" w:lineRule="auto"/>
            </w:pPr>
            <w:r>
              <w:rPr>
                <w:sz w:val="17"/>
              </w:rPr>
              <w:t>Finish governed chart association, shared-mesh comparison where an owner exists, workflow progression, candidate provenance, and installed acceptance.</w:t>
            </w:r>
          </w:p>
        </w:tc>
        <w:tc>
          <w:tcPr>
            <w:tcW w:type="dxa" w:w="4000"/>
          </w:tcPr>
          <w:p>
            <w:pPr>
              <w:spacing w:after="20" w:line="252" w:lineRule="auto"/>
            </w:pPr>
            <w:r>
              <w:rPr>
                <w:sz w:val="17"/>
              </w:rPr>
              <w:t>Users move from a result to its timeline, compare genuinely comparable outputs, inspect candidates and exclusions, and trace every number without the UI secretly ranking or accepting.</w:t>
            </w:r>
          </w:p>
        </w:tc>
      </w:tr>
      <w:tr>
        <w:tc>
          <w:tcPr>
            <w:tcW w:type="dxa" w:w="1650"/>
            <w:shd w:fill="F6F8FA"/>
          </w:tcPr>
          <w:p>
            <w:pPr>
              <w:spacing w:after="20" w:line="252" w:lineRule="auto"/>
            </w:pPr>
            <w:r>
              <w:rPr>
                <w:sz w:val="17"/>
              </w:rPr>
              <w:t>X7: Manufacture evidence</w:t>
            </w:r>
          </w:p>
        </w:tc>
        <w:tc>
          <w:tcPr>
            <w:tcW w:type="dxa" w:w="4030"/>
            <w:shd w:fill="F6F8FA"/>
          </w:tcPr>
          <w:p>
            <w:pPr>
              <w:spacing w:after="20" w:line="252" w:lineRule="auto"/>
            </w:pPr>
            <w:r>
              <w:rPr>
                <w:sz w:val="17"/>
              </w:rPr>
              <w:t>Broaden from current post/simulation projections to complete Job-linked evidence and stale/restart presentation.</w:t>
            </w:r>
          </w:p>
        </w:tc>
        <w:tc>
          <w:tcPr>
            <w:tcW w:type="dxa" w:w="4000"/>
            <w:shd w:fill="F6F8FA"/>
          </w:tcPr>
          <w:p>
            <w:pPr>
              <w:spacing w:after="20" w:line="252" w:lineRule="auto"/>
            </w:pPr>
            <w:r>
              <w:rPr>
                <w:sz w:val="17"/>
              </w:rPr>
              <w:t>Toolpath, post, simulation, output, and verification appear as distinct evidence classes tied to the current Job.</w:t>
            </w:r>
          </w:p>
        </w:tc>
      </w:tr>
      <w:tr>
        <w:tc>
          <w:tcPr>
            <w:tcW w:type="dxa" w:w="1650"/>
          </w:tcPr>
          <w:p>
            <w:pPr>
              <w:spacing w:after="20" w:line="252" w:lineRule="auto"/>
            </w:pPr>
            <w:r>
              <w:rPr>
                <w:sz w:val="17"/>
              </w:rPr>
              <w:t>X8–X12: Assembly through Robot</w:t>
            </w:r>
          </w:p>
        </w:tc>
        <w:tc>
          <w:tcPr>
            <w:tcW w:type="dxa" w:w="4030"/>
          </w:tcPr>
          <w:p>
            <w:pPr>
              <w:spacing w:after="20" w:line="252" w:lineRule="auto"/>
            </w:pPr>
            <w:r>
              <w:rPr>
                <w:sz w:val="17"/>
              </w:rPr>
              <w:t>Add interfaces/motion, joint proposals, sequence, service, and Robot overlays only as G8–G12 contracts mature.</w:t>
            </w:r>
          </w:p>
        </w:tc>
        <w:tc>
          <w:tcPr>
            <w:tcW w:type="dxa" w:w="4000"/>
          </w:tcPr>
          <w:p>
            <w:pPr>
              <w:spacing w:after="20" w:line="252" w:lineRule="auto"/>
            </w:pPr>
            <w:r>
              <w:rPr>
                <w:sz w:val="17"/>
              </w:rPr>
              <w:t>The same shell explains how an assembly is connected, what can move, how it may be built or serviced, and how a step transfers to robotics—without turning visualization into proof.</w:t>
            </w:r>
          </w:p>
        </w:tc>
      </w:tr>
    </w:tbl>
    <w:p>
      <w:pPr>
        <w:spacing w:after="0"/>
      </w:pPr>
    </w:p>
    <w:p>
      <w:r>
        <w:t>Two visual rules are especially important. First, scientific color and governance color must remain separate: red pressure is not a failed result, and green stress is not verified safety. Second, unavailable information must remain visibly unavailable. Empty provenance, missing qualification, or unknown currentness must never be styled as “no issues.” These details determine whether the UI helps users reason or merely reassures them.</w:t>
      </w:r>
    </w:p>
    <w:p>
      <w:pPr>
        <w:pStyle w:val="Heading1"/>
      </w:pPr>
      <w:r>
        <w:t>6. Native CAD honesty and the 50-slice completion program</w:t>
      </w:r>
    </w:p>
    <w:p>
      <w:r>
        <w:t>The approved 50-slice plan makes the abstract governance principles concrete in everyday modeling. The current program retains `/v1/run` for non-CAD Python, adds Native capability parity through one dispatcher, and expands preview/apply one family at a time. It explicitly stops after the first 24 slices for re-planning before FEM/CAM work.</w:t>
      </w:r>
    </w:p>
    <w:p>
      <w:pPr>
        <w:pStyle w:val="RoadmapItem"/>
      </w:pPr>
      <w:r>
        <w:t>Complete the named Native preview families</w:t>
      </w:r>
    </w:p>
    <w:p>
      <w:r>
        <w:rPr>
          <w:b/>
        </w:rPr>
        <w:t xml:space="preserve">What remains. </w:t>
      </w:r>
      <w:r>
        <w:t>After revolve/helix, add loft, sweep, fillet, chamfer, Boolean cut/join/intersect, scale, linear/circular patterns, mirror if distinct, thickness, draft, hole, and delete/remove. Only then add the dispatcher-generic preview store. Sketch and datum/LCS families remain parked until separately named.</w:t>
      </w:r>
    </w:p>
    <w:p>
      <w:r>
        <w:rPr>
          <w:b/>
        </w:rPr>
        <w:t xml:space="preserve">User experience. </w:t>
      </w:r>
      <w:r>
        <w:t>Natural-language modeling becomes safely reviewable across the operations users actually use. A proposed loft, fillet, hole, pattern, or deletion can be inspected and rejected without leaving half-applied history. Family-by-family delivery keeps previews faithful to each operation rather than hiding a generic but misleading abstraction.</w:t>
      </w:r>
    </w:p>
    <w:p>
      <w:r>
        <w:rPr>
          <w:b/>
        </w:rPr>
        <w:t xml:space="preserve">Completion evidence. </w:t>
      </w:r>
      <w:r>
        <w:t>Each family has its own preview/apply/stale/reject tests and uses the same Native dispatcher, structural revision, receipt, undo scope, and claim language. No new family is slipped into an unrelated pull request.</w:t>
      </w:r>
    </w:p>
    <w:p>
      <w:pPr>
        <w:pStyle w:val="RoadmapItem"/>
      </w:pPr>
      <w:r>
        <w:t>Finish Apply/Reject, auto-apply, and held-session behavior</w:t>
      </w:r>
    </w:p>
    <w:p>
      <w:r>
        <w:rPr>
          <w:b/>
        </w:rPr>
        <w:t xml:space="preserve">What remains. </w:t>
      </w:r>
      <w:r>
        <w:t>Add in-app Apply/Reject controls, permit auto-apply only while structural revision is unchanged, document stage/preview IDs in frozen catalogs, refresh Native contract hashes, preserve `user_explicit` intent, and verify held sessions using the already-shipped extrude family.</w:t>
      </w:r>
    </w:p>
    <w:p>
      <w:r>
        <w:rPr>
          <w:b/>
        </w:rPr>
        <w:t xml:space="preserve">User experience. </w:t>
      </w:r>
      <w:r>
        <w:t>Users can converse across several turns without surrendering undo or revision safety. A preview remains tied to the design it was created from; if the user edits the model elsewhere, Apply is refused instead of guessing. Explicit requirements remain visible through application.</w:t>
      </w:r>
    </w:p>
    <w:p>
      <w:r>
        <w:rPr>
          <w:b/>
        </w:rPr>
        <w:t xml:space="preserve">Completion evidence. </w:t>
      </w:r>
      <w:r>
        <w:t>UI controls invoke the owner once, stale revisions fail, catalog and schema hashes agree, held sessions expire safely, and applying never drops explicit intent.</w:t>
      </w:r>
    </w:p>
    <w:p>
      <w:pPr>
        <w:pStyle w:val="RoadmapItem"/>
      </w:pPr>
      <w:r>
        <w:t>Strengthen Bot sessions and evidence classes</w:t>
      </w:r>
    </w:p>
    <w:p>
      <w:r>
        <w:rPr>
          <w:b/>
        </w:rPr>
        <w:t xml:space="preserve">What remains. </w:t>
      </w:r>
      <w:r>
        <w:t>Add session inspection, idle timeout close, isolation from in-app undo, an explicit multi-view pack, consistent failure/error vocabulary, measured claim stamps, exact STEP and derived mesh/STL export classes, and a test that screenshots cannot satisfy measurement.</w:t>
      </w:r>
    </w:p>
    <w:p>
      <w:r>
        <w:rPr>
          <w:b/>
        </w:rPr>
        <w:t xml:space="preserve">User experience. </w:t>
      </w:r>
      <w:r>
        <w:t>Grok Bot feels like another door into the same product, not a weaker or more dangerous automation channel. Users can see session state, avoid undo collisions, receive useful standard views, and understand whether an output is exact CAD, a derived mesh, a screenshot, or a real measurement.</w:t>
      </w:r>
    </w:p>
    <w:p>
      <w:r>
        <w:rPr>
          <w:b/>
        </w:rPr>
        <w:t xml:space="preserve">Completion evidence. </w:t>
      </w:r>
      <w:r>
        <w:t>Bot and in-app flows share the one Native kernel; sessions do not steal undo; capture ordering is deterministic; claim ceilings follow evidence type; a screenshot cannot populate or satisfy a measured value.</w:t>
      </w:r>
    </w:p>
    <w:p>
      <w:pPr>
        <w:pStyle w:val="RoadmapItem"/>
      </w:pPr>
      <w:r>
        <w:t>Enforce one CAD writer while retaining compatibility</w:t>
      </w:r>
    </w:p>
    <w:p>
      <w:r>
        <w:rPr>
          <w:b/>
        </w:rPr>
        <w:t xml:space="preserve">What remains. </w:t>
      </w:r>
      <w:r>
        <w:t>Make `/v1/run` refuse PartDesign and App document mutations while still allowing non-CAD Python. Do not unregister it in this program. Preserve the separate `/v1/aero` path and its repair refusal rules.</w:t>
      </w:r>
    </w:p>
    <w:p>
      <w:r>
        <w:rPr>
          <w:b/>
        </w:rPr>
        <w:t xml:space="preserve">User experience. </w:t>
      </w:r>
      <w:r>
        <w:t>Users keep valuable scripting while gaining a clear rule: accepted CAD changes go through the governed Native owner. The transition is additive and does not strand existing non-CAD workflows.</w:t>
      </w:r>
    </w:p>
    <w:p>
      <w:r>
        <w:rPr>
          <w:b/>
        </w:rPr>
        <w:t xml:space="preserve">Completion evidence. </w:t>
      </w:r>
      <w:r>
        <w:t>Mutation refusals are explicit, non-CAD compatibility remains tested, no public route disappears, and the brief accurately explains which route owns CAD, Aero, and general scripting.</w:t>
      </w:r>
    </w:p>
    <w:p>
      <w:pPr>
        <w:pStyle w:val="Heading1"/>
      </w:pPr>
      <w:r>
        <w:t>7. FEM and CAM honesty after the CAD preview stop point</w:t>
      </w:r>
    </w:p>
    <w:p>
      <w:r>
        <w:t>The 50-slice plan deliberately postpones FEM and CAM honesty wrappers until the Native preview program is mature enough to re-plan. When resumed, the first goal is not feature breadth but language that matches evidence.</w:t>
      </w:r>
    </w:p>
    <w:p>
      <w:pPr>
        <w:pStyle w:val="ListBullet"/>
        <w:spacing w:after="60"/>
      </w:pPr>
      <w:r>
        <w:t>Creating an FEM graph must report “not solved,” not success by implication.</w:t>
      </w:r>
    </w:p>
    <w:p>
      <w:pPr>
        <w:pStyle w:val="ListBullet"/>
        <w:spacing w:after="60"/>
      </w:pPr>
      <w:r>
        <w:t>Running an FEM solver may reach “model unqualified”; numerical completion remains separate from validation and qualification.</w:t>
      </w:r>
    </w:p>
    <w:p>
      <w:pPr>
        <w:pStyle w:val="ListBullet"/>
        <w:spacing w:after="60"/>
      </w:pPr>
      <w:r>
        <w:t>Posting CAM output must not be described as a proven toolpath or manufactured result.</w:t>
      </w:r>
    </w:p>
    <w:p>
      <w:pPr>
        <w:pStyle w:val="ListBullet"/>
        <w:spacing w:after="60"/>
      </w:pPr>
      <w:r>
        <w:t>VibeScript documentation that calls a generated solid “manufacturable” must be corrected unless manufacturing evidence exists.</w:t>
      </w:r>
    </w:p>
    <w:p>
      <w:r>
        <w:t>For users, this is a major improvement in trust. The interface becomes more useful precisely because it distinguishes progress from proof: model prepared, mesh generated, solver completed, result verified, process simulated, output posted, part manufactured. The user can still move quickly, but the product no longer compresses these different achievements into one misleading success state.</w:t>
      </w:r>
    </w:p>
    <w:p>
      <w:pPr>
        <w:pStyle w:val="Heading1"/>
      </w:pPr>
      <w:r>
        <w:t>8. The remaining VibeCADAero program</w:t>
      </w:r>
    </w:p>
    <w:p>
      <w:r>
        <w:t>Advanced Aero shares the governed host but retains domain-specific work. The repository indicates that Native Aero runtime work has landed and that host-honesty and artifact foundations are substantial; it still calls for an acceptance audit before considering those stages closed. Geometry readiness and stages five through ten remain the main body.</w:t>
      </w:r>
    </w:p>
    <w:p>
      <w:pPr>
        <w:pStyle w:val="RoadmapItem"/>
      </w:pPr>
      <w:r>
        <w:t>Audit the landed Aero foundation end to end</w:t>
      </w:r>
    </w:p>
    <w:p>
      <w:r>
        <w:rPr>
          <w:b/>
        </w:rPr>
        <w:t xml:space="preserve">What remains. </w:t>
      </w:r>
      <w:r>
        <w:t>Verify `/v1/aero` revision propagation, preview/evidence/artifact semantics, stale rejection, and the host-owned reusable Analysis Runtime against the original project-file acceptance criteria.</w:t>
      </w:r>
    </w:p>
    <w:p>
      <w:r>
        <w:rPr>
          <w:b/>
        </w:rPr>
        <w:t xml:space="preserve">User experience. </w:t>
      </w:r>
      <w:r>
        <w:t>The user can trust that an Aero job is attached to the exact geometry and that the same recovery and publication semantics apply across analyses, not just in a mocked or Aero-only path.</w:t>
      </w:r>
    </w:p>
    <w:p>
      <w:r>
        <w:rPr>
          <w:b/>
        </w:rPr>
        <w:t xml:space="preserve">Completion evidence. </w:t>
      </w:r>
      <w:r>
        <w:t>A live installed host demonstrates revision-bound submission, stale rejection, durable artifacts, recovery, and shared-runtime reuse.</w:t>
      </w:r>
    </w:p>
    <w:p>
      <w:pPr>
        <w:pStyle w:val="RoadmapItem"/>
      </w:pPr>
      <w:r>
        <w:t>Define geometry readiness and frame/source correspondence</w:t>
      </w:r>
    </w:p>
    <w:p>
      <w:r>
        <w:rPr>
          <w:b/>
        </w:rPr>
        <w:t xml:space="preserve">What remains. </w:t>
      </w:r>
      <w:r>
        <w:t>Classify admissible geometry by fidelity and bind bodies, lifting/control surfaces, propulsion, axes, origins, transforms, units, tessellation, and source objects to an exact revision.</w:t>
      </w:r>
    </w:p>
    <w:p>
      <w:r>
        <w:rPr>
          <w:b/>
        </w:rPr>
        <w:t xml:space="preserve">User experience. </w:t>
      </w:r>
      <w:r>
        <w:t>Before meshing, users receive actionable readiness diagnostics: which body is open, which surface lacks identity, which axis is ambiguous, or which tessellation no longer matches. Solver time is not wasted on geometry the system cannot interpret defensibly.</w:t>
      </w:r>
    </w:p>
    <w:p>
      <w:r>
        <w:rPr>
          <w:b/>
        </w:rPr>
        <w:t xml:space="preserve">Completion evidence. </w:t>
      </w:r>
      <w:r>
        <w:t>Ambiguous or stale geometry fails before execution; every mesh/result can trace back to exact CAD objects, units, frames, and transforms.</w:t>
      </w:r>
    </w:p>
    <w:p>
      <w:pPr>
        <w:pStyle w:val="RoadmapItem"/>
      </w:pPr>
      <w:r>
        <w:t>Complete OpenFOAM/CfdOF and vendored FluidX3D paths</w:t>
      </w:r>
    </w:p>
    <w:p>
      <w:r>
        <w:rPr>
          <w:b/>
        </w:rPr>
        <w:t xml:space="preserve">What remains. </w:t>
      </w:r>
      <w:r>
        <w:t>Finish real execution, packaging, field extraction, provenance, cancellation, timeouts, cleanup, deterministic fixtures, GPU/device and numerical facts, and failure diagnostics. Preserve solver-specific licensing and packaging boundaries.</w:t>
      </w:r>
    </w:p>
    <w:p>
      <w:r>
        <w:rPr>
          <w:b/>
        </w:rPr>
        <w:t xml:space="preserve">User experience. </w:t>
      </w:r>
      <w:r>
        <w:t>Users can choose a solver based on capability and evidence, obtain real pressure/velocity and convergence data, and understand why a run failed. A first-use informational notice for FluidX3D appears once, says “I understand,” and does not become an entitlement, telemetry, or product-wide restriction.</w:t>
      </w:r>
    </w:p>
    <w:p>
      <w:r>
        <w:rPr>
          <w:b/>
        </w:rPr>
        <w:t xml:space="preserve">Completion evidence. </w:t>
      </w:r>
      <w:r>
        <w:t>Packaged backends execute supported fixtures, extract real fields, bind numerical settings and device facts, reject stale output, clean process trees, and preserve the separate commercial/non-commercial vendoring policy.</w:t>
      </w:r>
    </w:p>
    <w:p>
      <w:pPr>
        <w:pStyle w:val="RoadmapItem"/>
      </w:pPr>
      <w:r>
        <w:t>Build common field UI and real Kaggle/remote execution</w:t>
      </w:r>
    </w:p>
    <w:p>
      <w:r>
        <w:rPr>
          <w:b/>
        </w:rPr>
        <w:t xml:space="preserve">What remains. </w:t>
      </w:r>
      <w:r>
        <w:t>Normalize solver outputs into common result contracts; add pressure, velocity, vorticity, slice, stream/field and time-step views; implement real package upload, submission, polling, download, verification, routing, and recovery.</w:t>
      </w:r>
    </w:p>
    <w:p>
      <w:r>
        <w:rPr>
          <w:b/>
        </w:rPr>
        <w:t xml:space="preserve">User experience. </w:t>
      </w:r>
      <w:r>
        <w:t>Aero results become comparable and navigable without pretending different solvers are identical. Users can send appropriate cases to remote compute and return to a recoverable job. Routing explains capability and qualification; it never silently downgrades fidelity.</w:t>
      </w:r>
    </w:p>
    <w:p>
      <w:r>
        <w:rPr>
          <w:b/>
        </w:rPr>
        <w:t xml:space="preserve">Completion evidence. </w:t>
      </w:r>
      <w:r>
        <w:t>Local and remote fixtures render through exact provenance; downloads are descriptor-verified; failure and restart paths retain identity; solver/fidelity choices remain visible.</w:t>
      </w:r>
    </w:p>
    <w:p>
      <w:pPr>
        <w:pStyle w:val="RoadmapItem"/>
      </w:pPr>
      <w:r>
        <w:t>Qualify solvers and high-Reynolds-number regimes</w:t>
      </w:r>
    </w:p>
    <w:p>
      <w:r>
        <w:rPr>
          <w:b/>
        </w:rPr>
        <w:t xml:space="preserve">What remains. </w:t>
      </w:r>
      <w:r>
        <w:t>Create benchmark geometries and reference cases; separate completion, convergence, validation, and qualification; record grid, timestep, domain, boundary, turbulence/model sensitivity and limits.</w:t>
      </w:r>
    </w:p>
    <w:p>
      <w:r>
        <w:rPr>
          <w:b/>
        </w:rPr>
        <w:t xml:space="preserve">User experience. </w:t>
      </w:r>
      <w:r>
        <w:t>The product can say not merely “the solver ran,” but what the result has been checked against and where it is credible. Users see qualified envelopes and limitations instead of an airworthiness-colored confidence halo.</w:t>
      </w:r>
    </w:p>
    <w:p>
      <w:r>
        <w:rPr>
          <w:b/>
        </w:rPr>
        <w:t xml:space="preserve">Completion evidence. </w:t>
      </w:r>
      <w:r>
        <w:t>Independent benchmarks and sensitivity studies reproduce within declared bounds; claim ceilings and applicable regimes are machine-readable; no solver exit code becomes validation.</w:t>
      </w:r>
    </w:p>
    <w:p>
      <w:pPr>
        <w:pStyle w:val="RoadmapItem"/>
      </w:pPr>
      <w:r>
        <w:t>Add dynamic, coupled physics and controlled refinement</w:t>
      </w:r>
    </w:p>
    <w:p>
      <w:r>
        <w:rPr>
          <w:b/>
        </w:rPr>
        <w:t xml:space="preserve">What remains. </w:t>
      </w:r>
      <w:r>
        <w:t>Implement moving bodies, controls, propulsion, unsteady aero, 6-DOF, FSI, coupling ownership and convergence/failure behavior, followed by cross-fidelity diagnostics and user-controlled refinement proposals.</w:t>
      </w:r>
    </w:p>
    <w:p>
      <w:r>
        <w:rPr>
          <w:b/>
        </w:rPr>
        <w:t xml:space="preserve">User experience. </w:t>
      </w:r>
      <w:r>
        <w:t>Users progress from static flow studies to coupled vehicle questions while retaining control over cost and design mutation. The system can propose a finer mesh or higher-fidelity model, explain the discrepancy that motivated it, and wait for authorization.</w:t>
      </w:r>
    </w:p>
    <w:p>
      <w:r>
        <w:rPr>
          <w:b/>
        </w:rPr>
        <w:t xml:space="preserve">Completion evidence. </w:t>
      </w:r>
      <w:r>
        <w:t>Coupled runs preserve exact timestep/frame/interface provenance and bounded failure semantics; refinement remains a proposal; plausible fields never promote themselves to validated or airworthy status.</w:t>
      </w:r>
    </w:p>
    <w:p>
      <w:pPr>
        <w:pStyle w:val="Heading1"/>
      </w:pPr>
      <w:r>
        <w:t>9. How the finished experience should feel</w:t>
      </w:r>
    </w:p>
    <w:p>
      <w:r>
        <w:t>Consider a user designing a compact actuated mechanism with a housing that needs airflow analysis and a machined bracket. In the completed experience, the user describes the intended change. VibeCAD resolves the current document and explicit constraints, creates a Native preview of the hole pattern and fillets, and shows affected objects and parameter changes. The user rejects one fillet, adjusts the request, and applies the fresh preview once. The accepted receipt becomes part of the design history; a screenshot is merely a view, not dimensional proof.</w:t>
      </w:r>
    </w:p>
    <w:p>
      <w:r>
        <w:t>The user publishes interfaces on the bracket and actuator. Joint inference offers two compatible alternatives and explains why another is indeterminate. Acceptance creates the selected joint through the Native Assembly owner. Sequencing then proposes two equal assembly orders, marking one insertion as continuously checked and another as sampled. A service plan for replacing the actuator lists the required removals and flags tool access that has not been verified. A selected step projects to Robot as a frame- and tool-explicit task, but Robot still performs its own reachability and motion checks.</w:t>
      </w:r>
    </w:p>
    <w:p>
      <w:r>
        <w:t>For analysis, the user launches a five-stage workflow against an exact revision. The project closes. On restart, the activity view recovers the same analysis, explains that the remote solver is still running, and later verifies returned artifacts. Meanwhile the user changes the housing. The old result remains available and clearly historical; publication to the new revision is refused. The user chooses a fresh run. The Analyze workspace displays pressure and structural fields with correct units and independent governance axes. Scientific red indicates magnitude, not failure. Optimization explores bounded vent geometries, retains failed candidates, and ranks the rest deterministically. The user selects one proposal, reviews the Native preview, and authorizes publication. Nothing silently changes accepted CAD.</w:t>
      </w:r>
    </w:p>
    <w:p>
      <w:r>
        <w:t>This is the roadmap’s real product promise: not an omniscient assistant, but a fluent engineering partner whose actions remain legible, reversible, recoverable, and evidence-bound.</w:t>
      </w:r>
    </w:p>
    <w:p>
      <w:pPr>
        <w:pStyle w:val="Heading1"/>
      </w:pPr>
      <w:r>
        <w:t>10. Recommended delivery sequence and user value</w:t>
      </w:r>
    </w:p>
    <w:p>
      <w:r>
        <w:t>This sequence is organized around complete user outcomes in our fork. Pull requests and internal slices remain useful for review, bisectability, and rollback, but they are implementation mechanics—not externally imposed product boundaries. When a coherent experience spans several layers, those layers should be planned and released as one VibeCAD capability train.</w:t>
      </w:r>
    </w:p>
    <w:tbl>
      <w:tblPr>
        <w:tblW w:type="auto" w:w="0"/>
        <w:jc w:val="center"/>
        <w:tblLayout w:type="fixed"/>
        <w:tblLook w:firstColumn="1" w:firstRow="1" w:lastColumn="0" w:lastRow="0" w:noHBand="0" w:noVBand="1" w:val="04A0"/>
        <w:tblBorders>
          <w:top w:val="single" w:sz="6" w:color="C7D1DA"/>
          <w:left w:val="single" w:sz="6" w:color="C7D1DA"/>
          <w:bottom w:val="single" w:sz="6" w:color="C7D1DA"/>
          <w:right w:val="single" w:sz="6" w:color="C7D1DA"/>
          <w:insideH w:val="single" w:sz="6" w:color="C7D1DA"/>
          <w:insideV w:val="single" w:sz="6" w:color="C7D1DA"/>
        </w:tblBorders>
      </w:tblPr>
      <w:tblGrid>
        <w:gridCol w:w="2426"/>
        <w:gridCol w:w="2426"/>
        <w:gridCol w:w="2426"/>
        <w:gridCol w:w="2426"/>
      </w:tblGrid>
      <w:tr>
        <w:trPr>
          <w:tblHeader w:val="true"/>
        </w:trPr>
        <w:tc>
          <w:tcPr>
            <w:tcW w:type="dxa" w:w="1100"/>
            <w:shd w:fill="DCE8EE"/>
            <w:vAlign w:val="center"/>
          </w:tcPr>
          <w:p>
            <w:pPr>
              <w:spacing w:after="20"/>
            </w:pPr>
            <w:r>
              <w:rPr>
                <w:b/>
                <w:color w:val="17324D"/>
                <w:sz w:val="18"/>
              </w:rPr>
              <w:t>Phase</w:t>
            </w:r>
          </w:p>
        </w:tc>
        <w:tc>
          <w:tcPr>
            <w:tcW w:type="dxa" w:w="2900"/>
            <w:shd w:fill="DCE8EE"/>
            <w:vAlign w:val="center"/>
          </w:tcPr>
          <w:p>
            <w:pPr>
              <w:spacing w:after="20"/>
            </w:pPr>
            <w:r>
              <w:rPr>
                <w:b/>
                <w:color w:val="17324D"/>
                <w:sz w:val="18"/>
              </w:rPr>
              <w:t>Primary roadmap work</w:t>
            </w:r>
          </w:p>
        </w:tc>
        <w:tc>
          <w:tcPr>
            <w:tcW w:type="dxa" w:w="3450"/>
            <w:shd w:fill="DCE8EE"/>
            <w:vAlign w:val="center"/>
          </w:tcPr>
          <w:p>
            <w:pPr>
              <w:spacing w:after="20"/>
            </w:pPr>
            <w:r>
              <w:rPr>
                <w:b/>
                <w:color w:val="17324D"/>
                <w:sz w:val="18"/>
              </w:rPr>
              <w:t>Cumulative user value</w:t>
            </w:r>
          </w:p>
        </w:tc>
        <w:tc>
          <w:tcPr>
            <w:tcW w:type="dxa" w:w="2230"/>
            <w:shd w:fill="DCE8EE"/>
            <w:vAlign w:val="center"/>
          </w:tcPr>
          <w:p>
            <w:pPr>
              <w:spacing w:after="20"/>
            </w:pPr>
            <w:r>
              <w:rPr>
                <w:b/>
                <w:color w:val="17324D"/>
                <w:sz w:val="18"/>
              </w:rPr>
              <w:t>Exit signal</w:t>
            </w:r>
          </w:p>
        </w:tc>
      </w:tr>
      <w:tr>
        <w:tc>
          <w:tcPr>
            <w:tcW w:type="dxa" w:w="1100"/>
          </w:tcPr>
          <w:p>
            <w:pPr>
              <w:spacing w:after="20" w:line="252" w:lineRule="auto"/>
            </w:pPr>
            <w:r>
              <w:rPr>
                <w:sz w:val="17"/>
              </w:rPr>
              <w:t>1. Continuity and truth</w:t>
            </w:r>
          </w:p>
        </w:tc>
        <w:tc>
          <w:tcPr>
            <w:tcW w:type="dxa" w:w="2900"/>
          </w:tcPr>
          <w:p>
            <w:pPr>
              <w:spacing w:after="20" w:line="252" w:lineRule="auto"/>
            </w:pPr>
            <w:r>
              <w:rPr>
                <w:sz w:val="17"/>
              </w:rPr>
              <w:t>Close G1/G2/G5 acceptance; audit landed Aero host foundation.</w:t>
            </w:r>
          </w:p>
        </w:tc>
        <w:tc>
          <w:tcPr>
            <w:tcW w:type="dxa" w:w="3450"/>
          </w:tcPr>
          <w:p>
            <w:pPr>
              <w:spacing w:after="20" w:line="252" w:lineRule="auto"/>
            </w:pPr>
            <w:r>
              <w:rPr>
                <w:sz w:val="17"/>
              </w:rPr>
              <w:t>Jobs, artifacts, workflows, and publications survive restart with exact identity and clear states.</w:t>
            </w:r>
          </w:p>
        </w:tc>
        <w:tc>
          <w:tcPr>
            <w:tcW w:type="dxa" w:w="2230"/>
          </w:tcPr>
          <w:p>
            <w:pPr>
              <w:spacing w:after="20" w:line="252" w:lineRule="auto"/>
            </w:pPr>
            <w:r>
              <w:rPr>
                <w:sz w:val="17"/>
              </w:rPr>
              <w:t>Real five-stage local workflow and publication recovery pass in an installed build.</w:t>
            </w:r>
          </w:p>
        </w:tc>
      </w:tr>
      <w:tr>
        <w:tc>
          <w:tcPr>
            <w:tcW w:type="dxa" w:w="1100"/>
            <w:shd w:fill="F6F8FA"/>
          </w:tcPr>
          <w:p>
            <w:pPr>
              <w:spacing w:after="20" w:line="252" w:lineRule="auto"/>
            </w:pPr>
            <w:r>
              <w:rPr>
                <w:sz w:val="17"/>
              </w:rPr>
              <w:t>2. Safe creation</w:t>
            </w:r>
          </w:p>
        </w:tc>
        <w:tc>
          <w:tcPr>
            <w:tcW w:type="dxa" w:w="2900"/>
            <w:shd w:fill="F6F8FA"/>
          </w:tcPr>
          <w:p>
            <w:pPr>
              <w:spacing w:after="20" w:line="252" w:lineRule="auto"/>
            </w:pPr>
            <w:r>
              <w:rPr>
                <w:sz w:val="17"/>
              </w:rPr>
              <w:t>Finish Native preview families and in-app Apply/Reject; held-session and Bot isolation.</w:t>
            </w:r>
          </w:p>
        </w:tc>
        <w:tc>
          <w:tcPr>
            <w:tcW w:type="dxa" w:w="3450"/>
            <w:shd w:fill="F6F8FA"/>
          </w:tcPr>
          <w:p>
            <w:pPr>
              <w:spacing w:after="20" w:line="252" w:lineRule="auto"/>
            </w:pPr>
            <w:r>
              <w:rPr>
                <w:sz w:val="17"/>
              </w:rPr>
              <w:t>Most consequential CAD edits are conversational, inspectable, stale-safe, and undo-safe across surfaces.</w:t>
            </w:r>
          </w:p>
        </w:tc>
        <w:tc>
          <w:tcPr>
            <w:tcW w:type="dxa" w:w="2230"/>
            <w:shd w:fill="F6F8FA"/>
          </w:tcPr>
          <w:p>
            <w:pPr>
              <w:spacing w:after="20" w:line="252" w:lineRule="auto"/>
            </w:pPr>
            <w:r>
              <w:rPr>
                <w:sz w:val="17"/>
              </w:rPr>
              <w:t>Named families pass real preview/apply/reject/stale scenarios through one dispatcher.</w:t>
            </w:r>
          </w:p>
        </w:tc>
      </w:tr>
      <w:tr>
        <w:tc>
          <w:tcPr>
            <w:tcW w:type="dxa" w:w="1100"/>
          </w:tcPr>
          <w:p>
            <w:pPr>
              <w:spacing w:after="20" w:line="252" w:lineRule="auto"/>
            </w:pPr>
            <w:r>
              <w:rPr>
                <w:sz w:val="17"/>
              </w:rPr>
              <w:t>3. Legible engineering</w:t>
            </w:r>
          </w:p>
        </w:tc>
        <w:tc>
          <w:tcPr>
            <w:tcW w:type="dxa" w:w="2900"/>
          </w:tcPr>
          <w:p>
            <w:pPr>
              <w:spacing w:after="20" w:line="252" w:lineRule="auto"/>
            </w:pPr>
            <w:r>
              <w:rPr>
                <w:sz w:val="17"/>
              </w:rPr>
              <w:t>Finish X1/X2/X4/X5/X6 and installed accessibility; strengthen comparisons and charts.</w:t>
            </w:r>
          </w:p>
        </w:tc>
        <w:tc>
          <w:tcPr>
            <w:tcW w:type="dxa" w:w="3450"/>
          </w:tcPr>
          <w:p>
            <w:pPr>
              <w:spacing w:after="20" w:line="252" w:lineRule="auto"/>
            </w:pPr>
            <w:r>
              <w:rPr>
                <w:sz w:val="17"/>
              </w:rPr>
              <w:t>Users can understand results, workflows, alternatives, provenance, currentness, and claim ceilings in one shell.</w:t>
            </w:r>
          </w:p>
        </w:tc>
        <w:tc>
          <w:tcPr>
            <w:tcW w:type="dxa" w:w="2230"/>
          </w:tcPr>
          <w:p>
            <w:pPr>
              <w:spacing w:after="20" w:line="252" w:lineRule="auto"/>
            </w:pPr>
            <w:r>
              <w:rPr>
                <w:sz w:val="17"/>
              </w:rPr>
              <w:t>Real domain records render accurately in both themes with installed GUI acceptance.</w:t>
            </w:r>
          </w:p>
        </w:tc>
      </w:tr>
      <w:tr>
        <w:tc>
          <w:tcPr>
            <w:tcW w:type="dxa" w:w="1100"/>
            <w:shd w:fill="F6F8FA"/>
          </w:tcPr>
          <w:p>
            <w:pPr>
              <w:spacing w:after="20" w:line="252" w:lineRule="auto"/>
            </w:pPr>
            <w:r>
              <w:rPr>
                <w:sz w:val="17"/>
              </w:rPr>
              <w:t>4. Scaled execution</w:t>
            </w:r>
          </w:p>
        </w:tc>
        <w:tc>
          <w:tcPr>
            <w:tcW w:type="dxa" w:w="2900"/>
            <w:shd w:fill="F6F8FA"/>
          </w:tcPr>
          <w:p>
            <w:pPr>
              <w:spacing w:after="20" w:line="252" w:lineRule="auto"/>
            </w:pPr>
            <w:r>
              <w:rPr>
                <w:sz w:val="17"/>
              </w:rPr>
              <w:t>Real G3 remote provider and X3; complete G6 and advanced Aero solver paths.</w:t>
            </w:r>
          </w:p>
        </w:tc>
        <w:tc>
          <w:tcPr>
            <w:tcW w:type="dxa" w:w="3450"/>
            <w:shd w:fill="F6F8FA"/>
          </w:tcPr>
          <w:p>
            <w:pPr>
              <w:spacing w:after="20" w:line="252" w:lineRule="auto"/>
            </w:pPr>
            <w:r>
              <w:rPr>
                <w:sz w:val="17"/>
              </w:rPr>
              <w:t>Large jobs continue beyond the desktop and recover without duplicate attempts or silent fidelity changes.</w:t>
            </w:r>
          </w:p>
        </w:tc>
        <w:tc>
          <w:tcPr>
            <w:tcW w:type="dxa" w:w="2230"/>
            <w:shd w:fill="F6F8FA"/>
          </w:tcPr>
          <w:p>
            <w:pPr>
              <w:spacing w:after="20" w:line="252" w:lineRule="auto"/>
            </w:pPr>
            <w:r>
              <w:rPr>
                <w:sz w:val="17"/>
              </w:rPr>
              <w:t>One real remote job survives restart, reconnects, verifies artifacts, and publishes once.</w:t>
            </w:r>
          </w:p>
        </w:tc>
      </w:tr>
      <w:tr>
        <w:tc>
          <w:tcPr>
            <w:tcW w:type="dxa" w:w="1100"/>
          </w:tcPr>
          <w:p>
            <w:pPr>
              <w:spacing w:after="20" w:line="252" w:lineRule="auto"/>
            </w:pPr>
            <w:r>
              <w:rPr>
                <w:sz w:val="17"/>
              </w:rPr>
              <w:t>5. Domain completion</w:t>
            </w:r>
          </w:p>
        </w:tc>
        <w:tc>
          <w:tcPr>
            <w:tcW w:type="dxa" w:w="2900"/>
          </w:tcPr>
          <w:p>
            <w:pPr>
              <w:spacing w:after="20" w:line="252" w:lineRule="auto"/>
            </w:pPr>
            <w:r>
              <w:rPr>
                <w:sz w:val="17"/>
              </w:rPr>
              <w:t>Close G7–G12 and X7–X12; FEM/CAM honesty tranche after re-plan.</w:t>
            </w:r>
          </w:p>
        </w:tc>
        <w:tc>
          <w:tcPr>
            <w:tcW w:type="dxa" w:w="3450"/>
          </w:tcPr>
          <w:p>
            <w:pPr>
              <w:spacing w:after="20" w:line="252" w:lineRule="auto"/>
            </w:pPr>
            <w:r>
              <w:rPr>
                <w:sz w:val="17"/>
              </w:rPr>
              <w:t>Manufacturing, assembly, service, and Robot handoff become traceable extensions of the same governed experience.</w:t>
            </w:r>
          </w:p>
        </w:tc>
        <w:tc>
          <w:tcPr>
            <w:tcW w:type="dxa" w:w="2230"/>
          </w:tcPr>
          <w:p>
            <w:pPr>
              <w:spacing w:after="20" w:line="252" w:lineRule="auto"/>
            </w:pPr>
            <w:r>
              <w:rPr>
                <w:sz w:val="17"/>
              </w:rPr>
              <w:t>Representative end-to-end scenarios pass with owner-specific evidence and honest indeterminate states.</w:t>
            </w:r>
          </w:p>
        </w:tc>
      </w:tr>
      <w:tr>
        <w:tc>
          <w:tcPr>
            <w:tcW w:type="dxa" w:w="1100"/>
            <w:shd w:fill="F6F8FA"/>
          </w:tcPr>
          <w:p>
            <w:pPr>
              <w:spacing w:after="20" w:line="252" w:lineRule="auto"/>
            </w:pPr>
            <w:r>
              <w:rPr>
                <w:sz w:val="17"/>
              </w:rPr>
              <w:t>6. Advanced physics</w:t>
            </w:r>
          </w:p>
        </w:tc>
        <w:tc>
          <w:tcPr>
            <w:tcW w:type="dxa" w:w="2900"/>
            <w:shd w:fill="F6F8FA"/>
          </w:tcPr>
          <w:p>
            <w:pPr>
              <w:spacing w:after="20" w:line="252" w:lineRule="auto"/>
            </w:pPr>
            <w:r>
              <w:rPr>
                <w:sz w:val="17"/>
              </w:rPr>
              <w:t>Aero qualification, high-Re work, moving bodies, propulsion, unsteady, 6-DOF, FSI, refinement.</w:t>
            </w:r>
          </w:p>
        </w:tc>
        <w:tc>
          <w:tcPr>
            <w:tcW w:type="dxa" w:w="3450"/>
            <w:shd w:fill="F6F8FA"/>
          </w:tcPr>
          <w:p>
            <w:pPr>
              <w:spacing w:after="20" w:line="252" w:lineRule="auto"/>
            </w:pPr>
            <w:r>
              <w:rPr>
                <w:sz w:val="17"/>
              </w:rPr>
              <w:t>Users can ask higher-order design questions without losing visibility into assumptions, cost, validity, or authority.</w:t>
            </w:r>
          </w:p>
        </w:tc>
        <w:tc>
          <w:tcPr>
            <w:tcW w:type="dxa" w:w="2230"/>
            <w:shd w:fill="F6F8FA"/>
          </w:tcPr>
          <w:p>
            <w:pPr>
              <w:spacing w:after="20" w:line="252" w:lineRule="auto"/>
            </w:pPr>
            <w:r>
              <w:rPr>
                <w:sz w:val="17"/>
              </w:rPr>
              <w:t>Benchmarks, sensitivity studies, coupled provenance, and controlled-refinement gates close.</w:t>
            </w:r>
          </w:p>
        </w:tc>
      </w:tr>
    </w:tbl>
    <w:p>
      <w:pPr>
        <w:spacing w:after="0"/>
      </w:pPr>
    </w:p>
    <w:p>
      <w:r>
        <w:t>The roadmap itself specifies an important stop: after the first 24 Native/UI slices, re-plan before FEM/CAM. That stop should be preserved. It gives the team a chance to measure how users actually use preview/apply, held sessions, and the Engineering Experience before generalizing the same patterns into domains with different meanings of evidence.</w:t>
      </w:r>
    </w:p>
    <w:p>
      <w:pPr>
        <w:pStyle w:val="Heading2"/>
      </w:pPr>
      <w:r>
        <w:t>10.1 Fork operating model</w:t>
      </w:r>
    </w:p>
    <w:p>
      <w:pPr>
        <w:pStyle w:val="ListNumber"/>
        <w:spacing w:after="80"/>
      </w:pPr>
      <w:r>
        <w:t>Define releases by user journeys: safe model creation, restart-safe analysis, legible engineering results, scaled execution, and domain-complete handoffs.</w:t>
      </w:r>
    </w:p>
    <w:p>
      <w:pPr>
        <w:pStyle w:val="ListNumber"/>
        <w:spacing w:after="80"/>
      </w:pPr>
      <w:r>
        <w:t>Use small internal commits and bounded feature branches for diagnosis and rollback, while allowing a release train to integrate every layer required for the journey to work end to end.</w:t>
      </w:r>
    </w:p>
    <w:p>
      <w:pPr>
        <w:pStyle w:val="ListNumber"/>
        <w:spacing w:after="80"/>
      </w:pPr>
      <w:r>
        <w:t>Maintain an explicit upstream-intake boundary: continuously monitor upstream changes, triage them on a regular cadence, adopt those that improve our product, and resolve conflicts through adapters, compatibility facades, or deliberate ports instead of allowing upstream shape to dominate new design.</w:t>
      </w:r>
    </w:p>
    <w:p>
      <w:pPr>
        <w:pStyle w:val="ListNumber"/>
        <w:spacing w:after="80"/>
      </w:pPr>
      <w:r>
        <w:t>Publish stable VibeCAD contracts and migration notes for our users. Compatibility promises should attach to our releases and documents, not to the convenience of hypothetical upstream merges.</w:t>
      </w:r>
    </w:p>
    <w:p>
      <w:pPr>
        <w:pStyle w:val="ListNumber"/>
        <w:spacing w:after="80"/>
      </w:pPr>
      <w:r>
        <w:t>Offer improvements outward only after they are proven in our installed product. External adoption is welcome, but it is not a closure gate for our roadmap.</w:t>
      </w:r>
    </w:p>
    <w:p>
      <w:pPr>
        <w:pStyle w:val="Heading2"/>
      </w:pPr>
      <w:r>
        <w:t>10.2 Continuous upstream quality intake</w:t>
      </w:r>
    </w:p>
    <w:p>
      <w:r>
        <w:t>The upstream repository should be treated as a continuously observed engineering feed. The goal is to ensure that work performed there also benefits our VibeCAD wherever it improves quality, security, compatibility, performance, maintainability, or user capability. This requires a durable process rather than occasional manual comparisons:</w:t>
      </w:r>
    </w:p>
    <w:p>
      <w:pPr>
        <w:pStyle w:val="ListBullet"/>
        <w:spacing w:after="60"/>
      </w:pPr>
      <w:r>
        <w:t>Track upstream heads and release tags, and record the last reviewed identity so no interval disappears into an informal “we should sync sometime.”</w:t>
      </w:r>
    </w:p>
    <w:p>
      <w:pPr>
        <w:pStyle w:val="ListBullet"/>
        <w:spacing w:after="60"/>
      </w:pPr>
      <w:r>
        <w:t>Triage incoming commits into security/correctness, platform/build, performance, dependency, core CAD, UI/UX, domain capability, and refactor categories. Security and data-integrity fixes receive the fastest review.</w:t>
      </w:r>
    </w:p>
    <w:p>
      <w:pPr>
        <w:pStyle w:val="ListBullet"/>
        <w:spacing w:after="60"/>
      </w:pPr>
      <w:r>
        <w:t>Test clean merges or cherry-picks first. When direct integration conflicts with fork architecture, port the behavior and preserve attribution instead of either rejecting the value or importing incompatible structure wholesale.</w:t>
      </w:r>
    </w:p>
    <w:p>
      <w:pPr>
        <w:pStyle w:val="ListBullet"/>
        <w:spacing w:after="60"/>
      </w:pPr>
      <w:r>
        <w:t>Run the affected VibeCAD regression, migration, installed-tree, and user-journey gates after every intake batch. An upstream pass is evidence about upstream; it is not proof that the change is safe in our divergent product.</w:t>
      </w:r>
    </w:p>
    <w:p>
      <w:pPr>
        <w:pStyle w:val="ListBullet"/>
        <w:spacing w:after="60"/>
      </w:pPr>
      <w:r>
        <w:t>Record adopted, adapted, deferred, superseded, and rejected changes with rationale. This makes later re-evaluation possible and prevents the same conflict analysis from being repeated.</w:t>
      </w:r>
    </w:p>
    <w:p>
      <w:pPr>
        <w:pStyle w:val="ListBullet"/>
        <w:spacing w:after="60"/>
      </w:pPr>
      <w:r>
        <w:t>Keep our extensions modular and our compatibility seams explicit so upstream improvements can enter with bounded conflicts. This is maintainability for our fork, not submission-oriented design.</w:t>
      </w:r>
    </w:p>
    <w:p>
      <w:r>
        <w:t>A practical cadence is event-driven intake for security and critical correctness fixes, plus a scheduled review for ordinary upstream development. Before each VibeCAD release, the team should reconcile all upstream movement since the previous review and document any intentionally deferred changes. This gives users the benefits of both streams: upstream maintenance and ecosystem progress, combined with our deeper product integration and direction.</w:t>
      </w:r>
    </w:p>
    <w:p>
      <w:pPr>
        <w:pStyle w:val="Heading1"/>
      </w:pPr>
      <w:r>
        <w:t>11. Product risks and design choices that remain</w:t>
      </w:r>
    </w:p>
    <w:p>
      <w:pPr>
        <w:pStyle w:val="ListBullet"/>
        <w:spacing w:after="60"/>
      </w:pPr>
      <w:r>
        <w:t>Governance friction. Too many confirmations will make the assistant feel ceremonial. The authority census should determine when richer review is justified, and low-risk actions should remain immediate.</w:t>
      </w:r>
    </w:p>
    <w:p>
      <w:pPr>
        <w:pStyle w:val="ListBullet"/>
        <w:spacing w:after="60"/>
      </w:pPr>
      <w:r>
        <w:t>Status overload. Execution, verification, currentness, and publication need distinct meanings but not four badges on every surface. The UI should reveal detail progressively while keeping ambiguity impossible.</w:t>
      </w:r>
    </w:p>
    <w:p>
      <w:pPr>
        <w:pStyle w:val="ListBullet"/>
        <w:spacing w:after="60"/>
      </w:pPr>
      <w:r>
        <w:t>False unification. Common presentation should not erase solver, domain, field-association, frame, or claim differences. “Comparable” must be earned by matching semantics and identities.</w:t>
      </w:r>
    </w:p>
    <w:p>
      <w:pPr>
        <w:pStyle w:val="ListBullet"/>
        <w:spacing w:after="60"/>
      </w:pPr>
      <w:r>
        <w:t>Recovery ambiguity. A write, callback, or publication interrupted at the wrong moment must resolve from durable receipts and state, never from a hopeful retry.</w:t>
      </w:r>
    </w:p>
    <w:p>
      <w:pPr>
        <w:pStyle w:val="ListBullet"/>
        <w:spacing w:after="60"/>
      </w:pPr>
      <w:r>
        <w:t>Compatibility debt. `/v1/run` and existing schemas cannot be removed merely because a governed path exists. Confinement must land additively, with migration and rollback approved separately.</w:t>
      </w:r>
    </w:p>
    <w:p>
      <w:pPr>
        <w:pStyle w:val="ListBullet"/>
        <w:spacing w:after="60"/>
      </w:pPr>
      <w:r>
        <w:t>Fork drift. Owning the product direction creates a duty to monitor upstream continuously and absorb its security fixes, platform changes, performance work, corrections, and valuable capabilities. A divergence ledger, event-driven critical intake, scheduled review, and pre-release reconciliation prevent accidental isolation without turning upstream mergeability back into the product goal.</w:t>
      </w:r>
    </w:p>
    <w:p>
      <w:pPr>
        <w:pStyle w:val="ListBullet"/>
        <w:spacing w:after="60"/>
      </w:pPr>
      <w:r>
        <w:t>Packaging reality. Source-tree tests are not installed-product proof. Public facades, resources, dependencies, upgrades, and supported platforms must be tested where users actually run VibeCAD.</w:t>
      </w:r>
    </w:p>
    <w:p>
      <w:pPr>
        <w:pStyle w:val="ListBullet"/>
        <w:spacing w:after="60"/>
      </w:pPr>
      <w:r>
        <w:t>Overclaiming from visuals. A polished viewport, green badge, or plausible flow field is persuasive. The design system must actively prevent visual polish from strengthening the underlying evidence claim.</w:t>
      </w:r>
    </w:p>
    <w:p>
      <w:pPr>
        <w:pStyle w:val="Heading1"/>
      </w:pPr>
      <w:r>
        <w:t>12. Definition of done from the user’s perspective</w:t>
      </w:r>
    </w:p>
    <w:p>
      <w:r>
        <w:t>The roadmap is not complete when every interface exists. It is complete when the following experience holds under real failure and change:</w:t>
      </w:r>
    </w:p>
    <w:p>
      <w:pPr>
        <w:pStyle w:val="ListNumber"/>
        <w:spacing w:after="80"/>
      </w:pPr>
      <w:r>
        <w:t>The user can create and revise common CAD geometry through one authoritative Native path, with operation-appropriate preview, fresh Apply/Reject, receipts, and undo isolation across in-app and Bot surfaces.</w:t>
      </w:r>
    </w:p>
    <w:p>
      <w:pPr>
        <w:pStyle w:val="ListNumber"/>
        <w:spacing w:after="80"/>
      </w:pPr>
      <w:r>
        <w:t>Every analysis and workflow is tied to an exact source and dependency snapshot, survives supported restarts, verifies artifacts, represents currentness honestly, and publishes exactly once or refuses clearly.</w:t>
      </w:r>
    </w:p>
    <w:p>
      <w:pPr>
        <w:pStyle w:val="ListNumber"/>
        <w:spacing w:after="80"/>
      </w:pPr>
      <w:r>
        <w:t>The Analyze experience shows scientific values with correct units, ranges, association, source, and display controls while separately showing execution, verification, currentness, and publication.</w:t>
      </w:r>
    </w:p>
    <w:p>
      <w:pPr>
        <w:pStyle w:val="ListNumber"/>
        <w:spacing w:after="80"/>
      </w:pPr>
      <w:r>
        <w:t>Remote work can disconnect and reconnect without duplicate attempts, credential leakage, silent solver/fidelity changes, or unverified output admission.</w:t>
      </w:r>
    </w:p>
    <w:p>
      <w:pPr>
        <w:pStyle w:val="ListNumber"/>
        <w:spacing w:after="80"/>
      </w:pPr>
      <w:r>
        <w:t>Optimization exposes the bounded search, failures, constraints, ranking, and provenance, and changes accepted CAD only after explicit human authorization.</w:t>
      </w:r>
    </w:p>
    <w:p>
      <w:pPr>
        <w:pStyle w:val="ListNumber"/>
        <w:spacing w:after="80"/>
      </w:pPr>
      <w:r>
        <w:t>Manufacture, Assembly, service, and Robot flows preserve their existing owners and report the strongest supported—not desired—claim at each boundary.</w:t>
      </w:r>
    </w:p>
    <w:p>
      <w:pPr>
        <w:pStyle w:val="ListNumber"/>
        <w:spacing w:after="80"/>
      </w:pPr>
      <w:r>
        <w:t>Installed builds on supported platforms reproduce the source-tree promises, including save/reopen, rename, stale, crash, cancellation, duplicate event, and publication-race scenarios.</w:t>
      </w:r>
    </w:p>
    <w:p>
      <w:pPr>
        <w:pStyle w:val="ListNumber"/>
        <w:spacing w:after="80"/>
      </w:pPr>
      <w:r>
        <w:t>The product is comfortable saying unavailable, stale, not solved, unverified, unqualified, indeterminate, not manufacturable, or not airworthy whenever that is the truthful state.</w:t>
      </w:r>
    </w:p>
    <w:p>
      <w:pPr>
        <w:pStyle w:val="Heading1"/>
      </w:pPr>
      <w:r>
        <w:t>Conclusion</w:t>
      </w:r>
    </w:p>
    <w:p>
      <w:r>
        <w:t>The remaining VibeCAD roadmap is the work of turning capability into confidence. Its technical themes—durable identity, artifact admission, preview authority, workflow recovery, provider reconnect, provenance graphs, domain claim ceilings, and installed acceptance—are all user-experience features once the product is used for serious engineering. They determine whether a user can understand what happened, reverse it, resume it, compare it, and defend it.</w:t>
      </w:r>
    </w:p>
    <w:p>
      <w:r>
        <w:t>The most important design choice is to preserve speed without simulating certainty. VibeCAD should let users move from intent to geometry, analysis, alternatives, manufacturing evidence, assembly planning, and robotic handoff with unusually little friction. But it should never borrow credibility from a solver exit code, an attractive rendering, an AI explanation, or a generated artifact. If the roadmap is completed in dependency order, governance will not feel like a brake. It will feel like the reason the assistant can be trusted with consequential work.</w:t>
      </w:r>
    </w:p>
    <w:p>
      <w:r>
        <w:t>As a product fork, VibeCAD is free to pursue that experience without waiting for another project to be ready for it. The discipline should move inward: maintain clean architecture, explicit compatibility boundaries, strong migrations, truthful evidence, and complete installed validation because our users need them. Upstream can merge what it values. Our responsibility is to make this version the best VibeCAD it can be.</w:t>
      </w:r>
    </w:p>
    <w:p>
      <w:pPr>
        <w:pStyle w:val="Heading1"/>
      </w:pPr>
      <w:r>
        <w:t>Repository sources consulted</w:t>
      </w:r>
    </w:p>
    <w:p>
      <w:pPr>
        <w:pStyle w:val="ListBullet"/>
        <w:spacing w:after="40"/>
      </w:pPr>
      <w:r>
        <w:rPr>
          <w:b/>
        </w:rPr>
        <w:t xml:space="preserve">Canonical cross-domain roadmap: </w:t>
      </w:r>
      <w:r>
        <w:t>docs/vibecad-governed-engineering-roadmap.md</w:t>
      </w:r>
    </w:p>
    <w:p>
      <w:pPr>
        <w:pStyle w:val="ListBullet"/>
        <w:spacing w:after="40"/>
      </w:pPr>
      <w:r>
        <w:rPr>
          <w:b/>
        </w:rPr>
        <w:t xml:space="preserve">Engineering Experience X-track: </w:t>
      </w:r>
      <w:r>
        <w:t>docs/design/engineering-experience/ENGINEERING_EXPERIENCE_X_TRACK.md</w:t>
      </w:r>
    </w:p>
    <w:p>
      <w:pPr>
        <w:pStyle w:val="ListBullet"/>
        <w:spacing w:after="40"/>
      </w:pPr>
      <w:r>
        <w:rPr>
          <w:b/>
        </w:rPr>
        <w:t xml:space="preserve">Analyze workspace specification: </w:t>
      </w:r>
      <w:r>
        <w:t>docs/design/engineering-experience/ANALYSIS_WORKSPACE_SPEC.md</w:t>
      </w:r>
    </w:p>
    <w:p>
      <w:pPr>
        <w:pStyle w:val="ListBullet"/>
        <w:spacing w:after="40"/>
      </w:pPr>
      <w:r>
        <w:rPr>
          <w:b/>
        </w:rPr>
        <w:t xml:space="preserve">VibeCADAero canonical roadmap: </w:t>
      </w:r>
      <w:r>
        <w:t>docs/vibecadaero-roadmap.md</w:t>
      </w:r>
    </w:p>
    <w:p>
      <w:pPr>
        <w:pStyle w:val="ListBullet"/>
        <w:spacing w:after="40"/>
      </w:pPr>
      <w:r>
        <w:rPr>
          <w:b/>
        </w:rPr>
        <w:t xml:space="preserve">Recovered advanced Aero roadmap: </w:t>
      </w:r>
      <w:r>
        <w:t>docs/vibecadaero-advanced-recovery/RECOVERED_ADVANCED_VIBECAD_ROADMAP.md</w:t>
      </w:r>
    </w:p>
    <w:p>
      <w:pPr>
        <w:pStyle w:val="ListBullet"/>
        <w:spacing w:after="40"/>
      </w:pPr>
      <w:r>
        <w:rPr>
          <w:b/>
        </w:rPr>
        <w:t xml:space="preserve">Advanced Aero preservation supplement: </w:t>
      </w:r>
      <w:r>
        <w:t>docs/vibecadaero-advanced-recovery/VIBECADAERO_SECOND_PASS_PRESERVATION_SUPPLEMENT.md</w:t>
      </w:r>
    </w:p>
    <w:p>
      <w:pPr>
        <w:pStyle w:val="ListBullet"/>
        <w:spacing w:after="40"/>
      </w:pPr>
      <w:r>
        <w:rPr>
          <w:b/>
        </w:rPr>
        <w:t xml:space="preserve">Native authority-policy census: </w:t>
      </w:r>
      <w:r>
        <w:t>docs/vibecad-native-authority-census.md</w:t>
      </w:r>
    </w:p>
    <w:p>
      <w:pPr>
        <w:pStyle w:val="ListBullet"/>
        <w:spacing w:after="40"/>
      </w:pPr>
      <w:r>
        <w:rPr>
          <w:b/>
        </w:rPr>
        <w:t xml:space="preserve">Durable workflow DAG: </w:t>
      </w:r>
      <w:r>
        <w:t>docs/vibecad-durable-workflow-dag.md</w:t>
      </w:r>
    </w:p>
    <w:p>
      <w:pPr>
        <w:pStyle w:val="ListBullet"/>
        <w:spacing w:after="40"/>
      </w:pPr>
      <w:r>
        <w:rPr>
          <w:b/>
        </w:rPr>
        <w:t xml:space="preserve">VibeScript agent-surface completion: </w:t>
      </w:r>
      <w:r>
        <w:t>docs/vibescript-agent-surface-completion.md</w:t>
      </w:r>
    </w:p>
    <w:p>
      <w:pPr>
        <w:pStyle w:val="ListBullet"/>
        <w:spacing w:after="40"/>
      </w:pPr>
      <w:r>
        <w:rPr>
          <w:b/>
        </w:rPr>
        <w:t xml:space="preserve">CAD-honesty and Native planning: </w:t>
      </w:r>
      <w:r>
        <w:t>../PLAN.md, ../PLAN_V2.md, ../PLAN_V3.md, ../PLAN_V4.md, and ../PLAN_50.md</w:t>
      </w:r>
    </w:p>
    <w:p>
      <w:pPr>
        <w:pStyle w:val="ListBullet"/>
        <w:spacing w:after="40"/>
      </w:pPr>
      <w:r>
        <w:rPr>
          <w:b/>
        </w:rPr>
        <w:t xml:space="preserve">Aero ribbon/tool gap inventory: </w:t>
      </w:r>
      <w:r>
        <w:t>../AERO_RIBBON_AND_TOOL_GAPS.md</w:t>
      </w:r>
    </w:p>
    <w:p>
      <w:r>
        <w:t>Assessment note: current executable source and validated runtime behavior remain authoritative where they differ from planning documents. The paper does not claim manufacturability, solver qualification, safety, airworthiness, or completion of milestones that the repository labels partial, blocked, design-ready, or unverified.</w:t>
      </w:r>
    </w:p>
    <w:sectPr w:rsidR="00FC693F" w:rsidRPr="0006063C" w:rsidSect="00034616">
      <w:headerReference w:type="default" r:id="rId9"/>
      <w:footerReference w:type="default" r:id="rId10"/>
      <w:pgSz w:w="12240" w:h="15840"/>
      <w:pgMar w:top="1181"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586"/>
        <w:sz w:val="16"/>
      </w:rPr>
      <w:t xml:space="preserve">Repository-grounded assessment  •  27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7A"/>
        <w:sz w:val="16"/>
      </w:rPr>
      <w:t>VIBECAD  |  ROADMAP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23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5F74"/>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2853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2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Item">
    <w:name w:val="Roadmap Item"/>
    <w:pPr>
      <w:keepNext/>
      <w:spacing w:before="160" w:after="40"/>
    </w:pPr>
    <w:rPr>
      <w:rFonts w:ascii="Calibri" w:hAnsi="Calibri"/>
      <w:b/>
      <w:color w:val="1F5F7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VibeCAD: The Remaining Roadmap—and What It Means for the User Experience</dc:title>
  <dc:subject>Repository-grounded product and engineering roadmap paper</dc:subject>
  <dc:creator>OpenAI Codex</dc:creator>
  <cp:keywords>VibeCAD, roadmap, user experience, governed engineering, CAD, analysis, Aero</cp:keywords>
  <dc:description>generated by python-docx</dc:description>
  <cp:lastModifiedBy/>
  <cp:revision>1</cp:revision>
  <dcterms:created xsi:type="dcterms:W3CDTF">2013-12-23T23:15:00Z</dcterms:created>
  <dcterms:modified xsi:type="dcterms:W3CDTF">2013-12-23T23:15:00Z</dcterms:modified>
  <cp:category/>
</cp:coreProperties>
</file>