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Founder's Annual Letter</w:t>
      </w:r>
    </w:p>
    <w:p>
      <w:r>
        <w:t xml:space="preserve">A note on where performance creative is heading.</w:t>
      </w:r>
    </w:p>
    <w:p>
      <w:pPr>
        <w:pStyle w:val="Heading1"/>
      </w:pPr>
      <w:r>
        <w:t xml:space="preserve">The Year Behind</w:t>
      </w:r>
    </w:p>
    <w:p>
      <w:r>
        <w:t xml:space="preserve">We spent the year proving a simple claim: the best ads do not look like ads, and the data now backs it at scale.</w:t>
      </w:r>
    </w:p>
    <w:p>
      <w:pPr>
        <w:pStyle w:val="Heading1"/>
      </w:pPr>
      <w:r>
        <w:t xml:space="preserve">What We Learned</w:t>
      </w:r>
    </w:p>
    <w:p>
      <w:r>
        <w:t xml:space="preserve">Relevance compounds. When creative earns attention honestly, every downstream metric improves, and media efficiency follows.</w:t>
      </w:r>
    </w:p>
    <w:p>
      <w:pPr>
        <w:pStyle w:val="Heading1"/>
      </w:pPr>
      <w:r>
        <w:t xml:space="preserve">The Year Ahead</w:t>
      </w:r>
    </w:p>
    <w:p>
      <w:pPr>
        <w:pStyle w:val="ListParagraph"/>
        <w:numPr>
          <w:ilvl w:val="0"/>
          <w:numId w:val="1"/>
        </w:numPr>
      </w:pPr>
      <w:r>
        <w:t xml:space="preserve">Deepen audience intelligence.</w:t>
      </w:r>
    </w:p>
    <w:p>
      <w:pPr>
        <w:pStyle w:val="ListParagraph"/>
        <w:numPr>
          <w:ilvl w:val="0"/>
          <w:numId w:val="1"/>
        </w:numPr>
      </w:pPr>
      <w:r>
        <w:t xml:space="preserve">Expand into two new verticals.</w:t>
      </w:r>
    </w:p>
    <w:p>
      <w:pPr>
        <w:pStyle w:val="ListParagraph"/>
        <w:numPr>
          <w:ilvl w:val="0"/>
          <w:numId w:val="1"/>
        </w:numPr>
      </w:pPr>
      <w:r>
        <w:t xml:space="preserve">Keep restraint as the operating principle.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2026-07-15T07:08:02.229Z</dcterms:created>
  <dcterms:modified xsi:type="dcterms:W3CDTF">2026-07-15T07:08:02.229Z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