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Q3 Performance Campaign Brief</w:t>
      </w:r>
    </w:p>
    <w:p>
      <w:r>
        <w:t xml:space="preserve">Paid social creative plan for the North American launch window.</w:t>
      </w:r>
    </w:p>
    <w:p>
      <w:pPr>
        <w:pStyle w:val="Heading1"/>
      </w:pPr>
      <w:r>
        <w:t xml:space="preserve">Objective</w:t>
      </w:r>
    </w:p>
    <w:p>
      <w:r>
        <w:t xml:space="preserve">Drive qualified installs for the mobile app across TikTok and Meta while holding blended CPA under target. The brief covers creative direction, audience segments, and the testing framework for the first six weeks.</w:t>
      </w:r>
    </w:p>
    <w:p>
      <w:pPr>
        <w:pStyle w:val="Heading1"/>
      </w:pPr>
      <w:r>
        <w:t xml:space="preserve">Audience Segments</w:t>
      </w:r>
    </w:p>
    <w:p>
      <w:r>
        <w:t xml:space="preserve">We are prioritising three segments based on watch-behaviour analysis rather than lookalike guesswork.</w:t>
      </w:r>
    </w:p>
    <w:p>
      <w:pPr>
        <w:pStyle w:val="ListParagraph"/>
        <w:numPr>
          <w:ilvl w:val="0"/>
          <w:numId w:val="1"/>
        </w:numPr>
      </w:pPr>
      <w:r>
        <w:t xml:space="preserve">Deal-seekers who follow discount and coupon creators.</w:t>
      </w:r>
    </w:p>
    <w:p>
      <w:pPr>
        <w:pStyle w:val="ListParagraph"/>
        <w:numPr>
          <w:ilvl w:val="0"/>
          <w:numId w:val="1"/>
        </w:numPr>
      </w:pPr>
      <w:r>
        <w:t xml:space="preserve">Routine-builders engaging with morning and productivity content.</w:t>
      </w:r>
    </w:p>
    <w:p>
      <w:pPr>
        <w:pStyle w:val="ListParagraph"/>
        <w:numPr>
          <w:ilvl w:val="0"/>
          <w:numId w:val="1"/>
        </w:numPr>
      </w:pPr>
      <w:r>
        <w:t xml:space="preserve">Switchers actively comparing competitor apps in-category.</w:t>
      </w:r>
    </w:p>
    <w:p>
      <w:pPr>
        <w:pStyle w:val="Heading1"/>
      </w:pPr>
      <w:r>
        <w:t xml:space="preserve">Creative Angles</w:t>
      </w:r>
    </w:p>
    <w:p>
      <w:pPr>
        <w:pStyle w:val="ListParagraph"/>
        <w:numPr>
          <w:ilvl w:val="0"/>
          <w:numId w:val="1"/>
        </w:numPr>
      </w:pPr>
      <w:r>
        <w:t xml:space="preserve">Problem-agitate hooks in the first two seconds.</w:t>
      </w:r>
    </w:p>
    <w:p>
      <w:pPr>
        <w:pStyle w:val="ListParagraph"/>
        <w:numPr>
          <w:ilvl w:val="0"/>
          <w:numId w:val="1"/>
        </w:numPr>
      </w:pPr>
      <w:r>
        <w:t xml:space="preserve">Native UGC that mirrors organic feed content.</w:t>
      </w:r>
    </w:p>
    <w:p>
      <w:pPr>
        <w:pStyle w:val="ListParagraph"/>
        <w:numPr>
          <w:ilvl w:val="0"/>
          <w:numId w:val="1"/>
        </w:numPr>
      </w:pPr>
      <w:r>
        <w:t xml:space="preserve">Data-led proof using real dashboard footage.</w:t>
      </w:r>
    </w:p>
    <w:p>
      <w:pPr>
        <w:pStyle w:val="Heading1"/>
      </w:pPr>
      <w:r>
        <w:t xml:space="preserve">Targets</w:t>
      </w:r>
    </w:p>
    <w:p>
      <w:r>
        <w:t xml:space="preserve">-32% — Blended CPA</w:t>
      </w:r>
    </w:p>
    <w:p>
      <w:r>
        <w:t xml:space="preserve">3.4× — Target ROAS</w:t>
      </w:r>
    </w:p>
    <w:p>
      <w:r>
        <w:t xml:space="preserve">45 — Assets in flight</w:t>
      </w:r>
    </w:p>
    <w:p>
      <w:pPr>
        <w:pStyle w:val="Heading1"/>
      </w:pPr>
      <w:r>
        <w:t xml:space="preserve">Measurement</w:t>
      </w:r>
    </w:p>
    <w:p>
      <w:r>
        <w:t xml:space="preserve">Each concept is mapped to a hook, an angle, and a segment so results are attributable. We review at day 7 and day 21, then scale the top quartile and retire the bottom quartile.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2026-07-15T06:47:49.844Z</dcterms:created>
  <dcterms:modified xsi:type="dcterms:W3CDTF">2026-07-15T06:47:49.845Z</dcterms:modified>
</cp:coreProperties>
</file>

<file path=docProps/custom.xml><?xml version="1.0" encoding="utf-8"?>
<Properties xmlns="http://schemas.openxmlformats.org/officeDocument/2006/custom-properties" xmlns:vt="http://schemas.openxmlformats.org/officeDocument/2006/docPropsVTypes"/>
</file>