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Case Study: Scaling a DTC Supplement Brand</w:t>
      </w:r>
    </w:p>
    <w:p>
      <w:r>
        <w:t xml:space="preserve">How audience-first creative cut acquisition cost in a saturated category.</w:t>
      </w:r>
    </w:p>
    <w:p>
      <w:pPr>
        <w:pStyle w:val="Heading1"/>
      </w:pPr>
      <w:r>
        <w:t xml:space="preserve">The Challenge</w:t>
      </w:r>
    </w:p>
    <w:p>
      <w:r>
        <w:t xml:space="preserve">The brand had plateaued at a ceiling where every new dollar of spend pushed CPA higher. Their creative leaned on competitor mimicry and studio-glossy production that audiences scrolled past.</w:t>
      </w:r>
    </w:p>
    <w:p>
      <w:pPr>
        <w:pStyle w:val="Heading1"/>
      </w:pPr>
      <w:r>
        <w:t xml:space="preserve">The Approach</w:t>
      </w:r>
    </w:p>
    <w:p>
      <w:r>
        <w:t xml:space="preserve">We rebuilt the creative system around what their actual buyers watched, not what the category produced.</w:t>
      </w:r>
    </w:p>
    <w:p>
      <w:pPr>
        <w:pStyle w:val="ListParagraph"/>
        <w:numPr>
          <w:ilvl w:val="0"/>
          <w:numId w:val="1"/>
        </w:numPr>
      </w:pPr>
      <w:r>
        <w:t xml:space="preserve">Mapped watch-behaviour across 40 adjacent creators.</w:t>
      </w:r>
    </w:p>
    <w:p>
      <w:pPr>
        <w:pStyle w:val="ListParagraph"/>
        <w:numPr>
          <w:ilvl w:val="0"/>
          <w:numId w:val="1"/>
        </w:numPr>
      </w:pPr>
      <w:r>
        <w:t xml:space="preserve">Rewrote hooks around real objections, not features.</w:t>
      </w:r>
    </w:p>
    <w:p>
      <w:pPr>
        <w:pStyle w:val="ListParagraph"/>
        <w:numPr>
          <w:ilvl w:val="0"/>
          <w:numId w:val="1"/>
        </w:numPr>
      </w:pPr>
      <w:r>
        <w:t xml:space="preserve">Shifted 70% of budget to native, phone-shot footage.</w:t>
      </w:r>
    </w:p>
    <w:p>
      <w:pPr>
        <w:pStyle w:val="Heading1"/>
      </w:pPr>
      <w:r>
        <w:t xml:space="preserve">The Results</w:t>
      </w:r>
    </w:p>
    <w:p>
      <w:r>
        <w:t xml:space="preserve">-47% — CPA</w:t>
      </w:r>
    </w:p>
    <w:p>
      <w:r>
        <w:t xml:space="preserve">+182% — CTR</w:t>
      </w:r>
    </w:p>
    <w:p>
      <w:r>
        <w:t xml:space="preserve">3.2× — ROAS</w:t>
      </w:r>
    </w:p>
    <w:p>
      <w:pPr>
        <w:pStyle w:val="Heading1"/>
      </w:pPr>
      <w:r>
        <w:t xml:space="preserve">Why It Worked</w:t>
      </w:r>
    </w:p>
    <w:p>
      <w:r>
        <w:t xml:space="preserve">Performance followed relevance. When the creative stopped looking like advertising, watch time rose, CPMs fell, and the algorithm did the rest. The winning angles were then productised into a repeatable monthly bundle.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2026-07-15T06:47:49.909Z</dcterms:created>
  <dcterms:modified xsi:type="dcterms:W3CDTF">2026-07-15T06:47:49.909Z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