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State of Performance Creative in 2026</w:t>
      </w:r>
    </w:p>
    <w:p>
      <w:r>
        <w:t xml:space="preserve">Why the creative — not the media buy — is now the primary lever.</w:t>
      </w:r>
    </w:p>
    <w:p>
      <w:pPr>
        <w:pStyle w:val="Heading1"/>
      </w:pPr>
      <w:r>
        <w:t xml:space="preserve">Executive Summary</w:t>
      </w:r>
    </w:p>
    <w:p>
      <w:r>
        <w:t xml:space="preserve">Targeting has commoditised. With signal loss and automated bidding, the creative is the last controllable variable that meaningfully moves cost per acquisition. This paper outlines the shift and what it means for growth teams.</w:t>
      </w:r>
    </w:p>
    <w:p>
      <w:pPr>
        <w:pStyle w:val="Heading1"/>
      </w:pPr>
      <w:r>
        <w:t xml:space="preserve">The Targeting Plateau</w:t>
      </w:r>
    </w:p>
    <w:p>
      <w:r>
        <w:t xml:space="preserve">As platforms consolidated audiences into broad automated delivery, the differences between advertisers collapsed onto one axis: the asset itself. The teams still winning are the ones treating creative as a research problem.</w:t>
      </w:r>
    </w:p>
    <w:p>
      <w:pPr>
        <w:pStyle w:val="Heading1"/>
      </w:pPr>
      <w:r>
        <w:t xml:space="preserve">Audience Intelligence</w:t>
      </w:r>
    </w:p>
    <w:p>
      <w:r>
        <w:t xml:space="preserve">The highest-performing teams start from demand, not from the competitor set.</w:t>
      </w:r>
    </w:p>
    <w:p>
      <w:pPr>
        <w:pStyle w:val="ListParagraph"/>
        <w:numPr>
          <w:ilvl w:val="0"/>
          <w:numId w:val="1"/>
        </w:numPr>
      </w:pPr>
      <w:r>
        <w:t xml:space="preserve">Study watch-behaviour to find latent objections.</w:t>
      </w:r>
    </w:p>
    <w:p>
      <w:pPr>
        <w:pStyle w:val="ListParagraph"/>
        <w:numPr>
          <w:ilvl w:val="0"/>
          <w:numId w:val="1"/>
        </w:numPr>
      </w:pPr>
      <w:r>
        <w:t xml:space="preserve">Segment by intent signals, not demographics alone.</w:t>
      </w:r>
    </w:p>
    <w:p>
      <w:pPr>
        <w:pStyle w:val="ListParagraph"/>
        <w:numPr>
          <w:ilvl w:val="0"/>
          <w:numId w:val="1"/>
        </w:numPr>
      </w:pPr>
      <w:r>
        <w:t xml:space="preserve">Treat every hook as a testable hypothesis.</w:t>
      </w:r>
    </w:p>
    <w:p>
      <w:pPr>
        <w:pStyle w:val="Heading1"/>
      </w:pPr>
      <w:r>
        <w:t xml:space="preserve">Operating Model</w:t>
      </w:r>
    </w:p>
    <w:p>
      <w:r>
        <w:t xml:space="preserve">Volume without a system is noise. A durable operating model maps each concept to a hook, an angle, a segment, and a rationale, then lets performance decide what scales.</w:t>
      </w:r>
    </w:p>
    <w:p>
      <w:pPr>
        <w:pStyle w:val="Heading1"/>
      </w:pPr>
      <w:r>
        <w:t xml:space="preserve">Outlook</w:t>
      </w:r>
    </w:p>
    <w:p>
      <w:r>
        <w:t xml:space="preserve">70% — Variance explained by creative</w:t>
      </w:r>
    </w:p>
    <w:p>
      <w:r>
        <w:t xml:space="preserve">2.1× — Median lift from native format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2026-07-15T06:47:50.774Z</dcterms:created>
  <dcterms:modified xsi:type="dcterms:W3CDTF">2026-07-15T06:47:50.774Z</dcterms:modified>
</cp:coreProperties>
</file>

<file path=docProps/custom.xml><?xml version="1.0" encoding="utf-8"?>
<Properties xmlns="http://schemas.openxmlformats.org/officeDocument/2006/custom-properties" xmlns:vt="http://schemas.openxmlformats.org/officeDocument/2006/docPropsVTypes"/>
</file>