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jc w:val="center"/>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02">
      <w:pPr>
        <w:spacing w:after="160" w:line="259"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Pr>
        <w:drawing>
          <wp:inline distB="0" distT="0" distL="0" distR="0">
            <wp:extent cx="4206771" cy="1679938"/>
            <wp:effectExtent b="0" l="0" r="0" t="0"/>
            <wp:docPr descr="Imagen que contiene Icono&#10;&#10;Descripción generada automáticamente" id="1" name="image1.png"/>
            <a:graphic>
              <a:graphicData uri="http://schemas.openxmlformats.org/drawingml/2006/picture">
                <pic:pic>
                  <pic:nvPicPr>
                    <pic:cNvPr descr="Imagen que contiene Icono&#10;&#10;Descripción generada automáticamente" id="0" name="image1.png"/>
                    <pic:cNvPicPr preferRelativeResize="0"/>
                  </pic:nvPicPr>
                  <pic:blipFill>
                    <a:blip r:embed="rId6"/>
                    <a:srcRect b="0" l="0" r="0" t="0"/>
                    <a:stretch>
                      <a:fillRect/>
                    </a:stretch>
                  </pic:blipFill>
                  <pic:spPr>
                    <a:xfrm>
                      <a:off x="0" y="0"/>
                      <a:ext cx="4206771" cy="167993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line="259" w:lineRule="auto"/>
        <w:jc w:val="center"/>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04">
      <w:pPr>
        <w:spacing w:after="160" w:line="259" w:lineRule="auto"/>
        <w:jc w:val="center"/>
        <w:rPr>
          <w:rFonts w:ascii="Times New Roman" w:cs="Times New Roman" w:eastAsia="Times New Roman" w:hAnsi="Times New Roman"/>
          <w:b w:val="1"/>
          <w:sz w:val="72"/>
          <w:szCs w:val="72"/>
        </w:rPr>
      </w:pPr>
      <w:r w:rsidDel="00000000" w:rsidR="00000000" w:rsidRPr="00000000">
        <w:rPr>
          <w:rFonts w:ascii="Times New Roman" w:cs="Times New Roman" w:eastAsia="Times New Roman" w:hAnsi="Times New Roman"/>
          <w:b w:val="1"/>
          <w:sz w:val="72"/>
          <w:szCs w:val="72"/>
          <w:rtl w:val="0"/>
        </w:rPr>
        <w:t xml:space="preserve">DESARROLLO</w:t>
      </w:r>
    </w:p>
    <w:p w:rsidR="00000000" w:rsidDel="00000000" w:rsidP="00000000" w:rsidRDefault="00000000" w:rsidRPr="00000000" w14:paraId="00000005">
      <w:pPr>
        <w:spacing w:after="160" w:line="259" w:lineRule="auto"/>
        <w:jc w:val="center"/>
        <w:rPr>
          <w:rFonts w:ascii="Times New Roman" w:cs="Times New Roman" w:eastAsia="Times New Roman" w:hAnsi="Times New Roman"/>
          <w:b w:val="1"/>
          <w:sz w:val="72"/>
          <w:szCs w:val="72"/>
        </w:rPr>
      </w:pPr>
      <w:r w:rsidDel="00000000" w:rsidR="00000000" w:rsidRPr="00000000">
        <w:rPr>
          <w:rFonts w:ascii="Times New Roman" w:cs="Times New Roman" w:eastAsia="Times New Roman" w:hAnsi="Times New Roman"/>
          <w:b w:val="1"/>
          <w:sz w:val="72"/>
          <w:szCs w:val="72"/>
          <w:rtl w:val="0"/>
        </w:rPr>
        <w:t xml:space="preserve">DE SOFTWARE</w:t>
      </w:r>
    </w:p>
    <w:p w:rsidR="00000000" w:rsidDel="00000000" w:rsidP="00000000" w:rsidRDefault="00000000" w:rsidRPr="00000000" w14:paraId="0000000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8"/>
          <w:szCs w:val="48"/>
          <w:rtl w:val="0"/>
        </w:rPr>
        <w:t xml:space="preserve">Artículos Refactoring EG3</w:t>
      </w:r>
      <w:r w:rsidDel="00000000" w:rsidR="00000000" w:rsidRPr="00000000">
        <w:rPr>
          <w:rtl w:val="0"/>
        </w:rPr>
      </w:r>
    </w:p>
    <w:p w:rsidR="00000000" w:rsidDel="00000000" w:rsidP="00000000" w:rsidRDefault="00000000" w:rsidRPr="00000000" w14:paraId="00000007">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Jorge Mejías Donoso 100495807</w:t>
      </w:r>
    </w:p>
    <w:p w:rsidR="00000000" w:rsidDel="00000000" w:rsidP="00000000" w:rsidRDefault="00000000" w:rsidRPr="00000000" w14:paraId="00000008">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Javier Moyano San Bruno 100495884</w:t>
      </w:r>
    </w:p>
    <w:p w:rsidR="00000000" w:rsidDel="00000000" w:rsidP="00000000" w:rsidRDefault="00000000" w:rsidRPr="00000000" w14:paraId="00000009">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Fernando Lopez de Olmedo Rodriguez-Solano </w:t>
      </w:r>
      <w:r w:rsidDel="00000000" w:rsidR="00000000" w:rsidRPr="00000000">
        <w:rPr>
          <w:rFonts w:ascii="Times New Roman" w:cs="Times New Roman" w:eastAsia="Times New Roman" w:hAnsi="Times New Roman"/>
          <w:color w:val="181537"/>
          <w:sz w:val="28"/>
          <w:szCs w:val="28"/>
          <w:highlight w:val="white"/>
          <w:rtl w:val="0"/>
        </w:rPr>
        <w:t xml:space="preserve">100495977</w:t>
      </w:r>
      <w:r w:rsidDel="00000000" w:rsidR="00000000" w:rsidRPr="00000000">
        <w:rPr>
          <w:rtl w:val="0"/>
        </w:rPr>
      </w:r>
    </w:p>
    <w:p w:rsidR="00000000" w:rsidDel="00000000" w:rsidP="00000000" w:rsidRDefault="00000000" w:rsidRPr="00000000" w14:paraId="0000000A">
      <w:pPr>
        <w:spacing w:after="160" w:line="259" w:lineRule="auto"/>
        <w:rPr>
          <w:rFonts w:ascii="Times New Roman" w:cs="Times New Roman" w:eastAsia="Times New Roman" w:hAnsi="Times New Roman"/>
          <w:b w:val="1"/>
          <w:sz w:val="54"/>
          <w:szCs w:val="54"/>
          <w:u w:val="singl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pStyle w:val="Heading1"/>
        <w:spacing w:after="160" w:line="259" w:lineRule="auto"/>
        <w:rPr>
          <w:rFonts w:ascii="Times New Roman" w:cs="Times New Roman" w:eastAsia="Times New Roman" w:hAnsi="Times New Roman"/>
          <w:sz w:val="50"/>
          <w:szCs w:val="50"/>
        </w:rPr>
      </w:pPr>
      <w:bookmarkStart w:colFirst="0" w:colLast="0" w:name="_jt1r8imk037x" w:id="0"/>
      <w:bookmarkEnd w:id="0"/>
      <w:r w:rsidDel="00000000" w:rsidR="00000000" w:rsidRPr="00000000">
        <w:rPr>
          <w:rtl w:val="0"/>
        </w:rPr>
      </w:r>
    </w:p>
    <w:p w:rsidR="00000000" w:rsidDel="00000000" w:rsidP="00000000" w:rsidRDefault="00000000" w:rsidRPr="00000000" w14:paraId="0000000D">
      <w:pPr>
        <w:pStyle w:val="Heading1"/>
        <w:spacing w:after="160" w:line="276" w:lineRule="auto"/>
        <w:jc w:val="both"/>
        <w:rPr>
          <w:rFonts w:ascii="Times New Roman" w:cs="Times New Roman" w:eastAsia="Times New Roman" w:hAnsi="Times New Roman"/>
          <w:b w:val="1"/>
          <w:u w:val="single"/>
        </w:rPr>
      </w:pPr>
      <w:bookmarkStart w:colFirst="0" w:colLast="0" w:name="_g4luugulvw8c" w:id="1"/>
      <w:bookmarkEnd w:id="1"/>
      <w:r w:rsidDel="00000000" w:rsidR="00000000" w:rsidRPr="00000000">
        <w:rPr>
          <w:rtl w:val="0"/>
        </w:rPr>
      </w:r>
    </w:p>
    <w:p w:rsidR="00000000" w:rsidDel="00000000" w:rsidP="00000000" w:rsidRDefault="00000000" w:rsidRPr="00000000" w14:paraId="0000000E">
      <w:pPr>
        <w:pStyle w:val="Heading1"/>
        <w:spacing w:after="160" w:line="276" w:lineRule="auto"/>
        <w:jc w:val="both"/>
        <w:rPr>
          <w:rFonts w:ascii="Times New Roman" w:cs="Times New Roman" w:eastAsia="Times New Roman" w:hAnsi="Times New Roman"/>
          <w:b w:val="1"/>
          <w:u w:val="single"/>
        </w:rPr>
      </w:pPr>
      <w:bookmarkStart w:colFirst="0" w:colLast="0" w:name="_17ztal22s7z7" w:id="2"/>
      <w:bookmarkEnd w:id="2"/>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spacing w:after="160" w:line="276" w:lineRule="auto"/>
        <w:jc w:val="both"/>
        <w:rPr/>
      </w:pPr>
      <w:bookmarkStart w:colFirst="0" w:colLast="0" w:name="_ahggf1etxibe" w:id="3"/>
      <w:bookmarkEnd w:id="3"/>
      <w:r w:rsidDel="00000000" w:rsidR="00000000" w:rsidRPr="00000000">
        <w:rPr>
          <w:rFonts w:ascii="Times New Roman" w:cs="Times New Roman" w:eastAsia="Times New Roman" w:hAnsi="Times New Roman"/>
          <w:b w:val="1"/>
          <w:u w:val="single"/>
          <w:rtl w:val="0"/>
        </w:rPr>
        <w:t xml:space="preserve">Comentarios sobre artículos de refactoring</w:t>
      </w:r>
      <w:r w:rsidDel="00000000" w:rsidR="00000000" w:rsidRPr="00000000">
        <w:rPr>
          <w:rtl w:val="0"/>
        </w:rPr>
      </w:r>
    </w:p>
    <w:p w:rsidR="00000000" w:rsidDel="00000000" w:rsidP="00000000" w:rsidRDefault="00000000" w:rsidRPr="00000000" w14:paraId="00000011">
      <w:pPr>
        <w:spacing w:line="276" w:lineRule="auto"/>
        <w:jc w:val="both"/>
        <w:rPr/>
      </w:pPr>
      <w:r w:rsidDel="00000000" w:rsidR="00000000" w:rsidRPr="00000000">
        <w:rPr>
          <w:rtl w:val="0"/>
        </w:rPr>
      </w:r>
    </w:p>
    <w:p w:rsidR="00000000" w:rsidDel="00000000" w:rsidP="00000000" w:rsidRDefault="00000000" w:rsidRPr="00000000" w14:paraId="00000012">
      <w:pPr>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Behind the Intent of Extract Method Refactoring:</w:t>
      </w:r>
    </w:p>
    <w:p w:rsidR="00000000" w:rsidDel="00000000" w:rsidP="00000000" w:rsidRDefault="00000000" w:rsidRPr="00000000" w14:paraId="00000013">
      <w:pPr>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A Systematic Literature Review</w:t>
      </w:r>
    </w:p>
    <w:p w:rsidR="00000000" w:rsidDel="00000000" w:rsidP="00000000" w:rsidRDefault="00000000" w:rsidRPr="00000000" w14:paraId="00000014">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Referencias:</w:t>
      </w:r>
    </w:p>
    <w:p w:rsidR="00000000" w:rsidDel="00000000" w:rsidP="00000000" w:rsidRDefault="00000000" w:rsidRPr="00000000" w14:paraId="0000001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Eman Abdullah AlOmar; Mohamed Wiem Mkaouer; Ali Ouni. (2024). Behind the Intent of Extract Method Refactoring: A Systematic Literature Review. IEEE Transactions on Software Engineering, 50(4), 668-694. DOI: 10.1109/TSE.2023.3345800.                                                                                  </w:t>
      </w:r>
      <w:hyperlink r:id="rId7">
        <w:r w:rsidDel="00000000" w:rsidR="00000000" w:rsidRPr="00000000">
          <w:rPr>
            <w:rFonts w:ascii="Times New Roman" w:cs="Times New Roman" w:eastAsia="Times New Roman" w:hAnsi="Times New Roman"/>
            <w:color w:val="1155cc"/>
            <w:sz w:val="24"/>
            <w:szCs w:val="24"/>
            <w:u w:val="single"/>
            <w:rtl w:val="0"/>
          </w:rPr>
          <w:t xml:space="preserve">https://ieeexplore.ieee.org/abstract/document/10381511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Comentario:</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"Behind the Intent of Extract Method Refactoring: A Systematic Literature Review" constituye una investigación exhaustiva que analiza el refactoring Extract Method, una práctica fundamental en la ingeniería de software para optimizar la calidad del código. Su relevancia se sustenta en su abordaje detallado de la literatura existente, lo cual permite identificar tanto las limitaciones inherentes como las posibles áreas de mejora en este ámbito crítico. Destacando la complejidad asociada a la aplicación efectiva del Extract Method y proporcionando un amplio catálogo de enfoques propuestos en diversos estudios, el artículo ofrece una valiosa orientación para investigadores y profesionales del desarrollo de software. Al explorar el amplio espectro de desafíos y soluciones relacionados con el Extract Method, contribuye significativamente a la comprensión global de esta práctica de refactorización y proporciona una base sólida para futuras investigaciones y avances en el campo del refactoring. Además, al enfocarse en la revisión sistemática de la literatura, este estudio proporciona una visión holística y estructurada que facilita la identificación de tendencias, patrones y lagunas en la investigación existente, lo cual es esencial para impulsar el progreso y la innovación en el ámbito del desarrollo de software.</w:t>
      </w:r>
    </w:p>
    <w:p w:rsidR="00000000" w:rsidDel="00000000" w:rsidP="00000000" w:rsidRDefault="00000000" w:rsidRPr="00000000" w14:paraId="0000001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Refactoring in Computational Notebooks</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Referencias:</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E. S., Lukes, D. A., &amp; Griswold, W. G. (2023). Refactoring in Computational Notebooks. ACM Transactions on Software Engineering and Methodology, 32(3), Article 77. </w:t>
      </w:r>
      <w:hyperlink r:id="rId8">
        <w:r w:rsidDel="00000000" w:rsidR="00000000" w:rsidRPr="00000000">
          <w:rPr>
            <w:rFonts w:ascii="Times New Roman" w:cs="Times New Roman" w:eastAsia="Times New Roman" w:hAnsi="Times New Roman"/>
            <w:color w:val="1155cc"/>
            <w:sz w:val="24"/>
            <w:szCs w:val="24"/>
            <w:u w:val="single"/>
            <w:rtl w:val="0"/>
          </w:rPr>
          <w:t xml:space="preserve">https://doi.org/10.1145/3576036</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C">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Comentario:</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artículo, publicado por Liu, Lukes y Griswold en 2023, se investiga el refactoring en cuadernos computacionales, un entorno popular para realizar análisis de datos. El estudio se centra en comprender la ecología única y en crecimiento de los cuadernos computacionales, examinando el refactoring de cuadernos </w:t>
      </w:r>
      <w:r w:rsidDel="00000000" w:rsidR="00000000" w:rsidRPr="00000000">
        <w:rPr>
          <w:rFonts w:ascii="Times New Roman" w:cs="Times New Roman" w:eastAsia="Times New Roman" w:hAnsi="Times New Roman"/>
          <w:sz w:val="24"/>
          <w:szCs w:val="24"/>
          <w:rtl w:val="0"/>
        </w:rPr>
        <w:t xml:space="preserve">Jupyter</w:t>
      </w:r>
      <w:r w:rsidDel="00000000" w:rsidR="00000000" w:rsidRPr="00000000">
        <w:rPr>
          <w:rFonts w:ascii="Times New Roman" w:cs="Times New Roman" w:eastAsia="Times New Roman" w:hAnsi="Times New Roman"/>
          <w:sz w:val="24"/>
          <w:szCs w:val="24"/>
          <w:rtl w:val="0"/>
        </w:rPr>
        <w:t xml:space="preserve"> públicos. Se seleccionaron aleatoriamente 15,000 cuadernos </w:t>
      </w:r>
      <w:r w:rsidDel="00000000" w:rsidR="00000000" w:rsidRPr="00000000">
        <w:rPr>
          <w:rFonts w:ascii="Times New Roman" w:cs="Times New Roman" w:eastAsia="Times New Roman" w:hAnsi="Times New Roman"/>
          <w:sz w:val="24"/>
          <w:szCs w:val="24"/>
          <w:rtl w:val="0"/>
        </w:rPr>
        <w:t xml:space="preserve">Jupyter</w:t>
      </w:r>
      <w:r w:rsidDel="00000000" w:rsidR="00000000" w:rsidRPr="00000000">
        <w:rPr>
          <w:rFonts w:ascii="Times New Roman" w:cs="Times New Roman" w:eastAsia="Times New Roman" w:hAnsi="Times New Roman"/>
          <w:sz w:val="24"/>
          <w:szCs w:val="24"/>
          <w:rtl w:val="0"/>
        </w:rPr>
        <w:t xml:space="preserve"> alojados en GitHub y se estudiaron 200 con historiales de commits significativos. Los autores identificaron refactorings a lo largo de la historia de cada cuaderno, clasificándolos según su género y el trasfondo del autor. Se encontró que los autores de cuadernos realmente realizan refactorings, utilizando una combinación diferente de operaciones de refactoring en comparación con los desarrolladores tradicionales. Además, se observó que los autores de cuadernos generalmente </w:t>
      </w:r>
      <w:r w:rsidDel="00000000" w:rsidR="00000000" w:rsidRPr="00000000">
        <w:rPr>
          <w:rFonts w:ascii="Times New Roman" w:cs="Times New Roman" w:eastAsia="Times New Roman" w:hAnsi="Times New Roman"/>
          <w:sz w:val="24"/>
          <w:szCs w:val="24"/>
          <w:rtl w:val="0"/>
        </w:rPr>
        <w:t xml:space="preserve">refactorizan</w:t>
      </w:r>
      <w:r w:rsidDel="00000000" w:rsidR="00000000" w:rsidRPr="00000000">
        <w:rPr>
          <w:rFonts w:ascii="Times New Roman" w:cs="Times New Roman" w:eastAsia="Times New Roman" w:hAnsi="Times New Roman"/>
          <w:sz w:val="24"/>
          <w:szCs w:val="24"/>
          <w:rtl w:val="0"/>
        </w:rPr>
        <w:t xml:space="preserve"> sus cuadernos a medida que avanzan, en lugar de realizar grandes limpiezas de código.</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Refactorización de código y consideraciones sobre la complejidad ciclomática</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Referencias:</w:t>
        <w:br w:type="textWrapping"/>
      </w:r>
      <w:r w:rsidDel="00000000" w:rsidR="00000000" w:rsidRPr="00000000">
        <w:rPr>
          <w:rFonts w:ascii="Times New Roman" w:cs="Times New Roman" w:eastAsia="Times New Roman" w:hAnsi="Times New Roman"/>
          <w:sz w:val="24"/>
          <w:szCs w:val="24"/>
          <w:rtl w:val="0"/>
        </w:rPr>
        <w:t xml:space="preserve">Cardacci, D. G. (2016). Econstor. Serie Documentos de Trabajo No. 592. </w:t>
      </w:r>
      <w:r w:rsidDel="00000000" w:rsidR="00000000" w:rsidRPr="00000000">
        <w:rPr>
          <w:color w:val="333333"/>
          <w:sz w:val="21"/>
          <w:szCs w:val="21"/>
          <w:highlight w:val="white"/>
          <w:rtl w:val="0"/>
        </w:rPr>
        <w:t xml:space="preserve">Universidad del Centro de Estudios Macroeconómicos de Argentina (UCEMA), Buenos Aires. Working Paper. </w:t>
      </w:r>
      <w:hyperlink r:id="rId9">
        <w:r w:rsidDel="00000000" w:rsidR="00000000" w:rsidRPr="00000000">
          <w:rPr>
            <w:color w:val="036300"/>
            <w:sz w:val="21"/>
            <w:szCs w:val="21"/>
            <w:highlight w:val="white"/>
            <w:rtl w:val="0"/>
          </w:rPr>
          <w:t xml:space="preserve">Serie Documentos de Trabajo, Universidad del CEMA</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Refactorización de código y consideraciones sobre la complejidad ciclomática. </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https://www.econstor.eu/handle/10419/163250</w:t>
        </w:r>
      </w:hyperlink>
      <w:r w:rsidDel="00000000" w:rsidR="00000000" w:rsidRPr="00000000">
        <w:rPr>
          <w:rFonts w:ascii="Times New Roman" w:cs="Times New Roman" w:eastAsia="Times New Roman" w:hAnsi="Times New Roman"/>
          <w:sz w:val="24"/>
          <w:szCs w:val="24"/>
          <w:rtl w:val="0"/>
        </w:rPr>
        <w:t xml:space="preserve">. (Artículo dentro de PDF)</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sz w:val="24"/>
          <w:szCs w:val="24"/>
          <w:rtl w:val="0"/>
        </w:rPr>
        <w:t xml:space="preserve">Comentario:</w:t>
        <w:br w:type="textWrapping"/>
      </w:r>
      <w:r w:rsidDel="00000000" w:rsidR="00000000" w:rsidRPr="00000000">
        <w:rPr>
          <w:rFonts w:ascii="Times New Roman" w:cs="Times New Roman" w:eastAsia="Times New Roman" w:hAnsi="Times New Roman"/>
          <w:color w:val="0d0d0d"/>
          <w:sz w:val="24"/>
          <w:szCs w:val="24"/>
          <w:highlight w:val="white"/>
          <w:rtl w:val="0"/>
        </w:rPr>
        <w:t xml:space="preserve">El artículo aborda la práctica de refactorización de software, centrándose en la transformación de código estructurado a código orientado a objetos y sus implicaciones en la complejidad ciclomática. Se discuten los beneficios de la refactorización en términos de legibilidad y mantenimiento del código, así como las consideraciones clave al realizar esta transformación. Se presentan ejemplos concretos y se analiza cómo la refactorización puede impactar en la complejidad ciclomática, una métrica que evalúa la complejidad lógica del programa. Se explican las formas de calcular la complejidad ciclomática y se compara la complejidad antes y después de la refactorización, demostrando cómo la orientación a objetos puede reducir la complejidad y mejorar la legibilidad del código.</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4">
      <w:pPr>
        <w:spacing w:after="240" w:before="240" w:lineRule="auto"/>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b w:val="1"/>
          <w:sz w:val="28"/>
          <w:szCs w:val="28"/>
          <w:highlight w:val="white"/>
          <w:rtl w:val="0"/>
        </w:rPr>
        <w:t xml:space="preserve">Refactoring for reuse: an empirical study</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Referencias:</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AlOmar, E. A., Wang, T., Raut, V., Mkaouer, M. W., Newman, C. D., &amp; Ouni, A. (2022). Refactoring for reuse: an empirical study. Innovations In Systems And Software Engineering, 18(1), 105-135. </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https://doi.org/10.1007/s11334-021-00422-6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Comentario:</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estudio sobre refactorizaciones de reusabilidad en proyectos Java es relevante porque ofrece una comprensión detallada de cómo los desarrolladores realizan cambios específicos para mejorar la reusabilidad del código, destacando patrones significativos en los efectos de estas refactorizaciones en métricas clave. Además, al revelar que solo una pequeña fracción de los commits se dedica a estas refactorizaciones, plantea importantes cuestiones sobre la priorización de la reusabilidad en el desarrollo de software. Las recomendaciones para futuras investigaciones, como explorar métricas relacionadas con la usabilidad y la intención de colaborar con la industria, prometen avanzar en la comprensión y aplicación práctica de la refactorización de reusabilidad, lo que podría conducir a mejoras significativas en la calidad y eficiencia del desarrollo de software.</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Rule="auto"/>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b w:val="1"/>
          <w:sz w:val="28"/>
          <w:szCs w:val="28"/>
          <w:highlight w:val="white"/>
          <w:rtl w:val="0"/>
        </w:rPr>
        <w:t xml:space="preserve">Energy Efficiency Analysis of Code Refactoring Techniques for Green and Sustainable Software in Portable Devices</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Referencias:</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Şanlıalp, İ., Öztürk, M. M., &amp; Yi̇Ği̇T, T. (2022). Energy Efficiency Analysis of Code Refactoring Techniques for Green and Sustainable Software in Portable Devices. Electronics, 11(3), 442. </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https://doi.org/10.3390/electronics11030442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Comentario:</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estudio sobre el impacto de las combinaciones de técnicas de refactorización de código en el consumo de energía es relevante por su abordaje de una preocupación emergente en el desarrollo de software: la eficiencia energética. Al investigar cómo diversas combinaciones de refactorización afectan el consumo de energía en aplicaciones móviles y de escritorio, proporciona información clave para los desarrolladores sobre cómo optimizar proyectos para reducir el consumo de energía, crucial para mejorar la vida útil de la batería de dispositivos móviles y reducir costos operativos. Además, al identificar combinaciones óptimas de técnicas de refactorización y señalar la incompatibilidad de ciertas técnicas, ofrece soluciones prácticas y establece direcciones para investigaciones futuras, contribuyendo al avance de la ingeniería de software en un contexto cada vez más preocupado por la sostenibilidad.</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Analysis of Code Refactoring Impact on Software Quality </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Referencias:</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Kaur, A., &amp; Kaur, M. (2016). MATEC Web of Conferences. Volume 57. 4th International Conference on Advancements in Engineering &amp; Technology (ICAET-2016).  02012. </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https://doi.org/10.1051/matecconf/20165702012</w:t>
        </w:r>
      </w:hyperlink>
      <w:r w:rsidDel="00000000" w:rsidR="00000000" w:rsidRPr="00000000">
        <w:rPr>
          <w:rFonts w:ascii="Times New Roman" w:cs="Times New Roman" w:eastAsia="Times New Roman" w:hAnsi="Times New Roman"/>
          <w:sz w:val="24"/>
          <w:szCs w:val="24"/>
          <w:rtl w:val="0"/>
        </w:rPr>
        <w:t xml:space="preserve">.  (Artículo dentro de PDF)</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Comentario:</w:t>
      </w:r>
      <w:r w:rsidDel="00000000" w:rsidR="00000000" w:rsidRPr="00000000">
        <w:rPr>
          <w:rtl w:val="0"/>
        </w:rPr>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En este artículo se aborda la refactorización de código como una técnica disciplinada para reestructurar el código fuente existente, mejorando su estructura interna sin alterar su comportamiento externo. Se destaca que la refactorización busca mejorar la comprensión y la capacidad de modificación del código, así como reducir la complejidad y los errores potenciales. Se mencionan herramientas automatizadas que facilitan el proceso de refactorización, disminuyendo la posibilidad de errores y reduciendo el tiempo requerido para realizar cambios. Además, se identifican los "malos olores" en el código, que indican problemas en su diseño y pueden abordarse mediante técnicas de refactorización. Se detallan técnicas específicas de refactorización, como "Extract Method", "Inline Method" y "Move Method", entre otras, que se utilizan para limpiar el código y mejorar su calidad. La refactorización se presenta como una actividad esencial para mejorar la mantenibilidad, la comprensión y la calidad del software, lo que se demuestra a través de un estudio experimental que muestra una reducción en la complejidad del código y una mejora en su calidad después de aplicar técnicas de refactorización.</w:t>
      </w:r>
      <w:r w:rsidDel="00000000" w:rsidR="00000000" w:rsidRPr="00000000">
        <w:rPr>
          <w:rtl w:val="0"/>
        </w:rPr>
      </w:r>
    </w:p>
    <w:sectPr>
      <w:headerReference r:id="rId14" w:type="first"/>
      <w:footerReference r:id="rId15" w:type="default"/>
      <w:footerReference r:id="rId16"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C">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jc w:val="left"/>
      <w:rPr/>
    </w:pPr>
    <w:r w:rsidDel="00000000" w:rsidR="00000000" w:rsidRPr="00000000">
      <w:rPr>
        <w:rtl w:val="0"/>
      </w:rPr>
    </w:r>
  </w:p>
  <w:p w:rsidR="00000000" w:rsidDel="00000000" w:rsidP="00000000" w:rsidRDefault="00000000" w:rsidRPr="00000000" w14:paraId="0000003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07/s11334-021-00422-6" TargetMode="External"/><Relationship Id="rId10" Type="http://schemas.openxmlformats.org/officeDocument/2006/relationships/hyperlink" Target="https://www.econstor.eu/handle/10419/163250" TargetMode="External"/><Relationship Id="rId13" Type="http://schemas.openxmlformats.org/officeDocument/2006/relationships/hyperlink" Target="https://doi.org/10.1051/matecconf/20165702012" TargetMode="External"/><Relationship Id="rId12" Type="http://schemas.openxmlformats.org/officeDocument/2006/relationships/hyperlink" Target="https://doi.org/10.3390/electronics1103044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constor.eu/escollectionhome/10419/83893" TargetMode="External"/><Relationship Id="rId15" Type="http://schemas.openxmlformats.org/officeDocument/2006/relationships/footer" Target="foot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ieeexplore.ieee.org/abstract/document/10381511" TargetMode="External"/><Relationship Id="rId8" Type="http://schemas.openxmlformats.org/officeDocument/2006/relationships/hyperlink" Target="https://doi.org/10.1145/35760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