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color w:val="555555"/>
          <w:sz w:val="30"/>
        </w:rPr>
        <w:t>深圳市捷顺科技实业股份有限公司</w:t>
      </w:r>
    </w:p>
    <w:p>
      <w:pPr>
        <w:spacing w:before="0" w:after="80" w:line="264" w:lineRule="auto"/>
        <w:jc w:val="center"/>
      </w:pPr>
      <w:r>
        <w:rPr>
          <w:rFonts w:ascii="Calibri" w:hAnsi="Calibri" w:eastAsia="Microsoft YaHei"/>
          <w:b/>
          <w:color w:val="000000"/>
          <w:sz w:val="52"/>
        </w:rPr>
        <w:t>物流过程管控系统</w:t>
      </w:r>
    </w:p>
    <w:p>
      <w:pPr>
        <w:spacing w:before="0" w:after="520" w:line="264" w:lineRule="auto"/>
        <w:jc w:val="center"/>
      </w:pPr>
      <w:r>
        <w:rPr>
          <w:rFonts w:ascii="Calibri" w:hAnsi="Calibri" w:eastAsia="Microsoft YaHei"/>
          <w:b/>
          <w:color w:val="2E74B5"/>
          <w:sz w:val="40"/>
        </w:rPr>
        <w:t>需求规格说明书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编制日期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2026-05-20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适用范围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发货作业台、扫码作业、物流费用、基础配置等首版功能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文档状态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草稿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保密等级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内部资料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文档控制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600"/>
        <w:gridCol w:w="5060"/>
        <w:gridCol w:w="15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2026-05-20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根据当前项目代码、页面原型和物流系统方案形成初版需求规格。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项目组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评审与确认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800"/>
        <w:gridCol w:w="3860"/>
        <w:gridCol w:w="150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意见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业务负责人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产品负责人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研发负责人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测试负责人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1 引言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2 项目概述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3 用户角色与职责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4 业务流程与状态机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5 功能性需求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6 页面与交互需求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7 数据需求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8 接口需求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9 非功能性需求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10 首版交付范围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11 验收标准</w:t>
      </w:r>
    </w:p>
    <w:p>
      <w:pPr>
        <w:spacing w:before="0" w:after="40" w:line="264" w:lineRule="auto"/>
      </w:pPr>
      <w:r>
        <w:rPr>
          <w:rFonts w:ascii="Calibri" w:hAnsi="Calibri" w:eastAsia="Microsoft YaHei"/>
        </w:rPr>
        <w:t>12 附录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 引言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1.1 编写目的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本文档用于明确物流过程管控系统首版建设范围、业务规则、功能需求、数据结构、接口边界、非功能要求和验收标准，为产品评审、研发实现、测试验收和后续迭代提供依据。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1.2 项目背景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当前项目围绕捷顺发货物流业务，重点解决发货资料完善、打印、扫码拣配、扫码抽检、扫码封箱、DNA 录入、发厂确认、物流单号、签收、对账、改价确认和报销跟踪的端到端闭环。系统现阶段以 Vue 3 + Vite 前端原型为主，已包含发货作业台、费用流程、物流配置和基础档案页面。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1.3 文档范围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覆盖发货任务从资料完善到费用报销完成的首版业务闭环。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覆盖扫码枪连续扫码、校验、异常提示和扫码记录留痕。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覆盖物流承运商、运费、配件箱、发货人等基础配置。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覆盖前端页面行为、核心接口规划和数据模型建议。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1.4 术语与缩写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DNA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大件产品需要录入的外部系统编号，用于发厂前强校验。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扫码枪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按键盘输入处理的条码采集设备，页面需要支持自动聚焦和回车提交。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发货单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系统内承载收货信息、物料清单、物流信息和费用状态的核心业务单据。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对账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物流公司上传费用数据后，财务进行核价与改价确认的流程。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报销闭环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对账确认后自动发起并跟踪总部财务处理结果的费用闭环。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 项目概述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系统定位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系统定位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物流过程管控系统是内部发货物流流程管控工具，不定位为通用 WMS 或运输调度系统。首版聚焦单据状态可控、扫码作业可追踪、大件 DNA 强校验、物流费用对账和报销闭环。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核心业务闭环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发货资料完善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打印备料/发货/封箱相关单据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扫码拣配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扫码抽检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扫码封箱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大件产品 DNA 录入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确认发厂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物流单号录入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运输与签收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物流费用对账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改价确认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报销跟踪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2.3 建设目标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形成以发货单为中心的流程状态机，避免跨节点误操作。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将拣配、抽检、封箱等关键动作沉淀为扫码记录，支持追溯和异常处理。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对含大件产品的发货单强制进行 DNA 编号录入和校验。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对物流单号、签收、作废、对账、改价和报销进行统一跟踪。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提供基础配置能力，支持运费规则、配件箱、承运公司、提货人和发货人维护。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2.4 系统边界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980"/>
        <w:gridCol w:w="378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边界类型</w:t>
            </w:r>
          </w:p>
        </w:tc>
        <w:tc>
          <w:tcPr>
            <w:tcW w:type="dxa" w:w="3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包含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不包含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发货作业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资料完善、打印、扫码、封箱、发厂确认、签收、作废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完整库存 WMS、仓位策略、复杂库内调拨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物流管理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承运商信息、物流单号、对账单、改价确认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实时车辆定位、自动派车、路径优化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费用闭环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费用项、核价、改价、多方确认、报销跟踪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复杂费用规则引擎、多承运商自动比价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系统实现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前端页面、接口规划、数据模型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外部 ERP/OA/财务系统的最终集成细节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 用户角色与职责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60"/>
        <w:gridCol w:w="260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主要职责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关键权限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发货资料维护人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完善收货、合同、销售订单、物料清单、成本中心、发货方式等信息。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新建/编辑发货单、导入物料、打印单据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包管员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使用扫码枪完成物料拣配，处理少扫、多扫、错扫异常。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拣配扫码、查看拣配清单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质量员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对物料或箱码进行抽检，登记通过或不通过原因。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抽检扫码、登记抽检结果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封箱员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扫描箱码和物料码，形成箱内明细并打印封箱单。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封箱扫码、绑定箱码、打印封箱单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DNA 录入员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对大件产品录入 DNA 编号并完成校验。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录入/校验 DNA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物控/装车库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确认发厂并触发物流发运节点。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发厂确认、查看装车状态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物流公司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填写物流单号、上传对账单、确认改价。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物流单号维护、对账单上传、改价确认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核价、改价审核、发起或跟踪报销。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费用核价、改价确认、报销跟踪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工厂/总部财务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对改价和费用报销进行确认。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费用确认、报销处理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客户/用户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接收发货通知并提供签收信息。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签收信息反馈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 业务流程与状态机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主流程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发货任务创建后进入待完善状态，由资料维护人补全收货信息、成本中心、发运方式、结算方式和物料清单。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资料完整后打印备料单、发货单和封箱相关单据，打印完成后允许进入扫码拣配。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拣配、抽检、封箱依次通过扫码枪完成，系统按条码、数量、归属关系和状态进行校验。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封箱完成后，如发货单包含大件产品，则必须先录入并校验 DNA 编号。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发厂确认后，由物流公司填写物流单号；录入单号后进入运输和签收节点。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签收或产生费用后进入对账，财务核价；若有改价，需物流公司、工厂和总部财务确认后才能报销。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4.2 发货单状态机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500"/>
        <w:gridCol w:w="3100"/>
        <w:gridCol w:w="3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状态编码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状态名称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允许进入条件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主要控制规则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待完善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发货任务创建后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资料未完整前不可打印、不可拣配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WAIT_PRINT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待打印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发货资料完整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打印完成后才能进入拣配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WAIT_PICK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待拣配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单据已打印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仅允许包管员扫码拣配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PICKING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拣配中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包管员开始扫码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少扫不可进入抽检，多扫/错扫生成异常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WAIT_QC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待抽检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应拣物料全部完成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必须由质量员扫码抽检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QC_CHECKING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抽检中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质量员开始扫码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不通过必须填写原因并退回或进入异常处理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WAIT_PACK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待封箱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抽检通过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未抽检通过不可封箱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PACKING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封箱中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封箱员开始扫码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箱码唯一，物料不得重复装箱或跨箱冲突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WAIT_DNA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待录入 DNA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已封箱且包含大件产品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DNA 未完成不可确认发厂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WAIT_FACTORY_CONFIRM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待确认发厂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已封箱且 DNA 完成或无需 DNA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发厂确认后才能填写物流单号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WAIT_WAYBILL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待物流单号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已确认发厂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未填写物流单号不可进入运输中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IN_TRANSIT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运输中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物流公司已填写物流单号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支持运输状态和签收信息追踪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SIGNED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已签收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客户/用户签收完成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已签收不可直接作废，只能走异常冲销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WAIT_RECONCILE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待对账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已签收或已产生物流费用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等待物流公司上传对账单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RECONCILING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物流公司已上传对账单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财务核价，改价需多方确认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WAIT_REIMBURSE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待报销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对账确认完成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系统进入报销跟踪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REIMBURSED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已报销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报销完成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费用闭环完成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VOIDED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已作废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作废审批通过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已作废不可继续发货；如已产生费用，可继续对账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FINISHED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已结束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签收和费用闭环均完成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流程关闭，仅允许查询和追溯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4.3 状态控制规则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未打印不能拣配；未完成拣配不能抽检；未抽检通过不能封箱。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拣配、抽检、封箱必须通过扫码记录推进，不能只靠人工点击通过。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封箱完成后物料原则上不能直接修改，必须走异常处理流程。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包含大件产品时，未完成 DNA 录入不能确认发厂。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未确认发厂不能填写物流单号；未填写物流单号不能进入运输中。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已作废单据不能继续发货，但如已产生物流费用，允许继续对账和报销。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 功能性需求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050"/>
        <w:gridCol w:w="5860"/>
        <w:gridCol w:w="100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需求编号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需求说明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优先级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发货作业台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FR-001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支持按状态页签、关键字、到货日期、承运公司筛选发货任务。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发货作业台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FR-002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发货任务列表展示送货单号、状态、出货申请单号、交货单号、调拨单号、到货日、合同号、销售单号、收货单位和可执行操作。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资料完善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FR-003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支持维护收货单位、成本中心、发运方式、结算方式、始发地、目的地、详细地址、交付说明、合同号、销售订单号、收货人和电话。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资料完善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FR-004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支持导入物料清单，字段包括物料编号、描述、单位、实发数、件数、运价、运价合计和备注。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资料完善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FR-005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支持承运方签收信息、发货方信息和收货方签收信息维护。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打印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支持打印备料单、发货单、封箱单，并在打印后推进状态。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扫码拣配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FR-007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扫码对象包括发货单号、物料码、SKU 码和预装箱箱码。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扫码拣配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FR-008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系统校验条码归属、计划数量、重复扫描和占用状态，少扫不可进入抽检。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扫码抽检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FR-009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质量员扫描物料或箱码后登记抽检结果，不通过必须填写原因。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扫码封箱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FR-010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支持箱码绑定、箱内物料扫描、封箱进度、重复装箱拦截和封箱单码绑定。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DNA 录入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FR-011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发货单包含大件产品时必须录入 DNA 编号，校验完成后才能确认发厂。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发厂与物流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FR-012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发厂确认后由物流公司填写承运信息和物流单号，未填写前不能进入运输中。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签收与作废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FR-013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支持签收状态登记和作废申请；已签收不允许直接作废。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对账核价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FR-014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物流公司上传对账单后，财务核价并维护基础运费、送货费、中转费、延期扣费和其他费用。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改价确认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FR-015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存在改价时，必须记录改价前后金额、原因、发起人、确认人、确认时间和附件。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报销跟踪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对账确认完成后自动进入报销流程并跟踪总部财务处理状态。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物流配置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FR-017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支持维护运费规则、配件箱、承运公司、提货人和发货人，并支持查询、启停、新增和编辑。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基础档案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FR-018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支持维护物料档案、大件标识和承运商档案。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操作日志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FR-019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所有扫码、状态推进、费用改价、作废和配置变更必须记录操作人、时间和结果。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扫码通用要求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页面进入扫码作业时，扫码输入框自动聚焦。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扫码枪按键盘输入处理，扫码后通过回车或自动提交完成业务校验。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支持连续扫描，成功后选中输入内容，方便下一次扫码。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扫码成功、失败、异常必须在页面上给出明确提示。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每次扫码必须写入扫码记录，包含业务类型、条码、设备号、操作人、结果和失败原因。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物流配置要求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200"/>
        <w:gridCol w:w="25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配置项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规则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运费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承运公司、类型、状态、出发省市、目的省市、运输费、时效、更新时间、更新人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可查询、导入、导出；运输费不得为负数。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配件箱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型号、描述、状态、长、宽、高、体积、更新时间、更新人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体积按长宽高自动计算；尺寸不得小于 0。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承运公司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公司名称、类型、重抛比、货运委托书、状态、提货人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支持提货人管理；停用承运公司不可用于发货。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发货人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姓名、工号、电话、备注、状态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仅正常状态可被发货完善页选择。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 页面与交互需求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960"/>
        <w:gridCol w:w="270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页面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主要功能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关键交互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发货作业台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发货任务列表、状态页签、查询、重置、导出、任务详情、节点概览。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点击任务号进入详情；待完善任务可进入完善页。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完善页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维护送货单、成本中心、发运方式、结算方式、物料清单、费用、承运方和签收信息。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成本中心弹窗选择；承运公司联动提货人；费用自动合计。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扫码拣配页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连续扫描物料码，展示计划、已拣和状态。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多扫、错扫进入异常处理。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扫码抽检页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扫描物料或箱码并登记抽检结果。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不通过时退回拣配或进入异常。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扫码封箱页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扫描箱码和物料码，展示装箱进度、箱清单和操作痕迹。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输入 MAT-L3002 可模拟补扫成功；重复装箱提示异常。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DNA 录入页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展示大件清单，录入 DNA 编号并校验。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未完成 DNA 时发厂确认锁定。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物流单号页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填写物流公司和物流单号，展示运输节点。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发厂确认后允许录入单号。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对账核价页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展示费用项、预估费用和对账状态。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支持费用核价和改价确认。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报销跟踪页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展示对账、核价、发起报销、总部确认、已报销流程。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对账完成后自动推进。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物流配置页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维护运费、配件箱、承运公司、发货人。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支持状态开关、新增、编辑、导入、导出和本地持久化。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物料档案页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维护物料名称、大件标识和状态。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大件标识触发 DNA 强校验。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物流公司页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维护承运商、联系人和启停状态。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供物流单号和对账流程使用。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6.1 通用交互规范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查询区域应支持条件重置，并保留清晰的查询结果提示。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状态类字段应使用明确文案和颜色区分正常、待处理、异常。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操作按钮应按当前状态动态显示，禁止无效节点操作。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表格空数据时应显示空状态文案。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配置类数据保存失败时，应给出可见错误提示，不得静默失败。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 数据需求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7.1 核心数据实体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实体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说明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关键字段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shipment_order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发货单主表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shipment_no、customer_name、receiver_name、status、has_large_item、dna_required、waybill_no、signed_at、created_at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shipment_item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发货物料明细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shipment_id、sku_code、material_code、item_name、planned_qty、picked_qty、packed_qty、is_large_item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scan_record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扫码记录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shipment_no、business_type、scan_code、scan_code_type、operator_id、device_no、scan_result、fail_reason、created_at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package_box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箱信息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box_no、shipment_id、status、sealed_by、sealed_at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package_box_item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箱内物料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box_id、shipment_item_id、sku_code、material_code、planned_qty、actual_qty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dna_record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DNA 录入记录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shipment_id、material_code、box_no、dna_no、verifier、verify_status、verified_at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logistics_reconciliation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物流对账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shipment_id、logistics_company_id、statement_file_id、base_fee、delivery_fee、total_fee、adjusted_total_fee、status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freight_config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运费配置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carrier、type、fromProvince、fromCity、toProvince、toCity、volumeFee、weightFee、leadDays、status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package_box_config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配件箱配置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model、description、length、width、height、volume、status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carrier_config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承运公司配置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carrier、type、weightRatio、freightAuthorizationLetter、pickupPeople、status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sender_config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发货人配置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sender、employeeNo、phone、remark、status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7.2 数据规则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发货单号、箱码、物流单号、DNA 编号在对应业务范围内必须唯一。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扫码记录不得物理删除，异常扫描也必须保留失败原因。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费用改价必须保留改价前金额、改价后金额、原因、确认链路和附件。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停用的承运公司、提货人、发货人和配置项不得被新业务单据选择。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本地原型使用 IndexedDB 保存物流配置，后端实现时应替换为服务端持久化接口。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 接口需求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8.1 扫码接口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900"/>
        <w:gridCol w:w="1900"/>
        <w:gridCol w:w="2500"/>
        <w:gridCol w:w="1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接口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方法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说明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关键入参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关键出参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/api/scan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统一扫码入口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shipmentNo、businessType、scanCode、deviceNo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success、message、nextStatus、progress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/api/shipments/{shipmentNo}/actions/{action}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状态推进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action、operator、remark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success、status、message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/api/logistics/waybills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录入物流单号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shipmentNo、carrierId、waybillNo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success、nextStatus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/api/logistics/reconciliations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上传对账单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shipmentNo、feeItems、statementFileId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success、reconciliationId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/api/logistics/reconciliations/{id}/confirm-price-change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确认改价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confirmRole、confirmUser、result、remark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success、nextConfirmRole、status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8.2 状态推进动作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800"/>
        <w:gridCol w:w="3660"/>
        <w:gridCol w:w="180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Action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触发节点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前置条件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后置状态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confirm-print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打印完成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资料完整且单据可打印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WAIT_PICK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complete-pick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拣配完成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应拣物料全部扫码完成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WAIT_QC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complete-qc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抽检完成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抽检结果全部通过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WAIT_PACK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complete-pack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封箱完成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物料全部装箱且箱码有效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WAIT_DNA 或 WAIT_FACTORY_CONFIRM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complete-dna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DNA 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大件 DNA 全部录入校验通过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WAIT_FACTORY_CONFIRM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confirm-factory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发厂确认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封箱完成且无需或已完成 DNA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WAIT_WAYBILL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bind-waybill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录入物流单号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已确认发厂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IN_TRANSIT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签收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运输中且签收信息有效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SIGNED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void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作废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满足作废审批条件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VOIDED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submit-reconciliation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上传对账单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已签收或已产生费用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RECONCILING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confirm-reconciliation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对账确认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核价完成且改价确认完成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WAIT_REIMBURSE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complete-reimburse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报销完成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总部财务处理完成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REIMBURSED 或 FINISHED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 非功能性需求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需求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常规列表查询响应时间不超过 2 秒；扫码提交从回车到反馈不超过 1 秒。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扫码页面必须支持自动聚焦、连续扫描、明确成功/失败反馈和异常原因展示。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可靠性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状态推进接口必须幂等；重复提交不得造成重复装箱、重复报销或重复状态推进。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按角色限制页面和操作权限；费用、作废、改价、配置变更等敏感操作必须审计。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数据一致性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发货单状态、扫码记录、箱明细、DNA 记录、物流费用需在同一业务事务内保持一致。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兼容性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前端需支持现代 Chromium 内核浏览器；扫码枪按键盘输入兼容。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状态编码、角色权限、费用项和配置项需集中管理，避免散落在页面逻辑中。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可追溯性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关键业务动作必须保留操作人、时间、来源设备、前后状态和失败原因。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 首版交付范围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10.1 必须包含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发货单创建、资料完善、打印标记和任务查询。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扫码拣配、扫码抽检、扫码封箱和异常提示。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箱码与箱内物料明细维护。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大件产品 DNA 录入与发厂前强校验。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发厂确认、物流单号录入、签收和作废。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对账单上传、财务核价、改价确认、报销状态跟踪。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运费、配件箱、承运公司、提货人和发货人配置。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操作日志和扫码记录留痕。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10.2 暂不包含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实时车辆定位。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路线优化和自动派车。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完整库存 WMS。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复杂费用规则引擎。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多承运商自动比价。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2"/>
        </w:rPr>
        <w:t>外部 ERP、OA、财务系统的正式联调和上线切换方案。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11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600"/>
        <w:gridCol w:w="3000"/>
        <w:gridCol w:w="21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场景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前置条件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操作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预期结果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正常发货闭环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发货资料完整且物料齐套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依次完成打印、拣配、抽检、封箱、DNA、发厂、物流单号、签收、对账、报销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流程进入已结束，扫码和费用记录完整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拣配少扫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发货单处于待拣配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少扫部分物料后尝试进入抽检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系统禁止进入抽检并提示缺失物料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拣配多扫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物料计划数量已满足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继续扫描同一物料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系统拦截并记录失败原因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扫错物料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当前发货单不包含该物料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扫描错误物料码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系统提示不属于当前发货单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抽检不通过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拣配完成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登记抽检不通过并填写原因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退回拣配或进入异常处理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未抽检封箱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发货单未完成抽检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尝试进入封箱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系统禁止封箱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箱码重复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箱码已被绑定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再次绑定同一箱码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系统禁止绑定并记录异常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大件未录 DNA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发货单包含大件产品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未录入 DNA 时确认发厂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系统禁止确认发厂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未填物流单号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已确认发厂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不填单号尝试进入运输中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系统禁止进入运输中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已作废继续发货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发货单已作废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尝试继续拣配或发厂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系统禁止继续发货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已作废但有费用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已产生物流费用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进入费用对账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允许继续费用对账和报销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对账无改价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物流公司上传对账单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财务核价无改价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系统自动进入报销流程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对账有改价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财务核价发现改价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物流、工厂、总部财务依次确认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确认完成后进入报销流程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12 附录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12.1 当前项目技术信息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前端框架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Vue 3.5.14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构建工具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Vite 6.3.5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本地存储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IndexedDB，当前用于物流配置原型数据保存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运行脚本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npm run dev、npm run build、npm run preview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主要页面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WorkbenchPage、CompleteDeliveryPage、WaybillPage、ReconcilePage、ReimbursePage、FreightConfigPage、MaterialPage、CarrierPage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12.2 风险与待确认事项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860"/>
        <w:gridCol w:w="430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事项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风险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建议处理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参考格式文件为空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无法复用原始 DOCX 的页眉、目录、样式和模板控件。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业务方补充正式模板后，可按模板二次套版。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外部系统集成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ERP/OA/财务/DNA 系统接口字段和流程未最终确认。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在接口评审阶段补充系统间字段映射和异常补偿机制。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权限模型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当前前端原型未落地完整权限控制。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后端设计阶段补充角色、组织、数据范围和审批权限。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扫码设备差异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不同扫码枪回车符、输入速度和编码可能不同。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测试阶段覆盖主流设备并提供配置项。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555555"/>
        <w:sz w:val="18"/>
      </w:rPr>
      <w:t>物流过程管控系统需求规格说明书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