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918"/>
        <w:gridCol w:w="482"/>
        <w:gridCol w:w="1358"/>
        <w:gridCol w:w="1157"/>
        <w:gridCol w:w="3602"/>
        <w:gridCol w:w="1050"/>
        <w:gridCol w:w="1579"/>
      </w:tblGrid>
      <w:tr w:rsidR="00AC1167" w:rsidRPr="00E176E1" w14:paraId="5EDBCDCC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7E09C65" w:rsidR="00AC1167" w:rsidRPr="002A67A8" w:rsidRDefault="00AC1167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602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35E4320E" w:rsidR="00AC1167" w:rsidRPr="002A67A8" w:rsidRDefault="00FF16CD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Stormwater </w:t>
            </w:r>
            <w:r w:rsidR="005B5AA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Drainage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Installation 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(R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11</w:t>
            </w:r>
            <w:r w:rsidR="009465C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629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7A62AF19" w:rsidR="002A67A8" w:rsidRPr="002A67A8" w:rsidRDefault="00061D7D" w:rsidP="00B27D29">
            <w:pPr>
              <w:rPr>
                <w:sz w:val="20"/>
              </w:rPr>
            </w:pPr>
            <w:r w:rsidRPr="00911EDA">
              <w:rPr>
                <w:rFonts w:ascii="Arial" w:hAnsi="Arial" w:cs="Arial"/>
                <w:sz w:val="20"/>
              </w:rPr>
              <w:t>21.0000139295.2750</w:t>
            </w: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vAlign w:val="center"/>
          </w:tcPr>
          <w:p w14:paraId="5EDBCDD0" w14:textId="36FBFA18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2A67A8" w:rsidRPr="00E176E1" w14:paraId="5EDBCDD6" w14:textId="77777777" w:rsidTr="00484D66">
        <w:trPr>
          <w:trHeight w:val="287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368AC36A" w:rsidR="002A67A8" w:rsidRPr="002A67A8" w:rsidRDefault="008516F6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 Bridge Early Works</w:t>
            </w: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auto"/>
            <w:vAlign w:val="center"/>
          </w:tcPr>
          <w:p w14:paraId="5EDBCDD5" w14:textId="01BD4DB8" w:rsidR="002A67A8" w:rsidRPr="002A67A8" w:rsidRDefault="00D26EE2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ITC </w:t>
            </w:r>
            <w:r w:rsidR="005F54EA">
              <w:rPr>
                <w:rFonts w:ascii="Arial" w:hAnsi="Arial" w:cs="Arial"/>
                <w:sz w:val="20"/>
                <w:lang w:val="en-US"/>
              </w:rPr>
              <w:t>0</w:t>
            </w:r>
            <w:r w:rsidR="008516F6">
              <w:rPr>
                <w:rFonts w:ascii="Arial" w:hAnsi="Arial" w:cs="Arial"/>
                <w:sz w:val="20"/>
                <w:lang w:val="en-US"/>
              </w:rPr>
              <w:t>2</w:t>
            </w:r>
            <w:r w:rsidR="005F54EA">
              <w:rPr>
                <w:rFonts w:ascii="Arial" w:hAnsi="Arial" w:cs="Arial"/>
                <w:sz w:val="20"/>
                <w:lang w:val="en-US"/>
              </w:rPr>
              <w:t xml:space="preserve"> (ITP 0</w:t>
            </w:r>
            <w:r w:rsidR="00CE1B9F">
              <w:rPr>
                <w:rFonts w:ascii="Arial" w:hAnsi="Arial" w:cs="Arial"/>
                <w:sz w:val="20"/>
                <w:lang w:val="en-US"/>
              </w:rPr>
              <w:t>2</w:t>
            </w:r>
            <w:r w:rsidR="005F54EA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2A67A8" w:rsidRPr="00E176E1" w14:paraId="65AB9223" w14:textId="77777777" w:rsidTr="0014760A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608DD3A7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7647AE70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FFFFFF" w:themeFill="background1"/>
            <w:vAlign w:val="center"/>
          </w:tcPr>
          <w:p w14:paraId="02508283" w14:textId="77752EC3" w:rsidR="002A67A8" w:rsidRPr="002A67A8" w:rsidRDefault="00D26EE2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D26EE2" w:rsidRPr="00E176E1" w14:paraId="3D4E87F2" w14:textId="77777777" w:rsidTr="009734FB">
        <w:trPr>
          <w:trHeight w:val="5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81AA08B" w:rsidR="00D26EE2" w:rsidRPr="00006960" w:rsidRDefault="00D26EE2" w:rsidP="009734FB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D26EE2" w:rsidRPr="00006960" w:rsidRDefault="00D26EE2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02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D26EE2" w:rsidRPr="004E0D4C" w:rsidRDefault="00D26EE2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9" w:type="dxa"/>
            <w:gridSpan w:val="2"/>
            <w:shd w:val="clear" w:color="auto" w:fill="FFFFFF" w:themeFill="background1"/>
            <w:vAlign w:val="center"/>
          </w:tcPr>
          <w:p w14:paraId="27EECAA6" w14:textId="77777777" w:rsidR="00D26EE2" w:rsidRDefault="00D26EE2" w:rsidP="00D26EE2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0111EE47" w:rsidR="00920A3E" w:rsidRPr="00D26EE2" w:rsidRDefault="00920A3E" w:rsidP="00D26EE2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</w:tr>
      <w:tr w:rsidR="002A67A8" w:rsidRPr="00E176E1" w14:paraId="5EDBCDEB" w14:textId="77777777" w:rsidTr="0014760A">
        <w:trPr>
          <w:trHeight w:val="439"/>
          <w:tblHeader/>
        </w:trPr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1F43BB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400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1F43BB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58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B27D29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B27D2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759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845363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050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845363" w:rsidRDefault="002A67A8" w:rsidP="00B27D2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14760A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4760A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14760A">
        <w:trPr>
          <w:trHeight w:val="427"/>
        </w:trPr>
        <w:tc>
          <w:tcPr>
            <w:tcW w:w="877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448CD243" w14:textId="37F4BEE1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works</w:t>
            </w:r>
          </w:p>
        </w:tc>
        <w:tc>
          <w:tcPr>
            <w:tcW w:w="1358" w:type="dxa"/>
            <w:shd w:val="clear" w:color="auto" w:fill="auto"/>
          </w:tcPr>
          <w:p w14:paraId="696B3A04" w14:textId="0463997F" w:rsidR="00647037" w:rsidRPr="00307168" w:rsidRDefault="00F30451" w:rsidP="00307168">
            <w:pPr>
              <w:pStyle w:val="ITPrefs"/>
              <w:framePr w:hSpace="0" w:wrap="auto" w:vAnchor="margin" w:xAlign="left" w:yAlign="inline"/>
              <w:suppressOverlap w:val="0"/>
            </w:pPr>
            <w:r w:rsidRPr="00307168">
              <w:t>WHSMP, Design DWGs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1D98EE9A" w14:textId="77777777" w:rsidR="00647037" w:rsidRDefault="00F30451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</w:p>
          <w:p w14:paraId="519D97F3" w14:textId="6C4F23D6" w:rsidR="00F30451" w:rsidRPr="00E04749" w:rsidRDefault="00F30451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Extent of works set out with survey pegs</w:t>
            </w:r>
          </w:p>
        </w:tc>
        <w:tc>
          <w:tcPr>
            <w:tcW w:w="1050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FF16CD" w:rsidRPr="00E176E1" w14:paraId="15828970" w14:textId="77777777" w:rsidTr="00835CC0">
        <w:trPr>
          <w:trHeight w:val="1218"/>
        </w:trPr>
        <w:tc>
          <w:tcPr>
            <w:tcW w:w="877" w:type="dxa"/>
            <w:shd w:val="clear" w:color="auto" w:fill="auto"/>
          </w:tcPr>
          <w:p w14:paraId="4FEF3526" w14:textId="4BDF3C84" w:rsidR="00FF16CD" w:rsidRDefault="00FF16CD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26D6E020" w14:textId="34A6392F" w:rsidR="00FF16CD" w:rsidRDefault="00B442D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Supply of Precast Concrete Members</w:t>
            </w:r>
          </w:p>
        </w:tc>
        <w:tc>
          <w:tcPr>
            <w:tcW w:w="1358" w:type="dxa"/>
            <w:shd w:val="clear" w:color="auto" w:fill="auto"/>
          </w:tcPr>
          <w:p w14:paraId="1C6105FE" w14:textId="07194B08" w:rsidR="00FF16CD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2.4.1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512F96FF" w14:textId="29784662" w:rsidR="00CD14B3" w:rsidRDefault="00CD14B3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984124">
              <w:rPr>
                <w:b/>
                <w:bCs/>
              </w:rPr>
              <w:t>HP</w:t>
            </w:r>
            <w:r w:rsidR="00984124" w:rsidRPr="00984124">
              <w:rPr>
                <w:b/>
                <w:bCs/>
              </w:rPr>
              <w:t>:</w:t>
            </w:r>
            <w:r w:rsidR="00984124">
              <w:t xml:space="preserve"> Submission of certified product drawings and details of methods for manufacture, testing and installation, prior to the supply of precast concrete members subject to traffic and/or earth pressure loading, or water retaining structures with capacity greater than 25 000 litres</w:t>
            </w:r>
          </w:p>
        </w:tc>
        <w:tc>
          <w:tcPr>
            <w:tcW w:w="1050" w:type="dxa"/>
            <w:shd w:val="clear" w:color="auto" w:fill="auto"/>
          </w:tcPr>
          <w:p w14:paraId="29C0978B" w14:textId="77777777" w:rsidR="00FF16CD" w:rsidRDefault="00FF16CD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5C828058" w14:textId="1479E6AA" w:rsidR="00FF16CD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442D1" w:rsidRPr="00E176E1" w14:paraId="7DB4DDE1" w14:textId="77777777" w:rsidTr="00835CC0">
        <w:trPr>
          <w:trHeight w:val="1266"/>
        </w:trPr>
        <w:tc>
          <w:tcPr>
            <w:tcW w:w="877" w:type="dxa"/>
            <w:shd w:val="clear" w:color="auto" w:fill="auto"/>
          </w:tcPr>
          <w:p w14:paraId="61D4F2EE" w14:textId="1EB0F58E" w:rsidR="00B442D1" w:rsidRDefault="00B442D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417879D7" w14:textId="42CB4572" w:rsidR="00B442D1" w:rsidRDefault="00B442D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Certificates of Conformity</w:t>
            </w:r>
          </w:p>
        </w:tc>
        <w:tc>
          <w:tcPr>
            <w:tcW w:w="1358" w:type="dxa"/>
            <w:tcBorders>
              <w:bottom w:val="single" w:sz="4" w:space="0" w:color="BFBFBF"/>
            </w:tcBorders>
            <w:shd w:val="clear" w:color="auto" w:fill="auto"/>
          </w:tcPr>
          <w:p w14:paraId="45E6FDBA" w14:textId="1135F41C" w:rsidR="00B442D1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2.6</w:t>
            </w:r>
          </w:p>
        </w:tc>
        <w:tc>
          <w:tcPr>
            <w:tcW w:w="475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340DA46D" w14:textId="77777777" w:rsidR="00DB6D74" w:rsidRDefault="00DB6D74" w:rsidP="00DB6D74">
            <w:pPr>
              <w:pStyle w:val="ITP2condensed"/>
              <w:framePr w:hSpace="0" w:wrap="auto" w:vAnchor="margin" w:xAlign="left" w:yAlign="inline"/>
              <w:suppressOverlap w:val="0"/>
            </w:pPr>
            <w:r w:rsidRPr="00F65574">
              <w:rPr>
                <w:b/>
                <w:bCs/>
              </w:rPr>
              <w:t>HP:</w:t>
            </w:r>
            <w:r>
              <w:t xml:space="preserve"> Certificate of Conformity (Pit / Headwall)</w:t>
            </w:r>
          </w:p>
          <w:p w14:paraId="1753BE36" w14:textId="35866942" w:rsidR="00DB6D74" w:rsidRDefault="00DB6D74" w:rsidP="00DB6D74">
            <w:pPr>
              <w:pStyle w:val="ITP2condensed"/>
              <w:framePr w:hSpace="0" w:wrap="auto" w:vAnchor="margin" w:xAlign="left" w:yAlign="inline"/>
              <w:suppressOverlap w:val="0"/>
            </w:pPr>
            <w:r w:rsidRPr="00F65574">
              <w:rPr>
                <w:b/>
                <w:bCs/>
              </w:rPr>
              <w:t>HP:</w:t>
            </w:r>
            <w:r>
              <w:t xml:space="preserve"> Certificate of Conformity (</w:t>
            </w:r>
            <w:r w:rsidR="00665A23">
              <w:t>Box Culverts</w:t>
            </w:r>
            <w:r>
              <w:t>)</w:t>
            </w:r>
          </w:p>
          <w:p w14:paraId="49A0B37E" w14:textId="2B3FB145" w:rsidR="00CD14B3" w:rsidRDefault="00F65574" w:rsidP="00DB6D7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Submission of certificate of conformity prior to incorporation in the works of any supplied manufactured drainage product</w:t>
            </w:r>
          </w:p>
        </w:tc>
        <w:tc>
          <w:tcPr>
            <w:tcW w:w="1050" w:type="dxa"/>
            <w:tcBorders>
              <w:bottom w:val="single" w:sz="4" w:space="0" w:color="BFBFBF"/>
            </w:tcBorders>
            <w:shd w:val="clear" w:color="auto" w:fill="auto"/>
          </w:tcPr>
          <w:p w14:paraId="3512CA55" w14:textId="77777777" w:rsidR="00B442D1" w:rsidRDefault="00B442D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tcBorders>
              <w:bottom w:val="single" w:sz="4" w:space="0" w:color="BFBFBF"/>
            </w:tcBorders>
            <w:shd w:val="clear" w:color="auto" w:fill="auto"/>
          </w:tcPr>
          <w:p w14:paraId="63F78C3E" w14:textId="77777777" w:rsidR="00CD14B3" w:rsidRPr="00CD14B3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  <w:p w14:paraId="2CE8E563" w14:textId="2ACC20F5" w:rsidR="00B442D1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442D1" w:rsidRPr="00E176E1" w14:paraId="5EE214EB" w14:textId="77777777" w:rsidTr="00835CC0">
        <w:trPr>
          <w:trHeight w:val="649"/>
        </w:trPr>
        <w:tc>
          <w:tcPr>
            <w:tcW w:w="877" w:type="dxa"/>
            <w:shd w:val="clear" w:color="auto" w:fill="auto"/>
          </w:tcPr>
          <w:p w14:paraId="0451FCB5" w14:textId="0B340C2C" w:rsidR="00B442D1" w:rsidRDefault="00B442D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5858709D" w14:textId="5ED78BC5" w:rsidR="00B442D1" w:rsidRDefault="00B442D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Survey Set Out</w:t>
            </w:r>
          </w:p>
        </w:tc>
        <w:tc>
          <w:tcPr>
            <w:tcW w:w="1358" w:type="dxa"/>
            <w:tcBorders>
              <w:top w:val="single" w:sz="4" w:space="0" w:color="BFBFBF"/>
            </w:tcBorders>
            <w:shd w:val="clear" w:color="auto" w:fill="auto"/>
          </w:tcPr>
          <w:p w14:paraId="53E50E1A" w14:textId="5C7503EB" w:rsidR="00B442D1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4.1.1</w:t>
            </w:r>
          </w:p>
        </w:tc>
        <w:tc>
          <w:tcPr>
            <w:tcW w:w="4759" w:type="dxa"/>
            <w:gridSpan w:val="2"/>
            <w:tcBorders>
              <w:top w:val="single" w:sz="4" w:space="0" w:color="BFBFBF"/>
            </w:tcBorders>
            <w:shd w:val="clear" w:color="auto" w:fill="auto"/>
          </w:tcPr>
          <w:p w14:paraId="155AD7D6" w14:textId="119537E9" w:rsidR="00A44176" w:rsidRDefault="00CD14B3" w:rsidP="006C7C54">
            <w:pPr>
              <w:pStyle w:val="ITP2condensed"/>
              <w:framePr w:hSpace="0" w:wrap="auto" w:vAnchor="margin" w:xAlign="left" w:yAlign="inline"/>
              <w:suppressOverlap w:val="0"/>
            </w:pPr>
            <w:r w:rsidRPr="00F65574">
              <w:rPr>
                <w:b/>
                <w:bCs/>
              </w:rPr>
              <w:t>HP</w:t>
            </w:r>
            <w:r w:rsidR="00F65574" w:rsidRPr="00F65574">
              <w:rPr>
                <w:b/>
                <w:bCs/>
              </w:rPr>
              <w:t>:</w:t>
            </w:r>
            <w:r w:rsidR="00F65574">
              <w:t xml:space="preserve"> Notification of set out of drainage system and any proposed design changes in locations and levels</w:t>
            </w:r>
          </w:p>
        </w:tc>
        <w:tc>
          <w:tcPr>
            <w:tcW w:w="1050" w:type="dxa"/>
            <w:tcBorders>
              <w:top w:val="single" w:sz="4" w:space="0" w:color="BFBFBF"/>
            </w:tcBorders>
            <w:shd w:val="clear" w:color="auto" w:fill="auto"/>
          </w:tcPr>
          <w:p w14:paraId="5916DECB" w14:textId="77777777" w:rsidR="00B442D1" w:rsidRDefault="00B442D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BFBFBF"/>
            </w:tcBorders>
            <w:shd w:val="clear" w:color="auto" w:fill="auto"/>
          </w:tcPr>
          <w:p w14:paraId="5D6DF879" w14:textId="74192933" w:rsidR="00B442D1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442D1" w:rsidRPr="00E176E1" w14:paraId="65529079" w14:textId="77777777" w:rsidTr="00835CC0">
        <w:trPr>
          <w:trHeight w:val="739"/>
        </w:trPr>
        <w:tc>
          <w:tcPr>
            <w:tcW w:w="877" w:type="dxa"/>
            <w:shd w:val="clear" w:color="auto" w:fill="auto"/>
          </w:tcPr>
          <w:p w14:paraId="56169025" w14:textId="0E19FDE1" w:rsidR="00B442D1" w:rsidRDefault="00B442D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3AA4CF0E" w14:textId="0B18E284" w:rsidR="00B442D1" w:rsidRDefault="00B442D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Unable to </w:t>
            </w:r>
            <w:r w:rsidR="00DB6D74">
              <w:rPr>
                <w:rFonts w:ascii="Arial" w:hAnsi="Arial" w:cs="Arial"/>
                <w:b/>
                <w:sz w:val="18"/>
                <w:szCs w:val="18"/>
                <w:lang w:val="en-US"/>
              </w:rPr>
              <w:t>meet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14760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in. </w:t>
            </w:r>
            <w:r w:rsidR="0014760A">
              <w:rPr>
                <w:rFonts w:ascii="Arial" w:hAnsi="Arial" w:cs="Arial"/>
                <w:b/>
                <w:sz w:val="18"/>
                <w:szCs w:val="18"/>
                <w:lang w:val="en-US"/>
              </w:rPr>
              <w:t>G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rade</w:t>
            </w:r>
          </w:p>
        </w:tc>
        <w:tc>
          <w:tcPr>
            <w:tcW w:w="1358" w:type="dxa"/>
            <w:shd w:val="clear" w:color="auto" w:fill="auto"/>
          </w:tcPr>
          <w:p w14:paraId="5FA83057" w14:textId="74F852AF" w:rsidR="00B442D1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4.2.1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525354CB" w14:textId="17C4B392" w:rsidR="00CD14B3" w:rsidRDefault="00CD14B3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F65574">
              <w:rPr>
                <w:b/>
                <w:bCs/>
              </w:rPr>
              <w:t>HP</w:t>
            </w:r>
            <w:r w:rsidR="00F65574" w:rsidRPr="00F65574">
              <w:rPr>
                <w:b/>
                <w:bCs/>
              </w:rPr>
              <w:t>:</w:t>
            </w:r>
            <w:r w:rsidR="00F65574">
              <w:t xml:space="preserve"> Notification that 0.5% minimum grade cannot be achieved for section(s) of open drains</w:t>
            </w:r>
            <w:r w:rsidR="00F9591F">
              <w:t xml:space="preserve"> (if applicable)</w:t>
            </w:r>
          </w:p>
        </w:tc>
        <w:tc>
          <w:tcPr>
            <w:tcW w:w="1050" w:type="dxa"/>
            <w:shd w:val="clear" w:color="auto" w:fill="auto"/>
          </w:tcPr>
          <w:p w14:paraId="61E8CBC2" w14:textId="77777777" w:rsidR="00B442D1" w:rsidRDefault="00B442D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3ADDAD6A" w14:textId="044E6D56" w:rsidR="00B442D1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442D1" w:rsidRPr="00E176E1" w14:paraId="082BF265" w14:textId="77777777" w:rsidTr="00835CC0">
        <w:trPr>
          <w:trHeight w:val="220"/>
        </w:trPr>
        <w:tc>
          <w:tcPr>
            <w:tcW w:w="877" w:type="dxa"/>
            <w:shd w:val="clear" w:color="auto" w:fill="auto"/>
          </w:tcPr>
          <w:p w14:paraId="1D4E31F4" w14:textId="7B3D105C" w:rsidR="00B442D1" w:rsidRDefault="00EB4EB0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5BDF1AEE" w14:textId="335459A1" w:rsidR="00B442D1" w:rsidRDefault="00EB4EB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Excavation</w:t>
            </w:r>
          </w:p>
        </w:tc>
        <w:tc>
          <w:tcPr>
            <w:tcW w:w="1358" w:type="dxa"/>
            <w:shd w:val="clear" w:color="auto" w:fill="auto"/>
          </w:tcPr>
          <w:p w14:paraId="19190CA2" w14:textId="0E40F028" w:rsidR="00B442D1" w:rsidRPr="00307168" w:rsidRDefault="000B1A1E" w:rsidP="00307168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4.3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7106531A" w14:textId="36FE5759" w:rsidR="00632438" w:rsidRDefault="00CD14B3" w:rsidP="008F420A">
            <w:pPr>
              <w:pStyle w:val="ITP2condensed"/>
              <w:framePr w:hSpace="0" w:wrap="auto" w:vAnchor="margin" w:xAlign="left" w:yAlign="inline"/>
              <w:suppressOverlap w:val="0"/>
            </w:pPr>
            <w:r w:rsidRPr="00810ABA">
              <w:rPr>
                <w:b/>
                <w:bCs/>
              </w:rPr>
              <w:t>WP</w:t>
            </w:r>
            <w:r w:rsidR="00810ABA" w:rsidRPr="00810ABA">
              <w:rPr>
                <w:b/>
                <w:bCs/>
              </w:rPr>
              <w:t>:</w:t>
            </w:r>
            <w:r w:rsidR="00810ABA">
              <w:t xml:space="preserve"> </w:t>
            </w:r>
            <w:r w:rsidR="00DB6D74">
              <w:t xml:space="preserve">Excavation for </w:t>
            </w:r>
            <w:r w:rsidR="00E52457">
              <w:t>Box Culvert</w:t>
            </w:r>
            <w:r w:rsidR="00DB6D74">
              <w:t xml:space="preserve"> installation and other drainage structures</w:t>
            </w:r>
          </w:p>
        </w:tc>
        <w:tc>
          <w:tcPr>
            <w:tcW w:w="1050" w:type="dxa"/>
            <w:shd w:val="clear" w:color="auto" w:fill="auto"/>
          </w:tcPr>
          <w:p w14:paraId="1AAF0BC0" w14:textId="77777777" w:rsidR="00B442D1" w:rsidRDefault="00B442D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48628F9A" w14:textId="4A8A0C16" w:rsidR="00B442D1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 xml:space="preserve">WITNESS </w:t>
            </w:r>
            <w:r w:rsidRPr="0045207F">
              <w:rPr>
                <w:b/>
                <w:bCs/>
              </w:rPr>
              <w:t>POINT: _______</w:t>
            </w:r>
          </w:p>
        </w:tc>
      </w:tr>
      <w:tr w:rsidR="00EB4EB0" w:rsidRPr="00E176E1" w14:paraId="74264ECC" w14:textId="77777777" w:rsidTr="00835CC0">
        <w:trPr>
          <w:trHeight w:val="315"/>
        </w:trPr>
        <w:tc>
          <w:tcPr>
            <w:tcW w:w="877" w:type="dxa"/>
            <w:shd w:val="clear" w:color="auto" w:fill="auto"/>
          </w:tcPr>
          <w:p w14:paraId="2D36814C" w14:textId="7CA9EA42" w:rsidR="00EB4EB0" w:rsidRDefault="00EB4EB0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1F0B095E" w14:textId="41B19E39" w:rsidR="00EB4EB0" w:rsidRDefault="00EB4EB0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Unsuitable Foundation</w:t>
            </w:r>
          </w:p>
        </w:tc>
        <w:tc>
          <w:tcPr>
            <w:tcW w:w="1358" w:type="dxa"/>
            <w:shd w:val="clear" w:color="auto" w:fill="auto"/>
          </w:tcPr>
          <w:p w14:paraId="7EF62964" w14:textId="77777777" w:rsidR="00101CE3" w:rsidRDefault="00101CE3" w:rsidP="00101CE3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4.3.3</w:t>
            </w:r>
          </w:p>
          <w:p w14:paraId="05731CF0" w14:textId="449ED578" w:rsidR="00EB4EB0" w:rsidRPr="00307168" w:rsidRDefault="00101CE3" w:rsidP="00101CE3">
            <w:pPr>
              <w:pStyle w:val="ITPrefs"/>
              <w:framePr w:hSpace="0" w:wrap="auto" w:vAnchor="margin" w:xAlign="left" w:yAlign="inline"/>
              <w:suppressOverlap w:val="0"/>
            </w:pPr>
            <w:r>
              <w:t>Table R11.2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46D18678" w14:textId="25E9D533" w:rsidR="00EB4EB0" w:rsidRDefault="00DB6D74" w:rsidP="007B6942">
            <w:pPr>
              <w:pStyle w:val="ITP2condensed"/>
              <w:framePr w:hSpace="0" w:wrap="auto" w:vAnchor="margin" w:xAlign="left" w:yAlign="inline"/>
              <w:suppressOverlap w:val="0"/>
            </w:pPr>
            <w:r w:rsidRPr="00DB6D74">
              <w:rPr>
                <w:b/>
                <w:bCs/>
              </w:rPr>
              <w:t>HP:</w:t>
            </w:r>
            <w:r>
              <w:t xml:space="preserve"> Replacement of inadequate foundation material</w:t>
            </w:r>
            <w:r w:rsidR="00F9591F">
              <w:t xml:space="preserve"> (if applicable)</w:t>
            </w:r>
          </w:p>
          <w:p w14:paraId="2C29E919" w14:textId="65180FD3" w:rsidR="00CD14B3" w:rsidRDefault="00632438" w:rsidP="007B694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Notify the principal of any </w:t>
            </w:r>
            <w:r w:rsidR="00F9591F">
              <w:t xml:space="preserve">unsuitable foundation material on the base of the trench, or </w:t>
            </w:r>
            <w:proofErr w:type="gramStart"/>
            <w:r w:rsidR="00F9591F">
              <w:t>poor quality</w:t>
            </w:r>
            <w:proofErr w:type="gramEnd"/>
            <w:r w:rsidR="00F9591F">
              <w:t xml:space="preserve"> material on the sides of the trench. Replace and compact material in consultation with principal</w:t>
            </w:r>
          </w:p>
        </w:tc>
        <w:tc>
          <w:tcPr>
            <w:tcW w:w="1050" w:type="dxa"/>
            <w:shd w:val="clear" w:color="auto" w:fill="auto"/>
          </w:tcPr>
          <w:p w14:paraId="5EE0299D" w14:textId="77777777" w:rsidR="00EB4EB0" w:rsidRDefault="00EB4EB0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58A95B74" w14:textId="78ED784C" w:rsidR="00EB4EB0" w:rsidRDefault="00CD14B3" w:rsidP="00270688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DB6D74" w:rsidRPr="00E176E1" w14:paraId="76F80598" w14:textId="77777777" w:rsidTr="0014760A">
        <w:trPr>
          <w:trHeight w:val="478"/>
        </w:trPr>
        <w:tc>
          <w:tcPr>
            <w:tcW w:w="877" w:type="dxa"/>
            <w:shd w:val="clear" w:color="auto" w:fill="auto"/>
          </w:tcPr>
          <w:p w14:paraId="47C421BB" w14:textId="45E3F1D5" w:rsidR="00DB6D74" w:rsidRDefault="00BA258F" w:rsidP="00DB6D7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4A4EEBC2" w14:textId="2E4FC00B" w:rsidR="00DB6D74" w:rsidRDefault="00DB6D74" w:rsidP="00DB6D7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Installation of Drainage</w:t>
            </w:r>
          </w:p>
        </w:tc>
        <w:tc>
          <w:tcPr>
            <w:tcW w:w="1358" w:type="dxa"/>
            <w:shd w:val="clear" w:color="auto" w:fill="auto"/>
          </w:tcPr>
          <w:p w14:paraId="50B74FBC" w14:textId="3F8EFE54" w:rsidR="00DB6D74" w:rsidRPr="00307168" w:rsidRDefault="00101CE3" w:rsidP="00101CE3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 4.4.</w:t>
            </w:r>
            <w:r w:rsidR="00D42D72">
              <w:t>1</w:t>
            </w:r>
            <w:r w:rsidR="00F80609">
              <w:t xml:space="preserve">, </w:t>
            </w:r>
            <w:r w:rsidR="00700B38">
              <w:t>Table R11.</w:t>
            </w:r>
            <w:r w:rsidR="00F80609">
              <w:t>2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73E70350" w14:textId="26E6FB8C" w:rsidR="0039301D" w:rsidRDefault="0039301D" w:rsidP="00DB6D7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95% compaction requirement for base of trench and layers around pipe</w:t>
            </w:r>
          </w:p>
          <w:p w14:paraId="2BE6FC79" w14:textId="6F037D33" w:rsidR="008027A1" w:rsidRDefault="004354AE" w:rsidP="00DB6D7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Material for pipe bedding and haunch zones is Type BH Select Fill</w:t>
            </w:r>
          </w:p>
          <w:p w14:paraId="237ACC78" w14:textId="215283AD" w:rsidR="00DB6D74" w:rsidRPr="0036613E" w:rsidRDefault="004354AE" w:rsidP="0052365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Material for pipe side and overlay zones is Type SO Select Fill</w:t>
            </w:r>
          </w:p>
        </w:tc>
        <w:tc>
          <w:tcPr>
            <w:tcW w:w="1050" w:type="dxa"/>
            <w:shd w:val="clear" w:color="auto" w:fill="auto"/>
          </w:tcPr>
          <w:p w14:paraId="3902E405" w14:textId="77777777" w:rsidR="00DB6D74" w:rsidRDefault="00DB6D74" w:rsidP="00DB6D74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3EF27825" w14:textId="0ADC6847" w:rsidR="00DB6D74" w:rsidRPr="00177053" w:rsidRDefault="00C903D0" w:rsidP="00C903D0">
            <w:pPr>
              <w:pStyle w:val="ITP2condensed"/>
              <w:framePr w:hSpace="0" w:wrap="auto" w:vAnchor="margin" w:xAlign="left" w:yAlign="inline"/>
              <w:suppressOverlap w:val="0"/>
            </w:pPr>
            <w:r w:rsidRPr="00177053">
              <w:t>T166 / T173 Test Report</w:t>
            </w:r>
          </w:p>
        </w:tc>
      </w:tr>
      <w:tr w:rsidR="00BA258F" w:rsidRPr="00E176E1" w14:paraId="47F144BA" w14:textId="77777777" w:rsidTr="00835CC0">
        <w:trPr>
          <w:trHeight w:val="478"/>
        </w:trPr>
        <w:tc>
          <w:tcPr>
            <w:tcW w:w="877" w:type="dxa"/>
            <w:shd w:val="clear" w:color="auto" w:fill="auto"/>
          </w:tcPr>
          <w:p w14:paraId="0C082B11" w14:textId="4C645384" w:rsidR="00BA258F" w:rsidRDefault="00BA258F" w:rsidP="00BA258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3068EF70" w14:textId="18B7209F" w:rsidR="00BA258F" w:rsidRDefault="00BA258F" w:rsidP="00BA258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Construction</w:t>
            </w:r>
          </w:p>
        </w:tc>
        <w:tc>
          <w:tcPr>
            <w:tcW w:w="1358" w:type="dxa"/>
            <w:shd w:val="clear" w:color="auto" w:fill="auto"/>
          </w:tcPr>
          <w:p w14:paraId="44B6615F" w14:textId="63DB2B32" w:rsidR="00BA258F" w:rsidRPr="00307168" w:rsidRDefault="00101CE3" w:rsidP="00BA258F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Cl. 4.7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23C25081" w14:textId="2476B79A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DB6D74">
              <w:rPr>
                <w:b/>
                <w:bCs/>
              </w:rPr>
              <w:t>WP:</w:t>
            </w:r>
            <w:r>
              <w:t xml:space="preserve"> Construction of drainage structures other than box culverts</w:t>
            </w:r>
          </w:p>
        </w:tc>
        <w:tc>
          <w:tcPr>
            <w:tcW w:w="1050" w:type="dxa"/>
            <w:shd w:val="clear" w:color="auto" w:fill="auto"/>
          </w:tcPr>
          <w:p w14:paraId="70973A47" w14:textId="77777777" w:rsidR="00BA258F" w:rsidRDefault="00BA258F" w:rsidP="00BA258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74A3B8B1" w14:textId="5CADADC3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WITNESS </w:t>
            </w:r>
            <w:r w:rsidRPr="0045207F">
              <w:rPr>
                <w:b/>
                <w:bCs/>
              </w:rPr>
              <w:t>POINT: _______</w:t>
            </w:r>
          </w:p>
        </w:tc>
      </w:tr>
      <w:tr w:rsidR="00BA258F" w:rsidRPr="00E176E1" w14:paraId="0A094B89" w14:textId="77777777" w:rsidTr="00835CC0">
        <w:trPr>
          <w:trHeight w:val="86"/>
        </w:trPr>
        <w:tc>
          <w:tcPr>
            <w:tcW w:w="877" w:type="dxa"/>
            <w:shd w:val="clear" w:color="auto" w:fill="auto"/>
          </w:tcPr>
          <w:p w14:paraId="19388756" w14:textId="37580071" w:rsidR="00BA258F" w:rsidRDefault="00BA258F" w:rsidP="00BA258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892DB2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28ACB8CC" w14:textId="2D05B364" w:rsidR="00BA258F" w:rsidRDefault="00BA258F" w:rsidP="00BA258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Protective Measures</w:t>
            </w:r>
          </w:p>
        </w:tc>
        <w:tc>
          <w:tcPr>
            <w:tcW w:w="1358" w:type="dxa"/>
            <w:shd w:val="clear" w:color="auto" w:fill="auto"/>
          </w:tcPr>
          <w:p w14:paraId="053A39B0" w14:textId="66C6AB48" w:rsidR="00BA258F" w:rsidRPr="00307168" w:rsidRDefault="00D67050" w:rsidP="00BA258F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Cl. 4.10, TfNSW G2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392392F0" w14:textId="359027EC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1A4653">
              <w:rPr>
                <w:b/>
                <w:bCs/>
              </w:rPr>
              <w:t>HP:</w:t>
            </w:r>
            <w:r>
              <w:t xml:space="preserve"> Protective measures for pipes and box culvert structures from heavy construction plant or vehicles</w:t>
            </w:r>
          </w:p>
          <w:p w14:paraId="25C3C4AB" w14:textId="04603A40" w:rsidR="00BA258F" w:rsidRDefault="00D67050" w:rsidP="00BA25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If structures will be subject to </w:t>
            </w:r>
            <w:r w:rsidR="008252C1">
              <w:t xml:space="preserve">heavy </w:t>
            </w:r>
            <w:r>
              <w:t>construction loading prior to completion, submit protective measures to principal for approval</w:t>
            </w:r>
          </w:p>
        </w:tc>
        <w:tc>
          <w:tcPr>
            <w:tcW w:w="1050" w:type="dxa"/>
            <w:shd w:val="clear" w:color="auto" w:fill="auto"/>
          </w:tcPr>
          <w:p w14:paraId="625CA2A5" w14:textId="77777777" w:rsidR="00BA258F" w:rsidRDefault="00BA258F" w:rsidP="00BA258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16D87B92" w14:textId="492CE8B4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BA258F" w:rsidRPr="00E176E1" w14:paraId="732D5C29" w14:textId="77777777" w:rsidTr="0014760A">
        <w:trPr>
          <w:trHeight w:val="309"/>
        </w:trPr>
        <w:tc>
          <w:tcPr>
            <w:tcW w:w="877" w:type="dxa"/>
            <w:shd w:val="clear" w:color="auto" w:fill="auto"/>
          </w:tcPr>
          <w:p w14:paraId="63B8A053" w14:textId="006618D6" w:rsidR="00BA258F" w:rsidRDefault="00BA258F" w:rsidP="00BA258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892DB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3CEB8604" w14:textId="19DA7241" w:rsidR="00BA258F" w:rsidRDefault="00BA258F" w:rsidP="00BA258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Backfill and Compaction</w:t>
            </w:r>
          </w:p>
        </w:tc>
        <w:tc>
          <w:tcPr>
            <w:tcW w:w="1358" w:type="dxa"/>
            <w:shd w:val="clear" w:color="auto" w:fill="auto"/>
          </w:tcPr>
          <w:p w14:paraId="32811694" w14:textId="4A51EA6C" w:rsidR="00BA258F" w:rsidRPr="00307168" w:rsidRDefault="0039301D" w:rsidP="00BA258F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Cl. 4.9</w:t>
            </w:r>
            <w:r w:rsidR="0043506F">
              <w:t>, R44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4D088195" w14:textId="59E16512" w:rsidR="00BA258F" w:rsidRDefault="00BA258F" w:rsidP="00BA25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</w:t>
            </w:r>
            <w:r w:rsidR="0039301D">
              <w:t>bove the pipe overlay, backfill with general fill material or other material accepted by principal</w:t>
            </w:r>
          </w:p>
          <w:p w14:paraId="36EF53A2" w14:textId="61FBA0D3" w:rsidR="0039301D" w:rsidRDefault="0039301D" w:rsidP="00BA25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lastRenderedPageBreak/>
              <w:t>Backfill in 150mm layers unless directed otherwise by the principal</w:t>
            </w:r>
          </w:p>
          <w:p w14:paraId="1D4BFE6A" w14:textId="68D16ED3" w:rsidR="00BA258F" w:rsidRDefault="0039301D" w:rsidP="0043506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95% compaction </w:t>
            </w:r>
            <w:r w:rsidR="0043506F">
              <w:t>for general backfill, 102% compaction required if adjoining SMZ layer (R44)</w:t>
            </w:r>
          </w:p>
        </w:tc>
        <w:tc>
          <w:tcPr>
            <w:tcW w:w="1050" w:type="dxa"/>
            <w:shd w:val="clear" w:color="auto" w:fill="auto"/>
          </w:tcPr>
          <w:p w14:paraId="076BE966" w14:textId="77777777" w:rsidR="00BA258F" w:rsidRDefault="00BA258F" w:rsidP="00BA258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51E5AD12" w14:textId="5F430A35" w:rsidR="00BA258F" w:rsidRPr="00177053" w:rsidRDefault="00C903D0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177053">
              <w:t>T173 Test Report</w:t>
            </w:r>
          </w:p>
        </w:tc>
      </w:tr>
      <w:tr w:rsidR="00BA258F" w:rsidRPr="00E176E1" w14:paraId="2BB62A04" w14:textId="77777777" w:rsidTr="0014760A">
        <w:trPr>
          <w:trHeight w:val="978"/>
        </w:trPr>
        <w:tc>
          <w:tcPr>
            <w:tcW w:w="877" w:type="dxa"/>
            <w:shd w:val="clear" w:color="auto" w:fill="auto"/>
          </w:tcPr>
          <w:p w14:paraId="2AA28DCA" w14:textId="4A2AE2A2" w:rsidR="00BA258F" w:rsidRDefault="00BA258F" w:rsidP="00BA258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892DB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00" w:type="dxa"/>
            <w:gridSpan w:val="2"/>
            <w:shd w:val="clear" w:color="auto" w:fill="auto"/>
          </w:tcPr>
          <w:p w14:paraId="39264737" w14:textId="72E897E7" w:rsidR="00BA258F" w:rsidRDefault="00BA258F" w:rsidP="00BA258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Completion</w:t>
            </w:r>
          </w:p>
        </w:tc>
        <w:tc>
          <w:tcPr>
            <w:tcW w:w="1358" w:type="dxa"/>
            <w:shd w:val="clear" w:color="auto" w:fill="auto"/>
          </w:tcPr>
          <w:p w14:paraId="0C86D1BD" w14:textId="4CE5332B" w:rsidR="00BA258F" w:rsidRPr="00307168" w:rsidRDefault="00BE2798" w:rsidP="00BA258F">
            <w:pPr>
              <w:pStyle w:val="ITPrefs"/>
              <w:framePr w:hSpace="0" w:wrap="auto" w:vAnchor="margin" w:xAlign="left" w:yAlign="inline"/>
              <w:suppressOverlap w:val="0"/>
            </w:pPr>
            <w:r>
              <w:t>R11 Cl. 5.2</w:t>
            </w:r>
          </w:p>
        </w:tc>
        <w:tc>
          <w:tcPr>
            <w:tcW w:w="4759" w:type="dxa"/>
            <w:gridSpan w:val="2"/>
            <w:shd w:val="clear" w:color="auto" w:fill="auto"/>
          </w:tcPr>
          <w:p w14:paraId="2B290173" w14:textId="528E47FC" w:rsidR="00BE2798" w:rsidRDefault="000B1A1E" w:rsidP="00892DB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Survey pickup of asbuilt pit inverts (downstream and upstream)</w:t>
            </w:r>
            <w:r w:rsidR="00C61963">
              <w:t xml:space="preserve"> and pit locations. Survey report provided and any NCRs raised, changes picked up on WAE drawings</w:t>
            </w:r>
          </w:p>
        </w:tc>
        <w:tc>
          <w:tcPr>
            <w:tcW w:w="1050" w:type="dxa"/>
            <w:shd w:val="clear" w:color="auto" w:fill="auto"/>
          </w:tcPr>
          <w:p w14:paraId="5F295EAF" w14:textId="77777777" w:rsidR="00BA258F" w:rsidRDefault="00BA258F" w:rsidP="00BA258F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14:paraId="51224B78" w14:textId="647E5CDB" w:rsidR="00BA258F" w:rsidRPr="00177053" w:rsidRDefault="00C61963" w:rsidP="00BA258F">
            <w:pPr>
              <w:pStyle w:val="ITP2condensed"/>
              <w:framePr w:hSpace="0" w:wrap="auto" w:vAnchor="margin" w:xAlign="left" w:yAlign="inline"/>
              <w:suppressOverlap w:val="0"/>
            </w:pPr>
            <w:r w:rsidRPr="00177053">
              <w:t>Survey Conformance Report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41C1F">
              <w:rPr>
                <w:rFonts w:ascii="Arial" w:hAnsi="Arial" w:cs="Arial"/>
                <w:sz w:val="20"/>
              </w:rPr>
            </w:r>
            <w:r w:rsidR="00341C1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41C1F">
              <w:rPr>
                <w:rFonts w:ascii="Arial" w:hAnsi="Arial" w:cs="Arial"/>
                <w:sz w:val="20"/>
              </w:rPr>
            </w:r>
            <w:r w:rsidR="00341C1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41C1F">
              <w:rPr>
                <w:rFonts w:ascii="Arial" w:hAnsi="Arial" w:cs="Arial"/>
                <w:sz w:val="20"/>
              </w:rPr>
            </w:r>
            <w:r w:rsidR="00341C1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41C1F">
              <w:rPr>
                <w:rFonts w:ascii="Arial" w:hAnsi="Arial" w:cs="Arial"/>
                <w:sz w:val="20"/>
              </w:rPr>
            </w:r>
            <w:r w:rsidR="00341C1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41C1F">
              <w:rPr>
                <w:rFonts w:ascii="Arial" w:hAnsi="Arial" w:cs="Arial"/>
                <w:sz w:val="20"/>
              </w:rPr>
            </w:r>
            <w:r w:rsidR="00341C1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41C1F">
              <w:rPr>
                <w:rFonts w:ascii="Arial" w:hAnsi="Arial" w:cs="Arial"/>
                <w:sz w:val="20"/>
              </w:rPr>
            </w:r>
            <w:r w:rsidR="00341C1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5C45E7" w:rsidRPr="00A225D5" w14:paraId="641DA056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7DEC0F8D" w14:textId="149BDAE5" w:rsidR="005C45E7" w:rsidRPr="00A225D5" w:rsidRDefault="00CD1A51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CD1A51" w:rsidRPr="00A225D5" w14:paraId="4BFB4AD2" w14:textId="77777777" w:rsidTr="00366789">
        <w:trPr>
          <w:trHeight w:val="310"/>
        </w:trPr>
        <w:tc>
          <w:tcPr>
            <w:tcW w:w="5002" w:type="dxa"/>
            <w:gridSpan w:val="3"/>
          </w:tcPr>
          <w:p w14:paraId="633BEE0E" w14:textId="77777777" w:rsidR="00CD1A51" w:rsidRPr="00A225D5" w:rsidRDefault="00CD1A51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0D28760A" w14:textId="77777777" w:rsidR="00CD1A51" w:rsidRPr="00A225D5" w:rsidRDefault="00CD1A51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64452723" w14:textId="77777777" w:rsidR="00CD1A51" w:rsidRPr="00A225D5" w:rsidRDefault="00CD1A51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AA36" w14:textId="77777777" w:rsidR="00711379" w:rsidRDefault="00711379" w:rsidP="00BB5C4F">
      <w:r>
        <w:separator/>
      </w:r>
    </w:p>
    <w:p w14:paraId="3173A8E4" w14:textId="77777777" w:rsidR="00711379" w:rsidRDefault="00711379"/>
  </w:endnote>
  <w:endnote w:type="continuationSeparator" w:id="0">
    <w:p w14:paraId="05AC8228" w14:textId="77777777" w:rsidR="00711379" w:rsidRDefault="00711379" w:rsidP="00BB5C4F">
      <w:r>
        <w:continuationSeparator/>
      </w:r>
    </w:p>
    <w:p w14:paraId="4609F84C" w14:textId="77777777" w:rsidR="00711379" w:rsidRDefault="00711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13BB462F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341C1F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Jun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</w:t>
          </w:r>
          <w:r w:rsidR="00341C1F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1AE5" w14:textId="77777777" w:rsidR="00711379" w:rsidRDefault="00711379" w:rsidP="00BB5C4F">
      <w:r>
        <w:separator/>
      </w:r>
    </w:p>
    <w:p w14:paraId="154692D8" w14:textId="77777777" w:rsidR="00711379" w:rsidRDefault="00711379"/>
  </w:footnote>
  <w:footnote w:type="continuationSeparator" w:id="0">
    <w:p w14:paraId="67C47F06" w14:textId="77777777" w:rsidR="00711379" w:rsidRDefault="00711379" w:rsidP="00BB5C4F">
      <w:r>
        <w:continuationSeparator/>
      </w:r>
    </w:p>
    <w:p w14:paraId="7849F12D" w14:textId="77777777" w:rsidR="00711379" w:rsidRDefault="007113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901331497">
    <w:abstractNumId w:val="13"/>
  </w:num>
  <w:num w:numId="2" w16cid:durableId="1039891666">
    <w:abstractNumId w:val="41"/>
  </w:num>
  <w:num w:numId="3" w16cid:durableId="559707597">
    <w:abstractNumId w:val="39"/>
  </w:num>
  <w:num w:numId="4" w16cid:durableId="1801074867">
    <w:abstractNumId w:val="27"/>
  </w:num>
  <w:num w:numId="5" w16cid:durableId="193348852">
    <w:abstractNumId w:val="36"/>
  </w:num>
  <w:num w:numId="6" w16cid:durableId="615064158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371733611">
    <w:abstractNumId w:val="2"/>
  </w:num>
  <w:num w:numId="8" w16cid:durableId="748816787">
    <w:abstractNumId w:val="17"/>
  </w:num>
  <w:num w:numId="9" w16cid:durableId="1689747037">
    <w:abstractNumId w:val="32"/>
  </w:num>
  <w:num w:numId="10" w16cid:durableId="1925449790">
    <w:abstractNumId w:val="0"/>
  </w:num>
  <w:num w:numId="11" w16cid:durableId="1128088840">
    <w:abstractNumId w:val="25"/>
  </w:num>
  <w:num w:numId="12" w16cid:durableId="1476096087">
    <w:abstractNumId w:val="7"/>
  </w:num>
  <w:num w:numId="13" w16cid:durableId="600140930">
    <w:abstractNumId w:val="33"/>
  </w:num>
  <w:num w:numId="14" w16cid:durableId="1339963435">
    <w:abstractNumId w:val="11"/>
  </w:num>
  <w:num w:numId="15" w16cid:durableId="570501085">
    <w:abstractNumId w:val="19"/>
  </w:num>
  <w:num w:numId="16" w16cid:durableId="140125981">
    <w:abstractNumId w:val="22"/>
  </w:num>
  <w:num w:numId="17" w16cid:durableId="1718968552">
    <w:abstractNumId w:val="34"/>
  </w:num>
  <w:num w:numId="18" w16cid:durableId="565265193">
    <w:abstractNumId w:val="4"/>
  </w:num>
  <w:num w:numId="19" w16cid:durableId="360478835">
    <w:abstractNumId w:val="38"/>
  </w:num>
  <w:num w:numId="20" w16cid:durableId="732969888">
    <w:abstractNumId w:val="24"/>
  </w:num>
  <w:num w:numId="21" w16cid:durableId="24203146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7095888">
    <w:abstractNumId w:val="3"/>
  </w:num>
  <w:num w:numId="23" w16cid:durableId="2028142633">
    <w:abstractNumId w:val="43"/>
  </w:num>
  <w:num w:numId="24" w16cid:durableId="1856186215">
    <w:abstractNumId w:val="26"/>
  </w:num>
  <w:num w:numId="25" w16cid:durableId="1127821206">
    <w:abstractNumId w:val="31"/>
  </w:num>
  <w:num w:numId="26" w16cid:durableId="1078743920">
    <w:abstractNumId w:val="35"/>
  </w:num>
  <w:num w:numId="27" w16cid:durableId="578173857">
    <w:abstractNumId w:val="23"/>
  </w:num>
  <w:num w:numId="28" w16cid:durableId="1383598140">
    <w:abstractNumId w:val="42"/>
  </w:num>
  <w:num w:numId="29" w16cid:durableId="787550329">
    <w:abstractNumId w:val="1"/>
  </w:num>
  <w:num w:numId="30" w16cid:durableId="246156441">
    <w:abstractNumId w:val="12"/>
  </w:num>
  <w:num w:numId="31" w16cid:durableId="1710644126">
    <w:abstractNumId w:val="21"/>
  </w:num>
  <w:num w:numId="32" w16cid:durableId="24185825">
    <w:abstractNumId w:val="20"/>
  </w:num>
  <w:num w:numId="33" w16cid:durableId="781002254">
    <w:abstractNumId w:val="15"/>
  </w:num>
  <w:num w:numId="34" w16cid:durableId="695884585">
    <w:abstractNumId w:val="16"/>
  </w:num>
  <w:num w:numId="35" w16cid:durableId="870611457">
    <w:abstractNumId w:val="37"/>
  </w:num>
  <w:num w:numId="36" w16cid:durableId="853349934">
    <w:abstractNumId w:val="5"/>
  </w:num>
  <w:num w:numId="37" w16cid:durableId="588084328">
    <w:abstractNumId w:val="28"/>
  </w:num>
  <w:num w:numId="38" w16cid:durableId="2141339069">
    <w:abstractNumId w:val="10"/>
  </w:num>
  <w:num w:numId="39" w16cid:durableId="150295753">
    <w:abstractNumId w:val="39"/>
  </w:num>
  <w:num w:numId="40" w16cid:durableId="691998038">
    <w:abstractNumId w:val="8"/>
  </w:num>
  <w:num w:numId="41" w16cid:durableId="1460345035">
    <w:abstractNumId w:val="29"/>
  </w:num>
  <w:num w:numId="42" w16cid:durableId="2096398080">
    <w:abstractNumId w:val="30"/>
  </w:num>
  <w:num w:numId="43" w16cid:durableId="1901866759">
    <w:abstractNumId w:val="14"/>
  </w:num>
  <w:num w:numId="44" w16cid:durableId="199781921">
    <w:abstractNumId w:val="18"/>
  </w:num>
  <w:num w:numId="45" w16cid:durableId="859002436">
    <w:abstractNumId w:val="44"/>
  </w:num>
  <w:num w:numId="46" w16cid:durableId="290982025">
    <w:abstractNumId w:val="39"/>
  </w:num>
  <w:num w:numId="47" w16cid:durableId="97725774">
    <w:abstractNumId w:val="40"/>
  </w:num>
  <w:num w:numId="48" w16cid:durableId="2132821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6960"/>
    <w:rsid w:val="00011B8F"/>
    <w:rsid w:val="00011D00"/>
    <w:rsid w:val="00030E1B"/>
    <w:rsid w:val="000359D4"/>
    <w:rsid w:val="00043927"/>
    <w:rsid w:val="00053BA3"/>
    <w:rsid w:val="00060483"/>
    <w:rsid w:val="00061AA6"/>
    <w:rsid w:val="00061CD4"/>
    <w:rsid w:val="00061D7D"/>
    <w:rsid w:val="00070328"/>
    <w:rsid w:val="00087D10"/>
    <w:rsid w:val="00091949"/>
    <w:rsid w:val="00092A62"/>
    <w:rsid w:val="000A4467"/>
    <w:rsid w:val="000A7BC4"/>
    <w:rsid w:val="000B1A1E"/>
    <w:rsid w:val="000B3BC6"/>
    <w:rsid w:val="000F41E8"/>
    <w:rsid w:val="00101CE3"/>
    <w:rsid w:val="001122BD"/>
    <w:rsid w:val="001144DF"/>
    <w:rsid w:val="00115C7A"/>
    <w:rsid w:val="00115D29"/>
    <w:rsid w:val="0014760A"/>
    <w:rsid w:val="0016098E"/>
    <w:rsid w:val="001624F0"/>
    <w:rsid w:val="00162B58"/>
    <w:rsid w:val="0016320A"/>
    <w:rsid w:val="00177053"/>
    <w:rsid w:val="0019327B"/>
    <w:rsid w:val="001A4653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2055A1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B6126"/>
    <w:rsid w:val="002C0EC5"/>
    <w:rsid w:val="002D2198"/>
    <w:rsid w:val="002D71A7"/>
    <w:rsid w:val="002F5E13"/>
    <w:rsid w:val="00307168"/>
    <w:rsid w:val="003157AB"/>
    <w:rsid w:val="00317D5A"/>
    <w:rsid w:val="00324F11"/>
    <w:rsid w:val="00341C1F"/>
    <w:rsid w:val="00356531"/>
    <w:rsid w:val="00357948"/>
    <w:rsid w:val="00360DA1"/>
    <w:rsid w:val="00362E31"/>
    <w:rsid w:val="00365DE5"/>
    <w:rsid w:val="0036613E"/>
    <w:rsid w:val="00370EE7"/>
    <w:rsid w:val="0037516F"/>
    <w:rsid w:val="00384027"/>
    <w:rsid w:val="0039301D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401FAF"/>
    <w:rsid w:val="004029DF"/>
    <w:rsid w:val="00402BC2"/>
    <w:rsid w:val="00404101"/>
    <w:rsid w:val="00406860"/>
    <w:rsid w:val="00415938"/>
    <w:rsid w:val="0043370A"/>
    <w:rsid w:val="0043506F"/>
    <w:rsid w:val="004354AE"/>
    <w:rsid w:val="004475AC"/>
    <w:rsid w:val="0045207F"/>
    <w:rsid w:val="0046097C"/>
    <w:rsid w:val="00460AC6"/>
    <w:rsid w:val="00461DCD"/>
    <w:rsid w:val="004671E1"/>
    <w:rsid w:val="00480965"/>
    <w:rsid w:val="00484D66"/>
    <w:rsid w:val="00494BAF"/>
    <w:rsid w:val="004A3533"/>
    <w:rsid w:val="004A61AA"/>
    <w:rsid w:val="004A7C26"/>
    <w:rsid w:val="004C67F7"/>
    <w:rsid w:val="004D5867"/>
    <w:rsid w:val="004E0D4C"/>
    <w:rsid w:val="004E64B6"/>
    <w:rsid w:val="00515E49"/>
    <w:rsid w:val="00523652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166"/>
    <w:rsid w:val="00576472"/>
    <w:rsid w:val="00580119"/>
    <w:rsid w:val="00584CB4"/>
    <w:rsid w:val="0058685D"/>
    <w:rsid w:val="0059384E"/>
    <w:rsid w:val="0059627E"/>
    <w:rsid w:val="005B5AA6"/>
    <w:rsid w:val="005C3312"/>
    <w:rsid w:val="005C45E7"/>
    <w:rsid w:val="005C782F"/>
    <w:rsid w:val="005D1992"/>
    <w:rsid w:val="005D389F"/>
    <w:rsid w:val="005D4591"/>
    <w:rsid w:val="005E425D"/>
    <w:rsid w:val="005F54EA"/>
    <w:rsid w:val="005F6D4A"/>
    <w:rsid w:val="0060694B"/>
    <w:rsid w:val="00614999"/>
    <w:rsid w:val="006175D8"/>
    <w:rsid w:val="006237CB"/>
    <w:rsid w:val="00632438"/>
    <w:rsid w:val="006365F9"/>
    <w:rsid w:val="00644320"/>
    <w:rsid w:val="00646784"/>
    <w:rsid w:val="00647037"/>
    <w:rsid w:val="00655BAD"/>
    <w:rsid w:val="00665903"/>
    <w:rsid w:val="00665A23"/>
    <w:rsid w:val="0066747F"/>
    <w:rsid w:val="00671FAD"/>
    <w:rsid w:val="00676948"/>
    <w:rsid w:val="006801AD"/>
    <w:rsid w:val="0068793F"/>
    <w:rsid w:val="00692C5A"/>
    <w:rsid w:val="006A2085"/>
    <w:rsid w:val="006B1A30"/>
    <w:rsid w:val="006B337A"/>
    <w:rsid w:val="006C4CA0"/>
    <w:rsid w:val="006C65E7"/>
    <w:rsid w:val="006C7C54"/>
    <w:rsid w:val="006D4603"/>
    <w:rsid w:val="006D5779"/>
    <w:rsid w:val="006E1D24"/>
    <w:rsid w:val="006E493D"/>
    <w:rsid w:val="006F49A5"/>
    <w:rsid w:val="00700B38"/>
    <w:rsid w:val="007025D7"/>
    <w:rsid w:val="00706D78"/>
    <w:rsid w:val="00711379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7A4F"/>
    <w:rsid w:val="008027A1"/>
    <w:rsid w:val="0080685F"/>
    <w:rsid w:val="00810ABA"/>
    <w:rsid w:val="00811017"/>
    <w:rsid w:val="00822B44"/>
    <w:rsid w:val="00824D0B"/>
    <w:rsid w:val="00824FE0"/>
    <w:rsid w:val="008252C1"/>
    <w:rsid w:val="00835CC0"/>
    <w:rsid w:val="00840972"/>
    <w:rsid w:val="00840FF9"/>
    <w:rsid w:val="00841081"/>
    <w:rsid w:val="00845363"/>
    <w:rsid w:val="008516F6"/>
    <w:rsid w:val="00853876"/>
    <w:rsid w:val="008735F9"/>
    <w:rsid w:val="00890EC6"/>
    <w:rsid w:val="00892DB2"/>
    <w:rsid w:val="0089612D"/>
    <w:rsid w:val="008B0C4B"/>
    <w:rsid w:val="008B1AED"/>
    <w:rsid w:val="008B5848"/>
    <w:rsid w:val="008C55FB"/>
    <w:rsid w:val="008C77EB"/>
    <w:rsid w:val="008D5B5F"/>
    <w:rsid w:val="008F420A"/>
    <w:rsid w:val="00901CD2"/>
    <w:rsid w:val="00910FB1"/>
    <w:rsid w:val="00920484"/>
    <w:rsid w:val="00920A3E"/>
    <w:rsid w:val="009257E7"/>
    <w:rsid w:val="00936DDA"/>
    <w:rsid w:val="009465C0"/>
    <w:rsid w:val="00952368"/>
    <w:rsid w:val="0095337A"/>
    <w:rsid w:val="00954F7D"/>
    <w:rsid w:val="009573AE"/>
    <w:rsid w:val="0096765D"/>
    <w:rsid w:val="00971BDA"/>
    <w:rsid w:val="009734FB"/>
    <w:rsid w:val="00984124"/>
    <w:rsid w:val="009872B9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206EE"/>
    <w:rsid w:val="00A225D5"/>
    <w:rsid w:val="00A2710C"/>
    <w:rsid w:val="00A4084B"/>
    <w:rsid w:val="00A44176"/>
    <w:rsid w:val="00A50555"/>
    <w:rsid w:val="00A524CD"/>
    <w:rsid w:val="00A52B0E"/>
    <w:rsid w:val="00A625E9"/>
    <w:rsid w:val="00A63213"/>
    <w:rsid w:val="00A652DE"/>
    <w:rsid w:val="00A850EC"/>
    <w:rsid w:val="00A9123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7D29"/>
    <w:rsid w:val="00B35B83"/>
    <w:rsid w:val="00B36F00"/>
    <w:rsid w:val="00B442D1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58F"/>
    <w:rsid w:val="00BA2C3D"/>
    <w:rsid w:val="00BA6B05"/>
    <w:rsid w:val="00BB051D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2798"/>
    <w:rsid w:val="00BE4E17"/>
    <w:rsid w:val="00BF112B"/>
    <w:rsid w:val="00BF3CE6"/>
    <w:rsid w:val="00C00A15"/>
    <w:rsid w:val="00C00EDA"/>
    <w:rsid w:val="00C10AE5"/>
    <w:rsid w:val="00C12565"/>
    <w:rsid w:val="00C13109"/>
    <w:rsid w:val="00C1696F"/>
    <w:rsid w:val="00C220E8"/>
    <w:rsid w:val="00C244D9"/>
    <w:rsid w:val="00C27692"/>
    <w:rsid w:val="00C33765"/>
    <w:rsid w:val="00C36165"/>
    <w:rsid w:val="00C373AA"/>
    <w:rsid w:val="00C61963"/>
    <w:rsid w:val="00C63501"/>
    <w:rsid w:val="00C71300"/>
    <w:rsid w:val="00C824A2"/>
    <w:rsid w:val="00C903D0"/>
    <w:rsid w:val="00CA141C"/>
    <w:rsid w:val="00CB3DBB"/>
    <w:rsid w:val="00CB4337"/>
    <w:rsid w:val="00CB5D79"/>
    <w:rsid w:val="00CB750C"/>
    <w:rsid w:val="00CC3E91"/>
    <w:rsid w:val="00CD14B3"/>
    <w:rsid w:val="00CD1A51"/>
    <w:rsid w:val="00CD2652"/>
    <w:rsid w:val="00CD3271"/>
    <w:rsid w:val="00CD5FA5"/>
    <w:rsid w:val="00CE1B9F"/>
    <w:rsid w:val="00CE48D8"/>
    <w:rsid w:val="00CE4942"/>
    <w:rsid w:val="00CE581D"/>
    <w:rsid w:val="00CE6E7E"/>
    <w:rsid w:val="00CF7B89"/>
    <w:rsid w:val="00D0088B"/>
    <w:rsid w:val="00D12492"/>
    <w:rsid w:val="00D21E0C"/>
    <w:rsid w:val="00D26EE2"/>
    <w:rsid w:val="00D30FC7"/>
    <w:rsid w:val="00D3100C"/>
    <w:rsid w:val="00D31E4D"/>
    <w:rsid w:val="00D3361E"/>
    <w:rsid w:val="00D42D72"/>
    <w:rsid w:val="00D50674"/>
    <w:rsid w:val="00D57CF4"/>
    <w:rsid w:val="00D67050"/>
    <w:rsid w:val="00D70CB5"/>
    <w:rsid w:val="00D83201"/>
    <w:rsid w:val="00D91D59"/>
    <w:rsid w:val="00DA2E25"/>
    <w:rsid w:val="00DB6D74"/>
    <w:rsid w:val="00DC3EB5"/>
    <w:rsid w:val="00DC62EE"/>
    <w:rsid w:val="00DD06E7"/>
    <w:rsid w:val="00E014BC"/>
    <w:rsid w:val="00E036BE"/>
    <w:rsid w:val="00E07049"/>
    <w:rsid w:val="00E17D61"/>
    <w:rsid w:val="00E259C6"/>
    <w:rsid w:val="00E272F4"/>
    <w:rsid w:val="00E5131F"/>
    <w:rsid w:val="00E52457"/>
    <w:rsid w:val="00E65062"/>
    <w:rsid w:val="00E66D09"/>
    <w:rsid w:val="00E67110"/>
    <w:rsid w:val="00E708D3"/>
    <w:rsid w:val="00E744EB"/>
    <w:rsid w:val="00E77541"/>
    <w:rsid w:val="00E8098B"/>
    <w:rsid w:val="00E84B9C"/>
    <w:rsid w:val="00E90BE1"/>
    <w:rsid w:val="00E93371"/>
    <w:rsid w:val="00E94BFE"/>
    <w:rsid w:val="00EA07D2"/>
    <w:rsid w:val="00EB4EB0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65574"/>
    <w:rsid w:val="00F80609"/>
    <w:rsid w:val="00F834AC"/>
    <w:rsid w:val="00F91BD4"/>
    <w:rsid w:val="00F9591F"/>
    <w:rsid w:val="00FA0EB0"/>
    <w:rsid w:val="00FA5785"/>
    <w:rsid w:val="00FC3C82"/>
    <w:rsid w:val="00FD4FEC"/>
    <w:rsid w:val="00FF16CD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ITPrefs">
    <w:name w:val="ITP refs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6A84E108BD14784B35A67C04F7B29" ma:contentTypeVersion="12" ma:contentTypeDescription="Create a new document." ma:contentTypeScope="" ma:versionID="0c1e6dc65a6df30166871e2a8bc2cd8e">
  <xsd:schema xmlns:xsd="http://www.w3.org/2001/XMLSchema" xmlns:xs="http://www.w3.org/2001/XMLSchema" xmlns:p="http://schemas.microsoft.com/office/2006/metadata/properties" xmlns:ns2="b72db9bc-5daa-48a3-9ed7-296fc04bda01" xmlns:ns3="7f63fe6f-cd98-459a-b407-fa58c9bed456" targetNamespace="http://schemas.microsoft.com/office/2006/metadata/properties" ma:root="true" ma:fieldsID="688f112b1e771b3ee16bcd5c7a1d7593" ns2:_="" ns3:_="">
    <xsd:import namespace="b72db9bc-5daa-48a3-9ed7-296fc04bda01"/>
    <xsd:import namespace="7f63fe6f-cd98-459a-b407-fa58c9bed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db9bc-5daa-48a3-9ed7-296fc04bd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3fe6f-cd98-459a-b407-fa58c9bed4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2A37121-01A1-44B0-ADB9-CDCCCC532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db9bc-5daa-48a3-9ed7-296fc04bda01"/>
    <ds:schemaRef ds:uri="7f63fe6f-cd98-459a-b407-fa58c9bed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591</Words>
  <Characters>2944</Characters>
  <Application>Microsoft Office Word</Application>
  <DocSecurity>0</DocSecurity>
  <Lines>196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Dhruv Patel</cp:lastModifiedBy>
  <cp:revision>27</cp:revision>
  <cp:lastPrinted>2021-09-07T02:51:00Z</cp:lastPrinted>
  <dcterms:created xsi:type="dcterms:W3CDTF">2022-02-17T22:15:00Z</dcterms:created>
  <dcterms:modified xsi:type="dcterms:W3CDTF">2022-06-21T23:07:00Z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0x0101005536A84E108BD14784B35A67C04F7B29</vt:lpwstr>
  </property>
  <property fmtid="{D5CDD505-2E9C-101B-9397-08002B2CF9AE}" pid="3" name="MediaServiceImageTags">
    <vt:lpwstr/>
  </property>
</Properties>
</file>