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236"/>
        <w:gridCol w:w="2310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264AF0A4" w:rsidR="00AC1167" w:rsidRPr="002A67A8" w:rsidRDefault="003814CB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Spray Seal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71494B64" w:rsidR="002A67A8" w:rsidRPr="004E0D4C" w:rsidRDefault="003814CB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Pavement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3A224AD9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E16A2A">
              <w:rPr>
                <w:rFonts w:ascii="Arial" w:hAnsi="Arial" w:cs="Arial"/>
                <w:sz w:val="20"/>
                <w:lang w:val="en-US"/>
              </w:rPr>
              <w:t>2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E16A2A">
              <w:rPr>
                <w:rFonts w:ascii="Arial" w:hAnsi="Arial" w:cs="Arial"/>
                <w:sz w:val="20"/>
                <w:lang w:val="en-US"/>
              </w:rPr>
              <w:t>2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04366F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EDBCDE9" w14:textId="56D4630B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E16A2A" w:rsidRPr="00E176E1" w14:paraId="0A95F2F0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66FFB771" w14:textId="5B478762" w:rsidR="00E16A2A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B2D526C" w14:textId="52E41505" w:rsidR="00E16A2A" w:rsidRDefault="0063318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Mix Design</w:t>
            </w:r>
          </w:p>
        </w:tc>
        <w:tc>
          <w:tcPr>
            <w:tcW w:w="1417" w:type="dxa"/>
            <w:shd w:val="clear" w:color="auto" w:fill="auto"/>
          </w:tcPr>
          <w:p w14:paraId="14BFFA6A" w14:textId="39878A8C" w:rsidR="00E16A2A" w:rsidRPr="008B22E6" w:rsidRDefault="00633185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1143 Cl 1.5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3F66DAE" w14:textId="5278F933" w:rsidR="00E16A2A" w:rsidRPr="00CD50A2" w:rsidRDefault="00633185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HOLD POINT: Submit to the Principal</w:t>
            </w:r>
            <w:r w:rsidR="008D6757" w:rsidRPr="00CD50A2">
              <w:rPr>
                <w:b/>
                <w:bCs/>
              </w:rPr>
              <w:t xml:space="preserve"> documentation on material type, source, proportions, grading, application rates, test certificates and trial mix results as evidence of conformance for each constituent before commencing</w:t>
            </w:r>
          </w:p>
        </w:tc>
        <w:tc>
          <w:tcPr>
            <w:tcW w:w="236" w:type="dxa"/>
            <w:shd w:val="clear" w:color="auto" w:fill="auto"/>
          </w:tcPr>
          <w:p w14:paraId="3FDA7664" w14:textId="77777777" w:rsidR="00E16A2A" w:rsidRDefault="00E16A2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3AFCAD6D" w14:textId="3EC87353" w:rsidR="00E16A2A" w:rsidRPr="00CD50A2" w:rsidRDefault="00D354F3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HOLD POINT: _______</w:t>
            </w:r>
          </w:p>
        </w:tc>
      </w:tr>
      <w:tr w:rsidR="00E16A2A" w:rsidRPr="00E176E1" w14:paraId="58ADD3A9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0AA09EC2" w14:textId="4033E319" w:rsidR="00E16A2A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EF71BFE" w14:textId="754E6E63" w:rsidR="00E16A2A" w:rsidRDefault="00F05E08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Execution Details</w:t>
            </w:r>
          </w:p>
        </w:tc>
        <w:tc>
          <w:tcPr>
            <w:tcW w:w="1417" w:type="dxa"/>
            <w:shd w:val="clear" w:color="auto" w:fill="auto"/>
          </w:tcPr>
          <w:p w14:paraId="78F9CA83" w14:textId="11D07845" w:rsidR="00E16A2A" w:rsidRPr="008B22E6" w:rsidRDefault="003823CD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1143 Cl 1.5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1DAF928" w14:textId="639FC9BB" w:rsidR="00E16A2A" w:rsidRPr="00CD50A2" w:rsidRDefault="003823C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HOLD POINT: Submit to the Principal sprayed seal design details 2 weeks prior to commencing, with evidence that the design conforms to Austroads AGPT</w:t>
            </w:r>
            <w:r w:rsidR="00A95428" w:rsidRPr="00CD50A2">
              <w:rPr>
                <w:b/>
                <w:bCs/>
              </w:rPr>
              <w:t>04K Clause 4</w:t>
            </w:r>
          </w:p>
        </w:tc>
        <w:tc>
          <w:tcPr>
            <w:tcW w:w="236" w:type="dxa"/>
            <w:shd w:val="clear" w:color="auto" w:fill="auto"/>
          </w:tcPr>
          <w:p w14:paraId="689526DB" w14:textId="77777777" w:rsidR="00E16A2A" w:rsidRDefault="00E16A2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3D0089A8" w14:textId="6E0028BD" w:rsidR="00E16A2A" w:rsidRPr="00CD50A2" w:rsidRDefault="00A95428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HOLD POINT: _______</w:t>
            </w:r>
          </w:p>
        </w:tc>
      </w:tr>
      <w:tr w:rsidR="00E16A2A" w:rsidRPr="00E176E1" w14:paraId="536C7D39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680C3130" w14:textId="7B71DE86" w:rsidR="00E16A2A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C7F8B9" w14:textId="05787920" w:rsidR="00E16A2A" w:rsidRDefault="00A95428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Plant &amp; Execution</w:t>
            </w:r>
          </w:p>
        </w:tc>
        <w:tc>
          <w:tcPr>
            <w:tcW w:w="1417" w:type="dxa"/>
            <w:shd w:val="clear" w:color="auto" w:fill="auto"/>
          </w:tcPr>
          <w:p w14:paraId="309D9578" w14:textId="3053762D" w:rsidR="00E16A2A" w:rsidRPr="008B22E6" w:rsidRDefault="00A95428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1143 Cl 1.5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87BE247" w14:textId="65FDF882" w:rsidR="00E16A2A" w:rsidRPr="00CD50A2" w:rsidRDefault="00A95428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HOLD POINT: Submit to the Principal evidence of plant and equipment registration and insurance 2 weeks prior to commencing</w:t>
            </w:r>
          </w:p>
        </w:tc>
        <w:tc>
          <w:tcPr>
            <w:tcW w:w="236" w:type="dxa"/>
            <w:shd w:val="clear" w:color="auto" w:fill="auto"/>
          </w:tcPr>
          <w:p w14:paraId="33A494C9" w14:textId="77777777" w:rsidR="00E16A2A" w:rsidRDefault="00E16A2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4BECB870" w14:textId="33D812E6" w:rsidR="00E16A2A" w:rsidRPr="00CD50A2" w:rsidRDefault="00A95428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HOLD POINT: _______</w:t>
            </w:r>
          </w:p>
        </w:tc>
      </w:tr>
      <w:tr w:rsidR="00A95428" w:rsidRPr="00E176E1" w14:paraId="6A8B814B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08423A1B" w14:textId="3F3243B9" w:rsidR="00A95428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FBBDF4B" w14:textId="5A4A99AA" w:rsidR="00A95428" w:rsidRDefault="00E358E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Surface Preparation</w:t>
            </w:r>
          </w:p>
        </w:tc>
        <w:tc>
          <w:tcPr>
            <w:tcW w:w="1417" w:type="dxa"/>
            <w:shd w:val="clear" w:color="auto" w:fill="auto"/>
          </w:tcPr>
          <w:p w14:paraId="15723703" w14:textId="6BFC22A4" w:rsidR="00A95428" w:rsidRPr="008B22E6" w:rsidRDefault="00E358E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1143 Cl 1.6 &amp; Cl 4.2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1E8DFD2" w14:textId="77777777" w:rsidR="00D016F3" w:rsidRPr="00CD50A2" w:rsidRDefault="00D016F3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HOLD POINT: Submit to the principal drawings and documents to final completed works</w:t>
            </w:r>
          </w:p>
          <w:p w14:paraId="7FC68235" w14:textId="77777777" w:rsidR="00D016F3" w:rsidRPr="00CD50A2" w:rsidRDefault="00D016F3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Contractor supplied test certificates for dried back moisture % prior to spraying of primer, primer-binder or binder</w:t>
            </w:r>
          </w:p>
          <w:p w14:paraId="5DB738E2" w14:textId="77777777" w:rsidR="00D016F3" w:rsidRPr="00CD50A2" w:rsidRDefault="00D016F3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Perform embedment tests to Austroads AG:PT/T251</w:t>
            </w:r>
            <w:r w:rsidR="00F64643" w:rsidRPr="00CD50A2">
              <w:rPr>
                <w:b/>
                <w:bCs/>
              </w:rPr>
              <w:t xml:space="preserve"> within 48 hours before spray application</w:t>
            </w:r>
          </w:p>
          <w:p w14:paraId="59B51DD1" w14:textId="5E7D6B1D" w:rsidR="00F64643" w:rsidRPr="00CD50A2" w:rsidRDefault="00F64643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Pavement to be swept with a rotary road or suction broom prior to priming and extend sweeping 30mm beyond edge of spray area</w:t>
            </w:r>
            <w:r w:rsidR="00FF43DA" w:rsidRPr="00CD50A2">
              <w:rPr>
                <w:b/>
                <w:bCs/>
              </w:rPr>
              <w:t>. Remove any foreign or loose material</w:t>
            </w:r>
          </w:p>
        </w:tc>
        <w:tc>
          <w:tcPr>
            <w:tcW w:w="236" w:type="dxa"/>
            <w:shd w:val="clear" w:color="auto" w:fill="auto"/>
          </w:tcPr>
          <w:p w14:paraId="1445CFD1" w14:textId="77777777" w:rsidR="00A95428" w:rsidRDefault="00A95428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55424630" w14:textId="5C06746A" w:rsidR="00A95428" w:rsidRPr="00CD50A2" w:rsidRDefault="00FF43DA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HOLD POINT: _______</w:t>
            </w:r>
          </w:p>
        </w:tc>
      </w:tr>
      <w:tr w:rsidR="00A95428" w:rsidRPr="00E176E1" w14:paraId="28F44587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4AB1B52D" w14:textId="35AB3E9C" w:rsidR="00A95428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806F71" w14:textId="7E54F523" w:rsidR="00A95428" w:rsidRDefault="000D59D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Pavement Defects</w:t>
            </w:r>
          </w:p>
        </w:tc>
        <w:tc>
          <w:tcPr>
            <w:tcW w:w="1417" w:type="dxa"/>
            <w:shd w:val="clear" w:color="auto" w:fill="auto"/>
          </w:tcPr>
          <w:p w14:paraId="404011B3" w14:textId="2FCBFA08" w:rsidR="00A95428" w:rsidRPr="008B22E6" w:rsidRDefault="000D59D0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1143 Cl 4.2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4F3DD16" w14:textId="00717C63" w:rsidR="00A95428" w:rsidRDefault="00F975C8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Do not commence spraying until any defects in the pavement surface are rectified</w:t>
            </w:r>
          </w:p>
        </w:tc>
        <w:tc>
          <w:tcPr>
            <w:tcW w:w="236" w:type="dxa"/>
            <w:shd w:val="clear" w:color="auto" w:fill="auto"/>
          </w:tcPr>
          <w:p w14:paraId="4A7585C2" w14:textId="77777777" w:rsidR="00A95428" w:rsidRDefault="00A95428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19994B8E" w14:textId="77777777" w:rsidR="00A95428" w:rsidRDefault="00A95428" w:rsidP="00574D44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</w:p>
        </w:tc>
      </w:tr>
      <w:tr w:rsidR="00A95428" w:rsidRPr="00E176E1" w14:paraId="53DFAE99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3768E9D8" w14:textId="2902A011" w:rsidR="00A95428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EDFC5A1" w14:textId="37775C72" w:rsidR="00A95428" w:rsidRDefault="000D59D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Trial Section</w:t>
            </w:r>
          </w:p>
        </w:tc>
        <w:tc>
          <w:tcPr>
            <w:tcW w:w="1417" w:type="dxa"/>
            <w:shd w:val="clear" w:color="auto" w:fill="auto"/>
          </w:tcPr>
          <w:p w14:paraId="79AD9A3C" w14:textId="4078E294" w:rsidR="00A95428" w:rsidRPr="008B22E6" w:rsidRDefault="000D59D0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1143 Cl 1.6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402ED74" w14:textId="1671758D" w:rsidR="00A95428" w:rsidRDefault="00F975C8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Notify the Principal of inspection of a completed surfacing trial section</w:t>
            </w:r>
          </w:p>
        </w:tc>
        <w:tc>
          <w:tcPr>
            <w:tcW w:w="236" w:type="dxa"/>
            <w:shd w:val="clear" w:color="auto" w:fill="auto"/>
          </w:tcPr>
          <w:p w14:paraId="4F5C4625" w14:textId="77777777" w:rsidR="00A95428" w:rsidRDefault="00A95428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21FBCC77" w14:textId="77777777" w:rsidR="00A95428" w:rsidRDefault="00A95428" w:rsidP="00574D44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</w:p>
        </w:tc>
      </w:tr>
      <w:tr w:rsidR="00A95428" w:rsidRPr="00E176E1" w14:paraId="030BCE37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11633043" w14:textId="39CE5216" w:rsidR="00A95428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53F2713" w14:textId="42E25780" w:rsidR="00A95428" w:rsidRDefault="000D59D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Spraying</w:t>
            </w:r>
          </w:p>
        </w:tc>
        <w:tc>
          <w:tcPr>
            <w:tcW w:w="1417" w:type="dxa"/>
            <w:shd w:val="clear" w:color="auto" w:fill="auto"/>
          </w:tcPr>
          <w:p w14:paraId="02CAC83E" w14:textId="5DCFAE9D" w:rsidR="00A95428" w:rsidRPr="008B22E6" w:rsidRDefault="000D59D0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1143 Cl 1.5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B633AA0" w14:textId="77777777" w:rsidR="00A95428" w:rsidRPr="00A81A85" w:rsidRDefault="001F657D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record of temperature and weather conditions during the course of the work. Record during regular intervals with appropriate measuring procedures</w:t>
            </w:r>
            <w:r w:rsidR="00A81A85">
              <w:t>. Record for both sun and shaded areas</w:t>
            </w:r>
          </w:p>
          <w:p w14:paraId="1B19C399" w14:textId="77777777" w:rsidR="00A81A85" w:rsidRPr="00686065" w:rsidRDefault="00A81A85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to the Principal, spraying certificate, binder spraying temperature and work record for each spray run</w:t>
            </w:r>
          </w:p>
          <w:p w14:paraId="387098D0" w14:textId="1FA68224" w:rsidR="00686065" w:rsidRDefault="00686065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Notify the principal of the inspection of the spraying rate</w:t>
            </w:r>
          </w:p>
        </w:tc>
        <w:tc>
          <w:tcPr>
            <w:tcW w:w="236" w:type="dxa"/>
            <w:shd w:val="clear" w:color="auto" w:fill="auto"/>
          </w:tcPr>
          <w:p w14:paraId="52A3366F" w14:textId="77777777" w:rsidR="00A95428" w:rsidRDefault="00A95428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5A6C2D1E" w14:textId="1373DC7A" w:rsidR="00A95428" w:rsidRDefault="00686065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Spray records</w:t>
            </w:r>
          </w:p>
        </w:tc>
      </w:tr>
      <w:tr w:rsidR="00686065" w:rsidRPr="00E176E1" w14:paraId="17D01727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1A4D9933" w14:textId="321DF5C0" w:rsidR="00686065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FB05A8" w14:textId="4583DBC5" w:rsidR="00686065" w:rsidRDefault="0068606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Test Results</w:t>
            </w:r>
          </w:p>
        </w:tc>
        <w:tc>
          <w:tcPr>
            <w:tcW w:w="1417" w:type="dxa"/>
            <w:shd w:val="clear" w:color="auto" w:fill="auto"/>
          </w:tcPr>
          <w:p w14:paraId="1214C67D" w14:textId="430B8028" w:rsidR="00686065" w:rsidRPr="008B22E6" w:rsidRDefault="00686065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1143 Cl 1.5 &amp; Cl 3.7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B84A14E" w14:textId="77777777" w:rsidR="00097CA7" w:rsidRPr="0056372E" w:rsidRDefault="00097CA7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Test for all characteristics in conformance with maximum lot size</w:t>
            </w:r>
            <w:r w:rsidR="0056372E">
              <w:t xml:space="preserve"> and minimum frequencies</w:t>
            </w:r>
          </w:p>
          <w:p w14:paraId="20765BE4" w14:textId="77777777" w:rsidR="0056372E" w:rsidRPr="0056372E" w:rsidRDefault="0056372E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Pavement surface prep is to be tested to the ball penetration Austroads test</w:t>
            </w:r>
          </w:p>
          <w:p w14:paraId="420F75B0" w14:textId="6B23A561" w:rsidR="0056372E" w:rsidRDefault="0056372E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test results within the maximum lot sizes and minimum test frequencies</w:t>
            </w:r>
          </w:p>
        </w:tc>
        <w:tc>
          <w:tcPr>
            <w:tcW w:w="236" w:type="dxa"/>
            <w:shd w:val="clear" w:color="auto" w:fill="auto"/>
          </w:tcPr>
          <w:p w14:paraId="6622B754" w14:textId="77777777" w:rsidR="00686065" w:rsidRDefault="0068606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5CDFFBEA" w14:textId="52124670" w:rsidR="00686065" w:rsidRDefault="0056372E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Test results</w:t>
            </w:r>
          </w:p>
        </w:tc>
      </w:tr>
      <w:tr w:rsidR="00686065" w:rsidRPr="00E176E1" w14:paraId="28958694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612098DE" w14:textId="03840994" w:rsidR="00686065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956506" w14:textId="414F7F17" w:rsidR="00686065" w:rsidRDefault="00E61C5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Primer / Binder Application</w:t>
            </w:r>
          </w:p>
        </w:tc>
        <w:tc>
          <w:tcPr>
            <w:tcW w:w="1417" w:type="dxa"/>
            <w:shd w:val="clear" w:color="auto" w:fill="auto"/>
          </w:tcPr>
          <w:p w14:paraId="105171FF" w14:textId="77777777" w:rsidR="00686065" w:rsidRPr="008B22E6" w:rsidRDefault="00686065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18EEF31F" w14:textId="77777777" w:rsidR="00686065" w:rsidRPr="009F241D" w:rsidRDefault="005C47F0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9F241D">
              <w:rPr>
                <w:b/>
                <w:bCs/>
              </w:rPr>
              <w:t xml:space="preserve">HOLD POINT: </w:t>
            </w:r>
            <w:r w:rsidR="003A28B0" w:rsidRPr="009F241D">
              <w:rPr>
                <w:b/>
                <w:bCs/>
              </w:rPr>
              <w:t>Notify the Principal 2 days prior to spreading aggregate for inspection of the completed sprayed surface</w:t>
            </w:r>
          </w:p>
          <w:p w14:paraId="14495094" w14:textId="77777777" w:rsidR="003A28B0" w:rsidRPr="009F241D" w:rsidRDefault="003A28B0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9F241D">
              <w:rPr>
                <w:b/>
                <w:bCs/>
              </w:rPr>
              <w:t>Application rate is to conform to Austroads AGPT04K</w:t>
            </w:r>
          </w:p>
          <w:p w14:paraId="5E691465" w14:textId="77777777" w:rsidR="003A28B0" w:rsidRPr="009F241D" w:rsidRDefault="003A28B0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9F241D">
              <w:rPr>
                <w:b/>
                <w:bCs/>
              </w:rPr>
              <w:t>Measure application rates and quantities applied to the mixture at 15</w:t>
            </w:r>
            <w:r w:rsidRPr="009F241D">
              <w:rPr>
                <w:rFonts w:cs="Arial"/>
                <w:b/>
                <w:bCs/>
              </w:rPr>
              <w:t>°</w:t>
            </w:r>
            <w:r w:rsidRPr="009F241D">
              <w:rPr>
                <w:b/>
                <w:bCs/>
              </w:rPr>
              <w:t>C</w:t>
            </w:r>
          </w:p>
          <w:p w14:paraId="3BBD7817" w14:textId="77777777" w:rsidR="003A28B0" w:rsidRPr="009F241D" w:rsidRDefault="003A28B0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9F241D">
              <w:rPr>
                <w:b/>
                <w:bCs/>
              </w:rPr>
              <w:t>Primer drying period is at least 72 hours after application</w:t>
            </w:r>
          </w:p>
          <w:p w14:paraId="2E481BE7" w14:textId="77777777" w:rsidR="003A28B0" w:rsidRPr="009F241D" w:rsidRDefault="003A28B0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9F241D">
              <w:rPr>
                <w:b/>
                <w:bCs/>
              </w:rPr>
              <w:t>Binder application to conform to Clause 4.5</w:t>
            </w:r>
          </w:p>
          <w:p w14:paraId="1F8EFCCF" w14:textId="4784F898" w:rsidR="003A28B0" w:rsidRDefault="003A28B0" w:rsidP="00574D44">
            <w:pPr>
              <w:pStyle w:val="ITP2condensed"/>
              <w:framePr w:hSpace="0" w:wrap="auto" w:vAnchor="margin" w:xAlign="left" w:yAlign="inline"/>
              <w:suppressOverlap w:val="0"/>
            </w:pPr>
            <w:r w:rsidRPr="009F241D">
              <w:rPr>
                <w:b/>
                <w:bCs/>
              </w:rPr>
              <w:t>Forward speed of bitumen sprayer is to be based on items in Clause 4.5</w:t>
            </w:r>
          </w:p>
        </w:tc>
        <w:tc>
          <w:tcPr>
            <w:tcW w:w="236" w:type="dxa"/>
            <w:shd w:val="clear" w:color="auto" w:fill="auto"/>
          </w:tcPr>
          <w:p w14:paraId="4B855B61" w14:textId="77777777" w:rsidR="00686065" w:rsidRDefault="0068606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560F6B55" w14:textId="56604197" w:rsidR="00686065" w:rsidRPr="00CD50A2" w:rsidRDefault="003A28B0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CD50A2">
              <w:rPr>
                <w:b/>
                <w:bCs/>
              </w:rPr>
              <w:t>HOLD POINT: _______</w:t>
            </w:r>
          </w:p>
        </w:tc>
      </w:tr>
      <w:tr w:rsidR="00686065" w:rsidRPr="00E176E1" w14:paraId="2B1862E3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4CCEE7E1" w14:textId="1E0F8F92" w:rsidR="00686065" w:rsidRDefault="009E431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8A278AF" w14:textId="4AFB29E5" w:rsidR="00686065" w:rsidRDefault="00F95C8D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Post Application</w:t>
            </w:r>
          </w:p>
        </w:tc>
        <w:tc>
          <w:tcPr>
            <w:tcW w:w="1417" w:type="dxa"/>
            <w:shd w:val="clear" w:color="auto" w:fill="auto"/>
          </w:tcPr>
          <w:p w14:paraId="4BFC9229" w14:textId="02B0064C" w:rsidR="00686065" w:rsidRPr="008B22E6" w:rsidRDefault="00862785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1143 Cl 1.6 &amp; Cl 4.10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A190D68" w14:textId="3B3202C7" w:rsidR="00686065" w:rsidRPr="00CD50A2" w:rsidRDefault="00CD50A2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Notify the Principal of inspection for completed rolled surface with linemarking, services fixtures and warning signs clean</w:t>
            </w:r>
            <w:r w:rsidR="00C32045">
              <w:rPr>
                <w:b/>
                <w:bCs/>
              </w:rPr>
              <w:t>ed</w:t>
            </w:r>
            <w:r>
              <w:rPr>
                <w:b/>
                <w:bCs/>
              </w:rPr>
              <w:t xml:space="preserve"> and in place prior to opening for traffic</w:t>
            </w:r>
            <w:r w:rsidR="009E431D">
              <w:rPr>
                <w:b/>
                <w:bCs/>
              </w:rPr>
              <w:t xml:space="preserve"> (if applicable)</w:t>
            </w:r>
            <w:r w:rsidR="001F75FC">
              <w:rPr>
                <w:b/>
                <w:bCs/>
              </w:rPr>
              <w:t xml:space="preserve">, otherwise complete inspection of the </w:t>
            </w:r>
            <w:r w:rsidR="00CE2D13">
              <w:rPr>
                <w:b/>
                <w:bCs/>
              </w:rPr>
              <w:t xml:space="preserve">swept </w:t>
            </w:r>
            <w:r w:rsidR="001F75FC">
              <w:rPr>
                <w:b/>
                <w:bCs/>
              </w:rPr>
              <w:t>surface</w:t>
            </w:r>
          </w:p>
          <w:p w14:paraId="785027C1" w14:textId="77777777" w:rsidR="00CD50A2" w:rsidRPr="00CD50A2" w:rsidRDefault="00CD50A2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Surface is to conform to Austroads AGPT04K and is generally of good quality</w:t>
            </w:r>
          </w:p>
          <w:p w14:paraId="247DB601" w14:textId="77777777" w:rsidR="00CD50A2" w:rsidRPr="00CD50A2" w:rsidRDefault="00CD50A2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Appearance is to be uniform, clean and with straight edges</w:t>
            </w:r>
          </w:p>
          <w:p w14:paraId="551EA63B" w14:textId="77777777" w:rsidR="00CD50A2" w:rsidRPr="00CD50A2" w:rsidRDefault="00CD50A2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Loose aggregate is to be removed after sweeping and conform to Clause 4.10</w:t>
            </w:r>
          </w:p>
          <w:p w14:paraId="33801EC3" w14:textId="1B0CB0D1" w:rsidR="00CD50A2" w:rsidRDefault="00CD50A2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Provide warning signs for newly completed surfacing</w:t>
            </w:r>
          </w:p>
        </w:tc>
        <w:tc>
          <w:tcPr>
            <w:tcW w:w="236" w:type="dxa"/>
            <w:shd w:val="clear" w:color="auto" w:fill="auto"/>
          </w:tcPr>
          <w:p w14:paraId="5528FFF2" w14:textId="77777777" w:rsidR="00686065" w:rsidRDefault="0068606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20EFD057" w14:textId="7CE91E0E" w:rsidR="00686065" w:rsidRDefault="00CD50A2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_______</w:t>
            </w:r>
          </w:p>
        </w:tc>
      </w:tr>
      <w:tr w:rsidR="00686065" w:rsidRPr="00E176E1" w14:paraId="1275A42C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6D05FB24" w14:textId="60DA1FF8" w:rsidR="00686065" w:rsidRDefault="00F95C8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E431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9808CCA" w14:textId="3C9A0ACD" w:rsidR="00686065" w:rsidRDefault="00F95C8D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Non-Conformance</w:t>
            </w:r>
          </w:p>
        </w:tc>
        <w:tc>
          <w:tcPr>
            <w:tcW w:w="1417" w:type="dxa"/>
            <w:shd w:val="clear" w:color="auto" w:fill="auto"/>
          </w:tcPr>
          <w:p w14:paraId="73A5ECD5" w14:textId="77777777" w:rsidR="00686065" w:rsidRPr="008B22E6" w:rsidRDefault="00686065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23423FEA" w14:textId="77777777" w:rsidR="00686065" w:rsidRPr="002F285C" w:rsidRDefault="00CE2D13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WITNESS POINT: Notify the Principal of inspection for completed remedial treatment of non-conforming sections</w:t>
            </w:r>
          </w:p>
          <w:p w14:paraId="3F7BA436" w14:textId="6C7CDC2A" w:rsidR="002F285C" w:rsidRDefault="002F285C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Area not within 5% of the application rate are non-conforming</w:t>
            </w:r>
          </w:p>
        </w:tc>
        <w:tc>
          <w:tcPr>
            <w:tcW w:w="236" w:type="dxa"/>
            <w:shd w:val="clear" w:color="auto" w:fill="auto"/>
          </w:tcPr>
          <w:p w14:paraId="055776C6" w14:textId="77777777" w:rsidR="00686065" w:rsidRDefault="0068606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07744487" w14:textId="4859F013" w:rsidR="00686065" w:rsidRDefault="002F285C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WITNESS POINT: _______</w:t>
            </w:r>
          </w:p>
        </w:tc>
      </w:tr>
      <w:tr w:rsidR="00686065" w:rsidRPr="00E176E1" w14:paraId="0B068BD4" w14:textId="77777777" w:rsidTr="0004366F">
        <w:trPr>
          <w:trHeight w:val="858"/>
        </w:trPr>
        <w:tc>
          <w:tcPr>
            <w:tcW w:w="965" w:type="dxa"/>
            <w:shd w:val="clear" w:color="auto" w:fill="auto"/>
          </w:tcPr>
          <w:p w14:paraId="4ACFC42B" w14:textId="1EA5487B" w:rsidR="00686065" w:rsidRDefault="00F95C8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E431D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FA57AE4" w14:textId="1798B6CB" w:rsidR="00686065" w:rsidRDefault="00F95C8D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Works As Executed (WAE)</w:t>
            </w:r>
          </w:p>
        </w:tc>
        <w:tc>
          <w:tcPr>
            <w:tcW w:w="1417" w:type="dxa"/>
            <w:shd w:val="clear" w:color="auto" w:fill="auto"/>
          </w:tcPr>
          <w:p w14:paraId="2A684B6E" w14:textId="77777777" w:rsidR="00686065" w:rsidRPr="008B22E6" w:rsidRDefault="00686065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7E228330" w14:textId="14347F1D" w:rsidR="00686065" w:rsidRDefault="00CB587B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drawings and documents of final completed works. Contractor to provide Schedule 6.2 – Schedule of Job</w:t>
            </w:r>
            <w:r w:rsidR="001E0D39">
              <w:t>, Details of Works As Executed (WAE)</w:t>
            </w:r>
          </w:p>
        </w:tc>
        <w:tc>
          <w:tcPr>
            <w:tcW w:w="236" w:type="dxa"/>
            <w:shd w:val="clear" w:color="auto" w:fill="auto"/>
          </w:tcPr>
          <w:p w14:paraId="0D0FCC8A" w14:textId="77777777" w:rsidR="00686065" w:rsidRDefault="0068606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3226869A" w14:textId="00D88093" w:rsidR="00686065" w:rsidRDefault="001E0D39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WAE Drawings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3E8C" w14:textId="77777777" w:rsidR="00EB0079" w:rsidRDefault="00EB0079" w:rsidP="00BB5C4F">
      <w:r>
        <w:separator/>
      </w:r>
    </w:p>
    <w:p w14:paraId="4DA86856" w14:textId="77777777" w:rsidR="00EB0079" w:rsidRDefault="00EB0079"/>
  </w:endnote>
  <w:endnote w:type="continuationSeparator" w:id="0">
    <w:p w14:paraId="2A963285" w14:textId="77777777" w:rsidR="00EB0079" w:rsidRDefault="00EB0079" w:rsidP="00BB5C4F">
      <w:r>
        <w:continuationSeparator/>
      </w:r>
    </w:p>
    <w:p w14:paraId="5F1CDE00" w14:textId="77777777" w:rsidR="00EB0079" w:rsidRDefault="00EB0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714D" w14:textId="77777777" w:rsidR="00EB0079" w:rsidRDefault="00EB0079" w:rsidP="00BB5C4F">
      <w:r>
        <w:separator/>
      </w:r>
    </w:p>
    <w:p w14:paraId="7B0D748E" w14:textId="77777777" w:rsidR="00EB0079" w:rsidRDefault="00EB0079"/>
  </w:footnote>
  <w:footnote w:type="continuationSeparator" w:id="0">
    <w:p w14:paraId="26542B02" w14:textId="77777777" w:rsidR="00EB0079" w:rsidRDefault="00EB0079" w:rsidP="00BB5C4F">
      <w:r>
        <w:continuationSeparator/>
      </w:r>
    </w:p>
    <w:p w14:paraId="0602C2F2" w14:textId="77777777" w:rsidR="00EB0079" w:rsidRDefault="00EB00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98B4CF16"/>
    <w:lvl w:ilvl="0" w:tplc="0F0EE032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2F8F"/>
    <w:multiLevelType w:val="hybridMultilevel"/>
    <w:tmpl w:val="B492CF76"/>
    <w:lvl w:ilvl="0" w:tplc="69764C1C">
      <w:start w:val="1"/>
      <w:numFmt w:val="bullet"/>
      <w:pStyle w:val="SubITP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2"/>
  </w:num>
  <w:num w:numId="3" w16cid:durableId="680354846">
    <w:abstractNumId w:val="40"/>
  </w:num>
  <w:num w:numId="4" w16cid:durableId="677463477">
    <w:abstractNumId w:val="27"/>
  </w:num>
  <w:num w:numId="5" w16cid:durableId="653533191">
    <w:abstractNumId w:val="37"/>
  </w:num>
  <w:num w:numId="6" w16cid:durableId="1406489980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4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5"/>
  </w:num>
  <w:num w:numId="18" w16cid:durableId="1423407526">
    <w:abstractNumId w:val="4"/>
  </w:num>
  <w:num w:numId="19" w16cid:durableId="506482643">
    <w:abstractNumId w:val="39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4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6"/>
  </w:num>
  <w:num w:numId="27" w16cid:durableId="365957546">
    <w:abstractNumId w:val="23"/>
  </w:num>
  <w:num w:numId="28" w16cid:durableId="156968202">
    <w:abstractNumId w:val="43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8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40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5"/>
  </w:num>
  <w:num w:numId="46" w16cid:durableId="721289422">
    <w:abstractNumId w:val="40"/>
  </w:num>
  <w:num w:numId="47" w16cid:durableId="768893996">
    <w:abstractNumId w:val="41"/>
  </w:num>
  <w:num w:numId="48" w16cid:durableId="1925070342">
    <w:abstractNumId w:val="9"/>
  </w:num>
  <w:num w:numId="49" w16cid:durableId="4343316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66F"/>
    <w:rsid w:val="00043927"/>
    <w:rsid w:val="00060483"/>
    <w:rsid w:val="00061AA6"/>
    <w:rsid w:val="00061CD4"/>
    <w:rsid w:val="00070328"/>
    <w:rsid w:val="00087D10"/>
    <w:rsid w:val="00091949"/>
    <w:rsid w:val="00092A62"/>
    <w:rsid w:val="00097CA7"/>
    <w:rsid w:val="000A43CF"/>
    <w:rsid w:val="000A4467"/>
    <w:rsid w:val="000A7BC4"/>
    <w:rsid w:val="000B3BC6"/>
    <w:rsid w:val="000D418F"/>
    <w:rsid w:val="000D59D0"/>
    <w:rsid w:val="000F41E8"/>
    <w:rsid w:val="001122BD"/>
    <w:rsid w:val="001144DF"/>
    <w:rsid w:val="00115C7A"/>
    <w:rsid w:val="00115D29"/>
    <w:rsid w:val="00117288"/>
    <w:rsid w:val="0016098E"/>
    <w:rsid w:val="0016236A"/>
    <w:rsid w:val="001624F0"/>
    <w:rsid w:val="00162B58"/>
    <w:rsid w:val="001733E2"/>
    <w:rsid w:val="00174F09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0D39"/>
    <w:rsid w:val="001E46A4"/>
    <w:rsid w:val="001E741D"/>
    <w:rsid w:val="001F43BB"/>
    <w:rsid w:val="001F657D"/>
    <w:rsid w:val="001F75FC"/>
    <w:rsid w:val="0021688B"/>
    <w:rsid w:val="00224D39"/>
    <w:rsid w:val="00234F5A"/>
    <w:rsid w:val="00235F8D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285C"/>
    <w:rsid w:val="002F5E13"/>
    <w:rsid w:val="00307168"/>
    <w:rsid w:val="003157AB"/>
    <w:rsid w:val="00317D5A"/>
    <w:rsid w:val="00324F11"/>
    <w:rsid w:val="00325626"/>
    <w:rsid w:val="00337F2E"/>
    <w:rsid w:val="003524A6"/>
    <w:rsid w:val="00356531"/>
    <w:rsid w:val="00357948"/>
    <w:rsid w:val="00360DA1"/>
    <w:rsid w:val="00362E31"/>
    <w:rsid w:val="00365DE5"/>
    <w:rsid w:val="00370EE7"/>
    <w:rsid w:val="0037516F"/>
    <w:rsid w:val="00376ADC"/>
    <w:rsid w:val="003814CB"/>
    <w:rsid w:val="003823CD"/>
    <w:rsid w:val="00384027"/>
    <w:rsid w:val="00393EFA"/>
    <w:rsid w:val="003A190C"/>
    <w:rsid w:val="003A1E86"/>
    <w:rsid w:val="003A23F4"/>
    <w:rsid w:val="003A28B0"/>
    <w:rsid w:val="003B09C7"/>
    <w:rsid w:val="003C2CC5"/>
    <w:rsid w:val="003C324A"/>
    <w:rsid w:val="003C6560"/>
    <w:rsid w:val="003C77DF"/>
    <w:rsid w:val="003D381D"/>
    <w:rsid w:val="003E5689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00D70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372E"/>
    <w:rsid w:val="0056791B"/>
    <w:rsid w:val="005736DF"/>
    <w:rsid w:val="00574D44"/>
    <w:rsid w:val="00576472"/>
    <w:rsid w:val="00580119"/>
    <w:rsid w:val="00584CB4"/>
    <w:rsid w:val="0058685D"/>
    <w:rsid w:val="0059384E"/>
    <w:rsid w:val="0059627E"/>
    <w:rsid w:val="005B3B1A"/>
    <w:rsid w:val="005C3312"/>
    <w:rsid w:val="005C47F0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3185"/>
    <w:rsid w:val="006365F9"/>
    <w:rsid w:val="00644320"/>
    <w:rsid w:val="00646784"/>
    <w:rsid w:val="00647037"/>
    <w:rsid w:val="006503E1"/>
    <w:rsid w:val="00655BAD"/>
    <w:rsid w:val="00662B31"/>
    <w:rsid w:val="00665903"/>
    <w:rsid w:val="0066747F"/>
    <w:rsid w:val="006801AD"/>
    <w:rsid w:val="00686065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62785"/>
    <w:rsid w:val="008735F9"/>
    <w:rsid w:val="00890EC6"/>
    <w:rsid w:val="00893B62"/>
    <w:rsid w:val="0089612D"/>
    <w:rsid w:val="008B0C4B"/>
    <w:rsid w:val="008B1AED"/>
    <w:rsid w:val="008B22E6"/>
    <w:rsid w:val="008B5848"/>
    <w:rsid w:val="008C3CBA"/>
    <w:rsid w:val="008C55FB"/>
    <w:rsid w:val="008C77EB"/>
    <w:rsid w:val="008D5B5F"/>
    <w:rsid w:val="008D6757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A5F4F"/>
    <w:rsid w:val="009B19A7"/>
    <w:rsid w:val="009B20B8"/>
    <w:rsid w:val="009C427C"/>
    <w:rsid w:val="009D0C66"/>
    <w:rsid w:val="009E1684"/>
    <w:rsid w:val="009E431D"/>
    <w:rsid w:val="009F1E2C"/>
    <w:rsid w:val="009F241D"/>
    <w:rsid w:val="009F415C"/>
    <w:rsid w:val="009F7DE1"/>
    <w:rsid w:val="00A01AD5"/>
    <w:rsid w:val="00A03DA9"/>
    <w:rsid w:val="00A04B4A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1A85"/>
    <w:rsid w:val="00A850EC"/>
    <w:rsid w:val="00A95428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0E63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112B"/>
    <w:rsid w:val="00C00A15"/>
    <w:rsid w:val="00C00EDA"/>
    <w:rsid w:val="00C10AE5"/>
    <w:rsid w:val="00C12565"/>
    <w:rsid w:val="00C13109"/>
    <w:rsid w:val="00C1696F"/>
    <w:rsid w:val="00C220E8"/>
    <w:rsid w:val="00C32045"/>
    <w:rsid w:val="00C33765"/>
    <w:rsid w:val="00C36165"/>
    <w:rsid w:val="00C373AA"/>
    <w:rsid w:val="00C53EC7"/>
    <w:rsid w:val="00C61AF2"/>
    <w:rsid w:val="00C61F74"/>
    <w:rsid w:val="00C63501"/>
    <w:rsid w:val="00C71300"/>
    <w:rsid w:val="00C824A2"/>
    <w:rsid w:val="00CA141C"/>
    <w:rsid w:val="00CB3DBB"/>
    <w:rsid w:val="00CB4337"/>
    <w:rsid w:val="00CB55F0"/>
    <w:rsid w:val="00CB587B"/>
    <w:rsid w:val="00CB5D79"/>
    <w:rsid w:val="00CB750C"/>
    <w:rsid w:val="00CC3E91"/>
    <w:rsid w:val="00CD2652"/>
    <w:rsid w:val="00CD3271"/>
    <w:rsid w:val="00CD50A2"/>
    <w:rsid w:val="00CD5FA5"/>
    <w:rsid w:val="00CE2D13"/>
    <w:rsid w:val="00CE48D8"/>
    <w:rsid w:val="00CE4942"/>
    <w:rsid w:val="00CE581D"/>
    <w:rsid w:val="00CE6E7E"/>
    <w:rsid w:val="00CF7B89"/>
    <w:rsid w:val="00D0088B"/>
    <w:rsid w:val="00D016F3"/>
    <w:rsid w:val="00D12492"/>
    <w:rsid w:val="00D21E0C"/>
    <w:rsid w:val="00D26773"/>
    <w:rsid w:val="00D30FC7"/>
    <w:rsid w:val="00D3100C"/>
    <w:rsid w:val="00D3361E"/>
    <w:rsid w:val="00D354F3"/>
    <w:rsid w:val="00D446C1"/>
    <w:rsid w:val="00D50674"/>
    <w:rsid w:val="00D55A75"/>
    <w:rsid w:val="00D57CF4"/>
    <w:rsid w:val="00D70CB5"/>
    <w:rsid w:val="00D711A9"/>
    <w:rsid w:val="00D83201"/>
    <w:rsid w:val="00D85C91"/>
    <w:rsid w:val="00D91D59"/>
    <w:rsid w:val="00DC3EB5"/>
    <w:rsid w:val="00DC62EE"/>
    <w:rsid w:val="00DD06E7"/>
    <w:rsid w:val="00DD15CF"/>
    <w:rsid w:val="00E014BC"/>
    <w:rsid w:val="00E036BE"/>
    <w:rsid w:val="00E04446"/>
    <w:rsid w:val="00E07049"/>
    <w:rsid w:val="00E16A2A"/>
    <w:rsid w:val="00E17D61"/>
    <w:rsid w:val="00E259C6"/>
    <w:rsid w:val="00E26EAE"/>
    <w:rsid w:val="00E272F4"/>
    <w:rsid w:val="00E358E7"/>
    <w:rsid w:val="00E444E8"/>
    <w:rsid w:val="00E5131F"/>
    <w:rsid w:val="00E61C50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B0079"/>
    <w:rsid w:val="00EC0A5D"/>
    <w:rsid w:val="00ED269D"/>
    <w:rsid w:val="00EE5356"/>
    <w:rsid w:val="00F0502F"/>
    <w:rsid w:val="00F05E08"/>
    <w:rsid w:val="00F05E57"/>
    <w:rsid w:val="00F14CA2"/>
    <w:rsid w:val="00F2160F"/>
    <w:rsid w:val="00F22C5F"/>
    <w:rsid w:val="00F2634A"/>
    <w:rsid w:val="00F30451"/>
    <w:rsid w:val="00F50DE0"/>
    <w:rsid w:val="00F53164"/>
    <w:rsid w:val="00F64643"/>
    <w:rsid w:val="00F810DA"/>
    <w:rsid w:val="00F834AC"/>
    <w:rsid w:val="00F91BD4"/>
    <w:rsid w:val="00F945AB"/>
    <w:rsid w:val="00F95C8D"/>
    <w:rsid w:val="00F975C8"/>
    <w:rsid w:val="00FA0EB0"/>
    <w:rsid w:val="00FA5785"/>
    <w:rsid w:val="00FB66BD"/>
    <w:rsid w:val="00FC3C82"/>
    <w:rsid w:val="00FD213A"/>
    <w:rsid w:val="00FD3139"/>
    <w:rsid w:val="00FD4FEC"/>
    <w:rsid w:val="00FD7580"/>
    <w:rsid w:val="00FF4381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574D44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paragraph" w:customStyle="1" w:styleId="SubITP">
    <w:name w:val="Sub ITP"/>
    <w:basedOn w:val="ITP"/>
    <w:link w:val="SubITPChar"/>
    <w:qFormat/>
    <w:rsid w:val="006503E1"/>
    <w:pPr>
      <w:numPr>
        <w:numId w:val="49"/>
      </w:numPr>
      <w:ind w:left="626"/>
    </w:pPr>
  </w:style>
  <w:style w:type="character" w:customStyle="1" w:styleId="SubITPChar">
    <w:name w:val="Sub ITP Char"/>
    <w:basedOn w:val="ITPChar"/>
    <w:link w:val="SubITP"/>
    <w:rsid w:val="006503E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4A03F942FE4CAB23DA7DDA18A18E" ma:contentTypeVersion="" ma:contentTypeDescription="Create a new document." ma:contentTypeScope="" ma:versionID="f4f124d800de58cf695ddde4d127007b">
  <xsd:schema xmlns:xsd="http://www.w3.org/2001/XMLSchema" xmlns:xs="http://www.w3.org/2001/XMLSchema" xmlns:p="http://schemas.microsoft.com/office/2006/metadata/properties" xmlns:ns2="49cc03f3-9809-43a7-a913-5a454bac97c5" xmlns:ns3="4fa1db89-4933-4f22-b99e-ffd049cf6696" targetNamespace="http://schemas.microsoft.com/office/2006/metadata/properties" ma:root="true" ma:fieldsID="71d7ad47670cb665c52cd763d82026fd" ns2:_="" ns3:_="">
    <xsd:import namespace="49cc03f3-9809-43a7-a913-5a454bac97c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c03f3-9809-43a7-a913-5a454bac9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49cc03f3-9809-43a7-a913-5a454bac97c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A8164-3946-48C0-B8FA-E88C2B3BF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c03f3-9809-43a7-a913-5a454bac97c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49cc03f3-9809-43a7-a913-5a454bac97c5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45</cp:revision>
  <cp:lastPrinted>2021-09-07T02:51:00Z</cp:lastPrinted>
  <dcterms:created xsi:type="dcterms:W3CDTF">2022-09-19T07:02:00Z</dcterms:created>
  <dcterms:modified xsi:type="dcterms:W3CDTF">2022-11-15T23:50:00Z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0x010100622E4A03F942FE4CAB23DA7DDA18A18E</vt:lpwstr>
  </property>
  <property fmtid="{D5CDD505-2E9C-101B-9397-08002B2CF9AE}" pid="3" name="MediaServiceImageTags">
    <vt:lpwstr/>
  </property>
</Properties>
</file>