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55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558"/>
      </w:tblGrid>
      <w:tr w:rsidR="00AA7F9E" w:rsidRPr="00E176E1" w14:paraId="0952600F" w14:textId="77777777" w:rsidTr="002B2CB1">
        <w:trPr>
          <w:trHeight w:val="364"/>
          <w:tblHeader/>
        </w:trPr>
        <w:tc>
          <w:tcPr>
            <w:tcW w:w="5558" w:type="dxa"/>
            <w:vMerge w:val="restart"/>
            <w:shd w:val="clear" w:color="auto" w:fill="F2F2F2" w:themeFill="background1" w:themeFillShade="F2"/>
            <w:vAlign w:val="center"/>
          </w:tcPr>
          <w:p w14:paraId="5AC8F2AA" w14:textId="583070FA" w:rsidR="00AA7F9E" w:rsidRDefault="00AA7F9E" w:rsidP="006170B4">
            <w:pPr>
              <w:jc w:val="center"/>
              <w:rPr>
                <w:rFonts w:ascii="Arial" w:hAnsi="Arial" w:cs="Arial"/>
                <w:b/>
                <w:sz w:val="28"/>
                <w:lang w:val="en-US"/>
              </w:rPr>
            </w:pPr>
            <w:r w:rsidRPr="00E176E1">
              <w:rPr>
                <w:rFonts w:ascii="Arial" w:hAnsi="Arial" w:cs="Arial"/>
                <w:b/>
                <w:sz w:val="20"/>
                <w:lang w:val="en-US"/>
              </w:rPr>
              <w:t>INSPECTION AND TEST</w:t>
            </w:r>
            <w:r w:rsidR="002B2CB1">
              <w:rPr>
                <w:rFonts w:ascii="Arial" w:hAnsi="Arial" w:cs="Arial"/>
                <w:b/>
                <w:sz w:val="20"/>
                <w:lang w:val="en-US"/>
              </w:rPr>
              <w:t xml:space="preserve"> 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329BE0B3" w:rsidR="00AA7F9E" w:rsidRPr="00B62C94" w:rsidRDefault="005F62B6" w:rsidP="002B2CB1">
            <w:pPr>
              <w:jc w:val="center"/>
              <w:rPr>
                <w:rFonts w:ascii="Arial" w:hAnsi="Arial" w:cs="Arial"/>
                <w:b/>
                <w:sz w:val="20"/>
                <w:lang w:val="en-US"/>
              </w:rPr>
            </w:pPr>
            <w:r>
              <w:rPr>
                <w:rFonts w:ascii="Arial" w:hAnsi="Arial" w:cs="Arial"/>
                <w:b/>
                <w:sz w:val="28"/>
                <w:lang w:val="en-US"/>
              </w:rPr>
              <w:t>Trench Drains</w:t>
            </w:r>
            <w:r w:rsidR="00AA7F9E">
              <w:rPr>
                <w:rFonts w:ascii="Arial" w:hAnsi="Arial" w:cs="Arial"/>
                <w:b/>
                <w:sz w:val="28"/>
                <w:lang w:val="en-US"/>
              </w:rPr>
              <w:t xml:space="preserve"> (</w:t>
            </w:r>
            <w:r>
              <w:rPr>
                <w:rFonts w:ascii="Arial" w:hAnsi="Arial" w:cs="Arial"/>
                <w:b/>
                <w:sz w:val="28"/>
                <w:lang w:val="en-US"/>
              </w:rPr>
              <w:t>R33</w:t>
            </w:r>
            <w:r w:rsidR="00AA7F9E">
              <w:rPr>
                <w:rFonts w:ascii="Arial" w:hAnsi="Arial" w:cs="Arial"/>
                <w:b/>
                <w:sz w:val="28"/>
                <w:lang w:val="en-US"/>
              </w:rPr>
              <w:t>)</w:t>
            </w:r>
          </w:p>
        </w:tc>
      </w:tr>
      <w:tr w:rsidR="00AA7F9E" w:rsidRPr="00E176E1" w14:paraId="09526014" w14:textId="77777777" w:rsidTr="002B2CB1">
        <w:trPr>
          <w:trHeight w:val="364"/>
          <w:tblHeader/>
        </w:trPr>
        <w:tc>
          <w:tcPr>
            <w:tcW w:w="5558"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2B2CB1">
        <w:trPr>
          <w:trHeight w:val="364"/>
          <w:tblHeader/>
        </w:trPr>
        <w:tc>
          <w:tcPr>
            <w:tcW w:w="5558"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2B2CB1">
        <w:trPr>
          <w:trHeight w:val="364"/>
          <w:tblHeader/>
        </w:trPr>
        <w:tc>
          <w:tcPr>
            <w:tcW w:w="5558"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2B2CB1">
        <w:trPr>
          <w:trHeight w:val="364"/>
          <w:tblHeader/>
        </w:trPr>
        <w:tc>
          <w:tcPr>
            <w:tcW w:w="5558"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1120"/>
        <w:gridCol w:w="97"/>
        <w:gridCol w:w="1037"/>
      </w:tblGrid>
      <w:tr w:rsidR="002B2CB1" w:rsidRPr="00E176E1" w14:paraId="0952602E" w14:textId="03EBD088" w:rsidTr="006C4489">
        <w:trPr>
          <w:trHeight w:val="619"/>
          <w:tblHeader/>
        </w:trPr>
        <w:tc>
          <w:tcPr>
            <w:tcW w:w="851" w:type="dxa"/>
            <w:shd w:val="clear" w:color="auto" w:fill="F2F2F2" w:themeFill="background1" w:themeFillShade="F2"/>
            <w:vAlign w:val="center"/>
          </w:tcPr>
          <w:p w14:paraId="09526027" w14:textId="77777777" w:rsidR="002B2CB1" w:rsidRPr="001F43BB" w:rsidRDefault="002B2CB1"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2B2CB1" w:rsidRPr="001F43BB" w:rsidRDefault="002B2CB1"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2B2CB1" w:rsidRPr="001F43BB" w:rsidRDefault="002B2CB1"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2B2CB1" w:rsidRPr="001F43BB" w:rsidRDefault="002B2CB1" w:rsidP="002A352D">
            <w:pPr>
              <w:jc w:val="center"/>
              <w:rPr>
                <w:rFonts w:ascii="Arial" w:hAnsi="Arial" w:cs="Arial"/>
                <w:sz w:val="20"/>
                <w:lang w:val="en-US"/>
              </w:rPr>
            </w:pPr>
            <w:r w:rsidRPr="001F43BB">
              <w:rPr>
                <w:rFonts w:ascii="Arial" w:hAnsi="Arial" w:cs="Arial"/>
                <w:sz w:val="20"/>
                <w:lang w:val="en-US"/>
              </w:rPr>
              <w:t>Acceptance Criteria</w:t>
            </w:r>
          </w:p>
        </w:tc>
        <w:tc>
          <w:tcPr>
            <w:tcW w:w="2410" w:type="dxa"/>
            <w:gridSpan w:val="4"/>
            <w:shd w:val="clear" w:color="auto" w:fill="F2F2F2" w:themeFill="background1" w:themeFillShade="F2"/>
            <w:vAlign w:val="center"/>
          </w:tcPr>
          <w:p w14:paraId="0952602D" w14:textId="295848A8" w:rsidR="002B2CB1" w:rsidRPr="001F43BB" w:rsidRDefault="002B2CB1"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08ABA749" w14:textId="60E44778" w:rsidR="002B2CB1" w:rsidRPr="001F43BB" w:rsidRDefault="002B2CB1" w:rsidP="002A352D">
            <w:pPr>
              <w:jc w:val="center"/>
              <w:rPr>
                <w:rFonts w:ascii="Arial" w:hAnsi="Arial" w:cs="Arial"/>
                <w:sz w:val="20"/>
                <w:lang w:val="en-US"/>
              </w:rPr>
            </w:pPr>
            <w:r>
              <w:rPr>
                <w:rFonts w:ascii="Arial" w:hAnsi="Arial" w:cs="Arial"/>
                <w:sz w:val="20"/>
                <w:lang w:val="en-US"/>
              </w:rPr>
              <w:t>Engineer Signoff</w:t>
            </w:r>
          </w:p>
        </w:tc>
      </w:tr>
      <w:tr w:rsidR="002B2CB1" w:rsidRPr="00E176E1" w14:paraId="09526042" w14:textId="104E87C9" w:rsidTr="006C4489">
        <w:trPr>
          <w:trHeight w:val="340"/>
        </w:trPr>
        <w:tc>
          <w:tcPr>
            <w:tcW w:w="851" w:type="dxa"/>
            <w:vAlign w:val="center"/>
          </w:tcPr>
          <w:p w14:paraId="09526039" w14:textId="2A25686E" w:rsidR="002B2CB1" w:rsidRPr="00351632" w:rsidRDefault="002B2CB1"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2B2CB1" w:rsidRPr="006A6DBE" w:rsidRDefault="002B2CB1"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2B2CB1" w:rsidRPr="006A6DBE" w:rsidRDefault="002B2CB1"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2B2CB1" w:rsidRDefault="002B2CB1"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2B2CB1" w:rsidRDefault="002B2CB1"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2B2CB1" w:rsidRPr="006A6DBE" w:rsidRDefault="002B2CB1"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410" w:type="dxa"/>
            <w:gridSpan w:val="4"/>
            <w:vAlign w:val="center"/>
          </w:tcPr>
          <w:p w14:paraId="09526041" w14:textId="216138C3" w:rsidR="002B2CB1" w:rsidRPr="006A6DBE" w:rsidRDefault="002B2CB1" w:rsidP="00D83201">
            <w:pPr>
              <w:rPr>
                <w:rFonts w:ascii="Arial" w:hAnsi="Arial" w:cs="Arial"/>
                <w:sz w:val="18"/>
                <w:lang w:val="en-US"/>
              </w:rPr>
            </w:pPr>
          </w:p>
        </w:tc>
        <w:tc>
          <w:tcPr>
            <w:tcW w:w="1134" w:type="dxa"/>
            <w:gridSpan w:val="2"/>
          </w:tcPr>
          <w:p w14:paraId="2FBBDC86" w14:textId="77777777" w:rsidR="002B2CB1" w:rsidRPr="006A6DBE" w:rsidRDefault="002B2CB1" w:rsidP="00D83201">
            <w:pPr>
              <w:rPr>
                <w:rFonts w:ascii="Arial" w:hAnsi="Arial" w:cs="Arial"/>
                <w:sz w:val="18"/>
                <w:lang w:val="en-US"/>
              </w:rPr>
            </w:pPr>
          </w:p>
        </w:tc>
      </w:tr>
      <w:tr w:rsidR="002B2CB1" w:rsidRPr="00E176E1" w14:paraId="0952604C" w14:textId="62B0B471" w:rsidTr="006C4489">
        <w:trPr>
          <w:trHeight w:val="340"/>
        </w:trPr>
        <w:tc>
          <w:tcPr>
            <w:tcW w:w="851" w:type="dxa"/>
            <w:vAlign w:val="center"/>
          </w:tcPr>
          <w:p w14:paraId="09526043" w14:textId="7C1522EE" w:rsidR="002B2CB1" w:rsidRPr="00351632" w:rsidRDefault="002B2CB1"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2B2CB1" w:rsidRPr="006A6DBE" w:rsidRDefault="002B2CB1"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2B2CB1" w:rsidRPr="006A5447" w:rsidRDefault="002B2CB1"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2B2CB1" w:rsidRDefault="002B2CB1" w:rsidP="006A5447">
            <w:pPr>
              <w:rPr>
                <w:rFonts w:ascii="Arial" w:hAnsi="Arial" w:cs="Arial"/>
                <w:sz w:val="18"/>
                <w:lang w:val="en-US"/>
              </w:rPr>
            </w:pPr>
            <w:r w:rsidRPr="006A5447">
              <w:rPr>
                <w:rFonts w:ascii="Arial" w:hAnsi="Arial" w:cs="Arial"/>
                <w:sz w:val="18"/>
                <w:lang w:val="en-US"/>
              </w:rPr>
              <w:t>G36 CL 3.1</w:t>
            </w:r>
          </w:p>
          <w:p w14:paraId="09526045" w14:textId="71196E5C" w:rsidR="002B2CB1" w:rsidRPr="006A5447" w:rsidRDefault="002B2CB1"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2B2CB1" w:rsidRDefault="002B2CB1"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2B2CB1" w:rsidRPr="006A5447" w:rsidRDefault="002B2CB1"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410" w:type="dxa"/>
            <w:gridSpan w:val="4"/>
            <w:vAlign w:val="center"/>
          </w:tcPr>
          <w:p w14:paraId="0952604B" w14:textId="7730BBC6" w:rsidR="002B2CB1" w:rsidRPr="006A6DBE" w:rsidRDefault="002B2CB1" w:rsidP="006A5447">
            <w:pPr>
              <w:rPr>
                <w:rFonts w:ascii="Arial" w:hAnsi="Arial" w:cs="Arial"/>
                <w:sz w:val="20"/>
                <w:lang w:val="en-US"/>
              </w:rPr>
            </w:pPr>
          </w:p>
        </w:tc>
        <w:tc>
          <w:tcPr>
            <w:tcW w:w="1134" w:type="dxa"/>
            <w:gridSpan w:val="2"/>
          </w:tcPr>
          <w:p w14:paraId="30074C96" w14:textId="77777777" w:rsidR="002B2CB1" w:rsidRPr="006A6DBE" w:rsidRDefault="002B2CB1" w:rsidP="006A5447">
            <w:pPr>
              <w:rPr>
                <w:rFonts w:ascii="Arial" w:hAnsi="Arial" w:cs="Arial"/>
                <w:sz w:val="20"/>
                <w:lang w:val="en-US"/>
              </w:rPr>
            </w:pPr>
          </w:p>
        </w:tc>
      </w:tr>
      <w:tr w:rsidR="002B2CB1" w:rsidRPr="00E176E1" w14:paraId="68995B3C" w14:textId="0467C1D4" w:rsidTr="006C4489">
        <w:trPr>
          <w:trHeight w:val="340"/>
        </w:trPr>
        <w:tc>
          <w:tcPr>
            <w:tcW w:w="851" w:type="dxa"/>
            <w:vAlign w:val="center"/>
          </w:tcPr>
          <w:p w14:paraId="37B72F7D" w14:textId="0B9F9850" w:rsidR="002B2CB1" w:rsidRPr="00351632" w:rsidRDefault="002B2CB1" w:rsidP="00336EAA">
            <w:pPr>
              <w:jc w:val="center"/>
              <w:rPr>
                <w:rFonts w:ascii="Arial" w:hAnsi="Arial" w:cs="Arial"/>
                <w:sz w:val="20"/>
                <w:lang w:val="en-US"/>
              </w:rPr>
            </w:pPr>
            <w:r>
              <w:rPr>
                <w:rFonts w:ascii="Arial" w:hAnsi="Arial" w:cs="Arial"/>
                <w:sz w:val="20"/>
                <w:lang w:val="en-US"/>
              </w:rPr>
              <w:t>3</w:t>
            </w:r>
          </w:p>
        </w:tc>
        <w:tc>
          <w:tcPr>
            <w:tcW w:w="1418" w:type="dxa"/>
            <w:vAlign w:val="center"/>
          </w:tcPr>
          <w:p w14:paraId="09A5B2AB" w14:textId="1ECE4BCB" w:rsidR="002B2CB1" w:rsidRPr="006A6DBE" w:rsidRDefault="002B2CB1" w:rsidP="00336EAA">
            <w:pPr>
              <w:rPr>
                <w:rFonts w:ascii="Arial" w:hAnsi="Arial" w:cs="Arial"/>
                <w:b/>
                <w:sz w:val="18"/>
                <w:lang w:val="en-US"/>
              </w:rPr>
            </w:pPr>
            <w:r>
              <w:rPr>
                <w:rStyle w:val="normaltextrun"/>
                <w:rFonts w:ascii="Arial" w:eastAsiaTheme="majorEastAsia" w:hAnsi="Arial" w:cs="Arial"/>
                <w:b/>
                <w:bCs/>
                <w:sz w:val="18"/>
                <w:szCs w:val="18"/>
                <w:lang w:val="en-US"/>
              </w:rPr>
              <w:t>Materials</w:t>
            </w:r>
            <w:r>
              <w:rPr>
                <w:rStyle w:val="eop"/>
                <w:rFonts w:ascii="Arial" w:eastAsiaTheme="majorEastAsia" w:hAnsi="Arial" w:cs="Arial"/>
                <w:sz w:val="18"/>
                <w:szCs w:val="18"/>
              </w:rPr>
              <w:t> </w:t>
            </w:r>
          </w:p>
        </w:tc>
        <w:tc>
          <w:tcPr>
            <w:tcW w:w="1588" w:type="dxa"/>
            <w:gridSpan w:val="2"/>
            <w:vAlign w:val="center"/>
          </w:tcPr>
          <w:p w14:paraId="34C3FEF2" w14:textId="6B3E71ED" w:rsidR="002B2CB1" w:rsidRPr="006A5447" w:rsidRDefault="002B2CB1" w:rsidP="00336EAA">
            <w:pPr>
              <w:rPr>
                <w:rFonts w:ascii="Arial" w:hAnsi="Arial" w:cs="Arial"/>
                <w:sz w:val="18"/>
                <w:lang w:val="en-US"/>
              </w:rPr>
            </w:pPr>
            <w:r>
              <w:rPr>
                <w:rStyle w:val="normaltextrun"/>
                <w:rFonts w:ascii="Arial" w:eastAsiaTheme="majorEastAsia" w:hAnsi="Arial" w:cs="Arial"/>
                <w:sz w:val="18"/>
                <w:szCs w:val="18"/>
                <w:lang w:val="en-US"/>
              </w:rPr>
              <w:t>R33 Cl 2</w:t>
            </w:r>
            <w:r>
              <w:rPr>
                <w:rStyle w:val="eop"/>
                <w:rFonts w:ascii="Arial" w:eastAsiaTheme="majorEastAsia" w:hAnsi="Arial" w:cs="Arial"/>
                <w:sz w:val="18"/>
                <w:szCs w:val="18"/>
              </w:rPr>
              <w:t> </w:t>
            </w:r>
          </w:p>
        </w:tc>
        <w:tc>
          <w:tcPr>
            <w:tcW w:w="7229" w:type="dxa"/>
            <w:gridSpan w:val="7"/>
            <w:vAlign w:val="center"/>
          </w:tcPr>
          <w:p w14:paraId="55A5805D" w14:textId="77777777" w:rsidR="002B2CB1" w:rsidRDefault="002B2CB1" w:rsidP="00336EAA">
            <w:pPr>
              <w:pStyle w:val="ITP"/>
              <w:divId w:val="829520302"/>
            </w:pPr>
            <w:r>
              <w:rPr>
                <w:rStyle w:val="normaltextrun"/>
                <w:lang w:val="en-US"/>
              </w:rPr>
              <w:t>For each type of material, submit to the Principal the brand, the name of the supplier and compliance records at least seven days prior to their use on site</w:t>
            </w:r>
            <w:r>
              <w:rPr>
                <w:rStyle w:val="eop"/>
              </w:rPr>
              <w:t> </w:t>
            </w:r>
          </w:p>
          <w:p w14:paraId="493A65F2" w14:textId="77777777" w:rsidR="002B2CB1" w:rsidRDefault="002B2CB1" w:rsidP="00336EAA">
            <w:pPr>
              <w:pStyle w:val="ITP"/>
              <w:divId w:val="829520302"/>
            </w:pPr>
            <w:r>
              <w:rPr>
                <w:rStyle w:val="normaltextrun"/>
                <w:lang w:val="en-US"/>
              </w:rPr>
              <w:t>Corrugated plastic drainage pipe must comply with TfNSW 3552; seamless tubular filter fabric for use with corrugated pipe must comply with TfNSW 3553; rigid strip filter must comply with TfNSW 3556</w:t>
            </w:r>
            <w:r>
              <w:rPr>
                <w:rStyle w:val="eop"/>
              </w:rPr>
              <w:t> </w:t>
            </w:r>
          </w:p>
          <w:p w14:paraId="6065DFE9" w14:textId="77777777" w:rsidR="002B2CB1" w:rsidRDefault="002B2CB1" w:rsidP="00336EAA">
            <w:pPr>
              <w:pStyle w:val="ITP"/>
              <w:divId w:val="829520302"/>
            </w:pPr>
            <w:r>
              <w:rPr>
                <w:rStyle w:val="normaltextrun"/>
                <w:lang w:val="en-US"/>
              </w:rPr>
              <w:t>Geotextile must comply with Specification TfNSW R63. Geotextile for wrapping around rigid strip filter drain must be non-woven geotextile with Strength Class A</w:t>
            </w:r>
            <w:r>
              <w:rPr>
                <w:rStyle w:val="eop"/>
              </w:rPr>
              <w:t> </w:t>
            </w:r>
          </w:p>
          <w:p w14:paraId="3F4BD62B" w14:textId="77777777" w:rsidR="002B2CB1" w:rsidRDefault="002B2CB1" w:rsidP="00336EAA">
            <w:pPr>
              <w:pStyle w:val="ITP"/>
              <w:divId w:val="829520302"/>
            </w:pPr>
            <w:r>
              <w:rPr>
                <w:rStyle w:val="normaltextrun"/>
                <w:lang w:val="en-US"/>
              </w:rPr>
              <w:t xml:space="preserve">Filter material </w:t>
            </w:r>
            <w:r>
              <w:rPr>
                <w:rStyle w:val="normaltextrun"/>
                <w:i/>
                <w:iCs/>
                <w:lang w:val="en-US"/>
              </w:rPr>
              <w:t>must</w:t>
            </w:r>
            <w:r>
              <w:rPr>
                <w:rStyle w:val="normaltextrun"/>
                <w:lang w:val="en-US"/>
              </w:rPr>
              <w:t xml:space="preserve"> be either aggregate filter material or no fines concrete </w:t>
            </w:r>
            <w:r>
              <w:rPr>
                <w:rStyle w:val="normaltextrun"/>
                <w:i/>
                <w:iCs/>
                <w:lang w:val="en-US"/>
              </w:rPr>
              <w:t>as shown on the Drawings</w:t>
            </w:r>
            <w:r>
              <w:rPr>
                <w:rStyle w:val="normaltextrun"/>
                <w:lang w:val="en-US"/>
              </w:rPr>
              <w:t xml:space="preserve">. Aggregate filter material must comply with TfNSW 3580 and </w:t>
            </w:r>
            <w:r>
              <w:rPr>
                <w:rStyle w:val="normaltextrun"/>
                <w:i/>
                <w:iCs/>
                <w:lang w:val="en-US"/>
              </w:rPr>
              <w:t>the</w:t>
            </w:r>
            <w:r>
              <w:rPr>
                <w:rStyle w:val="normaltextrun"/>
                <w:lang w:val="en-US"/>
              </w:rPr>
              <w:t xml:space="preserve"> </w:t>
            </w:r>
            <w:r>
              <w:rPr>
                <w:rStyle w:val="normaltextrun"/>
                <w:i/>
                <w:iCs/>
                <w:lang w:val="en-US"/>
              </w:rPr>
              <w:t>Drawings</w:t>
            </w:r>
            <w:r>
              <w:rPr>
                <w:rStyle w:val="normaltextrun"/>
                <w:lang w:val="en-US"/>
              </w:rPr>
              <w:t xml:space="preserve"> for the aggregate type. No fines concrete must be Grade NFC SD and comply with TfNSW 3222.</w:t>
            </w:r>
            <w:r>
              <w:rPr>
                <w:rStyle w:val="eop"/>
              </w:rPr>
              <w:t> </w:t>
            </w:r>
          </w:p>
          <w:p w14:paraId="5B64185F" w14:textId="77777777" w:rsidR="002B2CB1" w:rsidRDefault="002B2CB1" w:rsidP="00336EAA">
            <w:pPr>
              <w:pStyle w:val="ITP"/>
              <w:divId w:val="829520302"/>
            </w:pPr>
            <w:r>
              <w:rPr>
                <w:rStyle w:val="normaltextrun"/>
                <w:lang w:val="en-US"/>
              </w:rPr>
              <w:t>Aggregate filter material of any size may be substituted with approved no fines concrete</w:t>
            </w:r>
            <w:r>
              <w:rPr>
                <w:rStyle w:val="eop"/>
              </w:rPr>
              <w:t> </w:t>
            </w:r>
          </w:p>
          <w:p w14:paraId="2A07CBCE" w14:textId="77777777" w:rsidR="002B2CB1" w:rsidRDefault="002B2CB1" w:rsidP="00336EAA">
            <w:pPr>
              <w:pStyle w:val="ITP"/>
              <w:divId w:val="829520302"/>
            </w:pPr>
            <w:r>
              <w:rPr>
                <w:rStyle w:val="normaltextrun"/>
                <w:lang w:val="en-US"/>
              </w:rPr>
              <w:t>Selected Material (SMZ) must meet the requirements of Specification TfNSW R44.</w:t>
            </w:r>
            <w:r>
              <w:rPr>
                <w:rStyle w:val="eop"/>
              </w:rPr>
              <w:t> </w:t>
            </w:r>
          </w:p>
          <w:p w14:paraId="5E1865ED" w14:textId="082268C5" w:rsidR="002B2CB1" w:rsidRDefault="002B2CB1" w:rsidP="00336EAA">
            <w:pPr>
              <w:pStyle w:val="AbergeldieBulleted1"/>
              <w:tabs>
                <w:tab w:val="clear" w:pos="709"/>
                <w:tab w:val="clear" w:pos="1276"/>
              </w:tabs>
              <w:ind w:left="174" w:hanging="174"/>
              <w:rPr>
                <w:sz w:val="18"/>
                <w:lang w:val="en-US"/>
              </w:rPr>
            </w:pPr>
            <w:r>
              <w:rPr>
                <w:rStyle w:val="normaltextrun"/>
                <w:rFonts w:cs="Arial"/>
                <w:sz w:val="18"/>
                <w:szCs w:val="18"/>
                <w:lang w:val="en-US"/>
              </w:rPr>
              <w:lastRenderedPageBreak/>
              <w:t>Selected Fill Material for the plug used in staged construction must meet the requirements of specification TfNSW R44 and have a maximum particle size not exceeding 20mm and Plasticity Index not exceeding 12.</w:t>
            </w:r>
            <w:r>
              <w:rPr>
                <w:rStyle w:val="eop"/>
                <w:rFonts w:cs="Arial"/>
                <w:sz w:val="18"/>
                <w:szCs w:val="18"/>
              </w:rPr>
              <w:t> </w:t>
            </w:r>
          </w:p>
        </w:tc>
        <w:tc>
          <w:tcPr>
            <w:tcW w:w="2410" w:type="dxa"/>
            <w:gridSpan w:val="4"/>
            <w:vAlign w:val="center"/>
          </w:tcPr>
          <w:p w14:paraId="690B1108" w14:textId="0874D612" w:rsidR="002B2CB1" w:rsidRPr="00AC08AE" w:rsidRDefault="002B2CB1" w:rsidP="002B2CB1">
            <w:pPr>
              <w:pStyle w:val="ListParagraph"/>
              <w:numPr>
                <w:ilvl w:val="0"/>
                <w:numId w:val="18"/>
              </w:numPr>
              <w:ind w:left="329" w:hanging="311"/>
              <w:rPr>
                <w:rFonts w:ascii="Arial" w:hAnsi="Arial" w:cs="Arial"/>
                <w:sz w:val="18"/>
                <w:szCs w:val="18"/>
                <w:lang w:val="en-US"/>
              </w:rPr>
            </w:pPr>
            <w:r w:rsidRPr="00AC08AE">
              <w:rPr>
                <w:rFonts w:ascii="Arial" w:hAnsi="Arial" w:cs="Arial"/>
                <w:sz w:val="18"/>
                <w:szCs w:val="18"/>
                <w:lang w:val="en-US"/>
              </w:rPr>
              <w:lastRenderedPageBreak/>
              <w:t xml:space="preserve">Material compliance documentation </w:t>
            </w:r>
          </w:p>
        </w:tc>
        <w:tc>
          <w:tcPr>
            <w:tcW w:w="1134" w:type="dxa"/>
            <w:gridSpan w:val="2"/>
          </w:tcPr>
          <w:p w14:paraId="1B838DED" w14:textId="77777777" w:rsidR="002B2CB1" w:rsidRPr="002B2CB1" w:rsidRDefault="002B2CB1" w:rsidP="002B2CB1">
            <w:pPr>
              <w:rPr>
                <w:rFonts w:ascii="Arial" w:hAnsi="Arial" w:cs="Arial"/>
                <w:sz w:val="20"/>
                <w:lang w:val="en-US"/>
              </w:rPr>
            </w:pPr>
          </w:p>
        </w:tc>
      </w:tr>
      <w:tr w:rsidR="002B2CB1" w:rsidRPr="00E176E1" w14:paraId="1C0BD2C7" w14:textId="7FE81D2F" w:rsidTr="006C4489">
        <w:trPr>
          <w:trHeight w:val="340"/>
        </w:trPr>
        <w:tc>
          <w:tcPr>
            <w:tcW w:w="851" w:type="dxa"/>
            <w:vAlign w:val="center"/>
          </w:tcPr>
          <w:p w14:paraId="6D71CAD4" w14:textId="6973D8AD" w:rsidR="002B2CB1" w:rsidRPr="00351632" w:rsidRDefault="002B2CB1" w:rsidP="00336EAA">
            <w:pPr>
              <w:jc w:val="center"/>
              <w:rPr>
                <w:rFonts w:ascii="Arial" w:hAnsi="Arial" w:cs="Arial"/>
                <w:sz w:val="20"/>
                <w:lang w:val="en-US"/>
              </w:rPr>
            </w:pPr>
            <w:r>
              <w:rPr>
                <w:rFonts w:ascii="Arial" w:hAnsi="Arial" w:cs="Arial"/>
                <w:sz w:val="20"/>
                <w:lang w:val="en-US"/>
              </w:rPr>
              <w:t>4</w:t>
            </w:r>
          </w:p>
        </w:tc>
        <w:tc>
          <w:tcPr>
            <w:tcW w:w="1418" w:type="dxa"/>
            <w:vAlign w:val="center"/>
          </w:tcPr>
          <w:p w14:paraId="417F1BE7" w14:textId="508DA0B5" w:rsidR="002B2CB1" w:rsidRPr="006A6DBE" w:rsidRDefault="002B2CB1" w:rsidP="00336EAA">
            <w:pPr>
              <w:rPr>
                <w:rFonts w:ascii="Arial" w:hAnsi="Arial" w:cs="Arial"/>
                <w:b/>
                <w:sz w:val="18"/>
                <w:lang w:val="en-US"/>
              </w:rPr>
            </w:pPr>
            <w:r>
              <w:rPr>
                <w:rStyle w:val="normaltextrun"/>
                <w:rFonts w:ascii="Arial" w:eastAsiaTheme="majorEastAsia" w:hAnsi="Arial" w:cs="Arial"/>
                <w:b/>
                <w:bCs/>
                <w:sz w:val="18"/>
                <w:szCs w:val="18"/>
                <w:lang w:val="en-US"/>
              </w:rPr>
              <w:t>Approval of No Fines Concrete</w:t>
            </w:r>
            <w:r>
              <w:rPr>
                <w:rStyle w:val="eop"/>
                <w:rFonts w:ascii="Arial" w:eastAsiaTheme="majorEastAsia" w:hAnsi="Arial" w:cs="Arial"/>
                <w:sz w:val="18"/>
                <w:szCs w:val="18"/>
              </w:rPr>
              <w:t> </w:t>
            </w:r>
          </w:p>
        </w:tc>
        <w:tc>
          <w:tcPr>
            <w:tcW w:w="1588" w:type="dxa"/>
            <w:gridSpan w:val="2"/>
            <w:vAlign w:val="center"/>
          </w:tcPr>
          <w:p w14:paraId="645B3145" w14:textId="77777777" w:rsidR="002B2CB1" w:rsidRDefault="002B2CB1" w:rsidP="00336EAA">
            <w:pPr>
              <w:pStyle w:val="paragraph"/>
              <w:spacing w:before="0" w:beforeAutospacing="0" w:after="0" w:afterAutospacing="0"/>
              <w:textAlignment w:val="baseline"/>
              <w:divId w:val="1711109339"/>
              <w:rPr>
                <w:rFonts w:ascii="Arial" w:hAnsi="Arial" w:cs="Arial"/>
                <w:sz w:val="18"/>
                <w:szCs w:val="18"/>
              </w:rPr>
            </w:pPr>
            <w:r>
              <w:rPr>
                <w:rStyle w:val="normaltextrun"/>
                <w:rFonts w:ascii="Arial" w:eastAsiaTheme="majorEastAsia" w:hAnsi="Arial" w:cs="Arial"/>
                <w:sz w:val="18"/>
                <w:szCs w:val="18"/>
                <w:lang w:val="en-US"/>
              </w:rPr>
              <w:t>TfNSW 3222</w:t>
            </w:r>
            <w:r>
              <w:rPr>
                <w:rStyle w:val="eop"/>
                <w:rFonts w:ascii="Arial" w:eastAsiaTheme="majorEastAsia" w:hAnsi="Arial" w:cs="Arial"/>
                <w:sz w:val="18"/>
                <w:szCs w:val="18"/>
              </w:rPr>
              <w:t> </w:t>
            </w:r>
          </w:p>
          <w:p w14:paraId="445E548B" w14:textId="197E0507" w:rsidR="002B2CB1" w:rsidRPr="006A5447" w:rsidRDefault="002B2CB1" w:rsidP="00336EAA">
            <w:pPr>
              <w:rPr>
                <w:rFonts w:ascii="Arial" w:hAnsi="Arial" w:cs="Arial"/>
                <w:sz w:val="18"/>
                <w:lang w:val="en-US"/>
              </w:rPr>
            </w:pPr>
            <w:r>
              <w:rPr>
                <w:rStyle w:val="normaltextrun"/>
                <w:rFonts w:ascii="Arial" w:eastAsiaTheme="majorEastAsia" w:hAnsi="Arial" w:cs="Arial"/>
                <w:sz w:val="18"/>
                <w:szCs w:val="18"/>
                <w:lang w:val="en-US"/>
              </w:rPr>
              <w:t>R53 Cl 2.4.3</w:t>
            </w:r>
            <w:r>
              <w:rPr>
                <w:rStyle w:val="eop"/>
                <w:rFonts w:ascii="Arial" w:eastAsiaTheme="majorEastAsia" w:hAnsi="Arial" w:cs="Arial"/>
                <w:sz w:val="18"/>
                <w:szCs w:val="18"/>
              </w:rPr>
              <w:t> </w:t>
            </w:r>
          </w:p>
        </w:tc>
        <w:tc>
          <w:tcPr>
            <w:tcW w:w="7229" w:type="dxa"/>
            <w:gridSpan w:val="7"/>
            <w:vAlign w:val="center"/>
          </w:tcPr>
          <w:p w14:paraId="129392AC" w14:textId="77777777" w:rsidR="002B2CB1" w:rsidRDefault="002B2CB1" w:rsidP="00336EAA">
            <w:pPr>
              <w:pStyle w:val="ITP"/>
              <w:divId w:val="1972206748"/>
            </w:pPr>
            <w:r>
              <w:rPr>
                <w:rStyle w:val="normaltextrun"/>
                <w:b/>
                <w:bCs/>
                <w:u w:val="single"/>
                <w:lang w:val="en-US"/>
              </w:rPr>
              <w:t>HOLD POINT: Use of no fines concrete in the works (if specified)</w:t>
            </w:r>
            <w:r>
              <w:rPr>
                <w:rStyle w:val="eop"/>
              </w:rPr>
              <w:t> </w:t>
            </w:r>
          </w:p>
          <w:p w14:paraId="71DE3A5A" w14:textId="426E7BA5" w:rsidR="002B2CB1" w:rsidRDefault="002B2CB1" w:rsidP="00336EAA">
            <w:pPr>
              <w:pStyle w:val="AbergeldieBulleted1"/>
              <w:tabs>
                <w:tab w:val="clear" w:pos="709"/>
                <w:tab w:val="clear" w:pos="1276"/>
              </w:tabs>
              <w:ind w:left="174" w:hanging="174"/>
              <w:rPr>
                <w:sz w:val="18"/>
                <w:lang w:val="en-US"/>
              </w:rPr>
            </w:pPr>
            <w:r>
              <w:rPr>
                <w:rStyle w:val="normaltextrun"/>
                <w:rFonts w:cs="Arial"/>
                <w:sz w:val="18"/>
                <w:szCs w:val="18"/>
                <w:lang w:val="en-US"/>
              </w:rPr>
              <w:t>Provide mix design documentation for a TfNSW-approved no fines concrete for use in the works</w:t>
            </w:r>
            <w:r>
              <w:rPr>
                <w:rStyle w:val="eop"/>
                <w:rFonts w:cs="Arial"/>
                <w:sz w:val="18"/>
                <w:szCs w:val="18"/>
              </w:rPr>
              <w:t> </w:t>
            </w:r>
          </w:p>
        </w:tc>
        <w:tc>
          <w:tcPr>
            <w:tcW w:w="2410" w:type="dxa"/>
            <w:gridSpan w:val="4"/>
            <w:vAlign w:val="center"/>
          </w:tcPr>
          <w:p w14:paraId="75717113" w14:textId="32BC797B" w:rsidR="002B2CB1" w:rsidRPr="00AC08AE" w:rsidRDefault="002B2CB1" w:rsidP="002B2CB1">
            <w:pPr>
              <w:ind w:left="329" w:hanging="311"/>
              <w:rPr>
                <w:rFonts w:ascii="Arial" w:hAnsi="Arial" w:cs="Arial"/>
                <w:b/>
                <w:bCs/>
                <w:sz w:val="18"/>
                <w:szCs w:val="18"/>
                <w:lang w:val="en-US"/>
              </w:rPr>
            </w:pPr>
          </w:p>
        </w:tc>
        <w:tc>
          <w:tcPr>
            <w:tcW w:w="1134" w:type="dxa"/>
            <w:gridSpan w:val="2"/>
          </w:tcPr>
          <w:p w14:paraId="06B492C8" w14:textId="77777777" w:rsidR="002B2CB1" w:rsidRDefault="002B2CB1" w:rsidP="00336EAA">
            <w:pPr>
              <w:rPr>
                <w:rFonts w:ascii="Arial" w:hAnsi="Arial" w:cs="Arial"/>
                <w:b/>
                <w:bCs/>
                <w:sz w:val="20"/>
                <w:lang w:val="en-US"/>
              </w:rPr>
            </w:pPr>
          </w:p>
        </w:tc>
      </w:tr>
      <w:tr w:rsidR="002B2CB1" w:rsidRPr="00E176E1" w14:paraId="49F88E4F" w14:textId="4260BED3" w:rsidTr="006C4489">
        <w:trPr>
          <w:trHeight w:val="340"/>
        </w:trPr>
        <w:tc>
          <w:tcPr>
            <w:tcW w:w="851" w:type="dxa"/>
            <w:vAlign w:val="center"/>
          </w:tcPr>
          <w:p w14:paraId="61760C03" w14:textId="1C4C5611" w:rsidR="002B2CB1" w:rsidRPr="00351632" w:rsidRDefault="002B2CB1" w:rsidP="00A1407E">
            <w:pPr>
              <w:jc w:val="center"/>
              <w:rPr>
                <w:rFonts w:ascii="Arial" w:hAnsi="Arial" w:cs="Arial"/>
                <w:sz w:val="20"/>
                <w:lang w:val="en-US"/>
              </w:rPr>
            </w:pPr>
            <w:r>
              <w:rPr>
                <w:rFonts w:ascii="Arial" w:hAnsi="Arial" w:cs="Arial"/>
                <w:sz w:val="20"/>
                <w:lang w:val="en-US"/>
              </w:rPr>
              <w:t>5</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08B7BC7D" w14:textId="4760F453" w:rsidR="002B2CB1" w:rsidRPr="006A6DBE" w:rsidRDefault="002B2CB1" w:rsidP="00A1407E">
            <w:pPr>
              <w:rPr>
                <w:rFonts w:ascii="Arial" w:hAnsi="Arial" w:cs="Arial"/>
                <w:b/>
                <w:sz w:val="18"/>
                <w:lang w:val="en-US"/>
              </w:rPr>
            </w:pPr>
            <w:r>
              <w:rPr>
                <w:rStyle w:val="normaltextrun"/>
                <w:rFonts w:ascii="Arial" w:eastAsiaTheme="majorEastAsia" w:hAnsi="Arial" w:cs="Arial"/>
                <w:b/>
                <w:bCs/>
                <w:sz w:val="18"/>
                <w:szCs w:val="18"/>
                <w:lang w:val="en-US"/>
              </w:rPr>
              <w:t>Backfilling</w:t>
            </w:r>
            <w:r>
              <w:rPr>
                <w:rStyle w:val="eop"/>
                <w:rFonts w:ascii="Arial" w:eastAsiaTheme="majorEastAsia" w:hAnsi="Arial" w:cs="Arial"/>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0BC6C262" w14:textId="6D89E96B" w:rsidR="002B2CB1" w:rsidRPr="006A5447" w:rsidRDefault="002B2CB1" w:rsidP="00A1407E">
            <w:pPr>
              <w:rPr>
                <w:rFonts w:ascii="Arial" w:hAnsi="Arial" w:cs="Arial"/>
                <w:sz w:val="18"/>
                <w:lang w:val="en-US"/>
              </w:rPr>
            </w:pPr>
            <w:r>
              <w:rPr>
                <w:rStyle w:val="normaltextrun"/>
                <w:rFonts w:ascii="Arial" w:eastAsiaTheme="majorEastAsia" w:hAnsi="Arial" w:cs="Arial"/>
                <w:sz w:val="18"/>
                <w:szCs w:val="18"/>
                <w:lang w:val="en-US"/>
              </w:rPr>
              <w:t>R33 Cl 3.5</w:t>
            </w:r>
            <w:r>
              <w:rPr>
                <w:rStyle w:val="eop"/>
                <w:rFonts w:ascii="Arial" w:eastAsiaTheme="majorEastAsia" w:hAnsi="Arial" w:cs="Arial"/>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5ECCA2D5" w14:textId="77777777" w:rsidR="002B2CB1" w:rsidRDefault="002B2CB1" w:rsidP="00A1407E">
            <w:pPr>
              <w:pStyle w:val="ITP"/>
              <w:divId w:val="53740897"/>
            </w:pPr>
            <w:r>
              <w:rPr>
                <w:rStyle w:val="normaltextrun"/>
                <w:lang w:val="en-US"/>
              </w:rPr>
              <w:t>Backfill trenches with filter material to the level shown on the Drawing. Drains under road pavement must be backfilled with no fines concrete.</w:t>
            </w:r>
            <w:r>
              <w:rPr>
                <w:rStyle w:val="eop"/>
              </w:rPr>
              <w:t> </w:t>
            </w:r>
          </w:p>
          <w:p w14:paraId="6B8FB40C" w14:textId="77777777" w:rsidR="002B2CB1" w:rsidRDefault="002B2CB1" w:rsidP="00A1407E">
            <w:pPr>
              <w:pStyle w:val="ITP"/>
              <w:divId w:val="53740897"/>
            </w:pPr>
            <w:r>
              <w:rPr>
                <w:rStyle w:val="normaltextrun"/>
                <w:lang w:val="en-US"/>
              </w:rPr>
              <w:t>Compact the filter material to limit any post-construction consolidation and provide an even, finished surface. Compact and place filter material using shovels or excavator buckets. If using no fines concrete, limit the distance the material travels into the trench to minimise risk of segregation. Do not compact filter material by lancing stakes or pickets into the material, as this has a high likelihood of damaging the subsoil line within</w:t>
            </w:r>
            <w:r>
              <w:rPr>
                <w:rStyle w:val="eop"/>
              </w:rPr>
              <w:t> </w:t>
            </w:r>
          </w:p>
          <w:p w14:paraId="02FB1511" w14:textId="77777777" w:rsidR="002B2CB1" w:rsidRDefault="002B2CB1" w:rsidP="00A1407E">
            <w:pPr>
              <w:pStyle w:val="ITP"/>
              <w:divId w:val="53740897"/>
            </w:pPr>
            <w:r>
              <w:rPr>
                <w:rStyle w:val="normaltextrun"/>
                <w:lang w:val="en-US"/>
              </w:rPr>
              <w:t>Where no fines concrete is used, implement measures to prevent segregation of the mix or formation of a slurry layer on the finish surface</w:t>
            </w:r>
            <w:r>
              <w:rPr>
                <w:rStyle w:val="eop"/>
              </w:rPr>
              <w:t> </w:t>
            </w:r>
          </w:p>
          <w:p w14:paraId="631BDB34" w14:textId="7563E572" w:rsidR="002B2CB1" w:rsidRDefault="002B2CB1" w:rsidP="00A1407E">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t>HOLD POINT: Backfilling over the drainage pipe in the trench with filter material.</w:t>
            </w:r>
            <w:r>
              <w:rPr>
                <w:rStyle w:val="normaltextrun"/>
                <w:rFonts w:cs="Arial"/>
                <w:sz w:val="18"/>
                <w:szCs w:val="18"/>
                <w:lang w:val="en-US"/>
              </w:rPr>
              <w:t xml:space="preserve"> Provide verification to the Principal that pipe laying, jointing and bedding are complete and conforming, prior to backfilling the works</w:t>
            </w:r>
            <w:r>
              <w:rPr>
                <w:rStyle w:val="eop"/>
                <w:rFonts w:cs="Arial"/>
                <w:sz w:val="18"/>
                <w:szCs w:val="18"/>
              </w:rPr>
              <w:t> </w:t>
            </w:r>
          </w:p>
        </w:tc>
        <w:tc>
          <w:tcPr>
            <w:tcW w:w="2410" w:type="dxa"/>
            <w:gridSpan w:val="4"/>
            <w:vAlign w:val="center"/>
          </w:tcPr>
          <w:p w14:paraId="3EB53D2C" w14:textId="75ED7C0A" w:rsidR="002B2CB1" w:rsidRPr="00AC08AE" w:rsidRDefault="002B2CB1" w:rsidP="002B2CB1">
            <w:pPr>
              <w:ind w:left="329" w:hanging="311"/>
              <w:rPr>
                <w:rFonts w:ascii="Arial" w:hAnsi="Arial" w:cs="Arial"/>
                <w:b/>
                <w:bCs/>
                <w:sz w:val="18"/>
                <w:szCs w:val="18"/>
                <w:lang w:val="en-US"/>
              </w:rPr>
            </w:pPr>
          </w:p>
        </w:tc>
        <w:tc>
          <w:tcPr>
            <w:tcW w:w="1134" w:type="dxa"/>
            <w:gridSpan w:val="2"/>
          </w:tcPr>
          <w:p w14:paraId="14856A7D" w14:textId="77777777" w:rsidR="002B2CB1" w:rsidRPr="00C94F9D" w:rsidRDefault="002B2CB1" w:rsidP="00A1407E">
            <w:pPr>
              <w:rPr>
                <w:rFonts w:ascii="Arial" w:hAnsi="Arial" w:cs="Arial"/>
                <w:b/>
                <w:bCs/>
                <w:sz w:val="20"/>
                <w:lang w:val="en-US"/>
              </w:rPr>
            </w:pPr>
          </w:p>
        </w:tc>
      </w:tr>
      <w:tr w:rsidR="002B2CB1" w:rsidRPr="00E176E1" w14:paraId="4BA78F9A" w14:textId="40DD7DEC" w:rsidTr="006C4489">
        <w:trPr>
          <w:trHeight w:val="340"/>
        </w:trPr>
        <w:tc>
          <w:tcPr>
            <w:tcW w:w="851" w:type="dxa"/>
            <w:vAlign w:val="center"/>
          </w:tcPr>
          <w:p w14:paraId="2BFB3D0F" w14:textId="378E8F43" w:rsidR="002B2CB1" w:rsidRPr="00351632" w:rsidRDefault="002B2CB1" w:rsidP="00C94F9D">
            <w:pPr>
              <w:jc w:val="center"/>
              <w:rPr>
                <w:rFonts w:ascii="Arial" w:hAnsi="Arial" w:cs="Arial"/>
                <w:sz w:val="20"/>
                <w:lang w:val="en-US"/>
              </w:rPr>
            </w:pPr>
            <w:r>
              <w:rPr>
                <w:rFonts w:ascii="Arial" w:hAnsi="Arial" w:cs="Arial"/>
                <w:sz w:val="20"/>
                <w:lang w:val="en-US"/>
              </w:rPr>
              <w:t>6</w:t>
            </w:r>
          </w:p>
        </w:tc>
        <w:tc>
          <w:tcPr>
            <w:tcW w:w="1418" w:type="dxa"/>
            <w:vAlign w:val="center"/>
          </w:tcPr>
          <w:p w14:paraId="60622FB4" w14:textId="1963B91C" w:rsidR="002B2CB1" w:rsidRPr="006A6DBE" w:rsidRDefault="002B2CB1" w:rsidP="00C94F9D">
            <w:pPr>
              <w:rPr>
                <w:rFonts w:ascii="Arial" w:hAnsi="Arial" w:cs="Arial"/>
                <w:b/>
                <w:sz w:val="18"/>
                <w:lang w:val="en-US"/>
              </w:rPr>
            </w:pPr>
            <w:r>
              <w:rPr>
                <w:rStyle w:val="normaltextrun"/>
                <w:rFonts w:ascii="Arial" w:eastAsiaTheme="majorEastAsia" w:hAnsi="Arial" w:cs="Arial"/>
                <w:b/>
                <w:bCs/>
                <w:sz w:val="18"/>
                <w:szCs w:val="18"/>
                <w:lang w:val="en-US"/>
              </w:rPr>
              <w:t>Marking of Trench Drains</w:t>
            </w:r>
            <w:r>
              <w:rPr>
                <w:rStyle w:val="eop"/>
                <w:rFonts w:ascii="Arial" w:eastAsiaTheme="majorEastAsia" w:hAnsi="Arial" w:cs="Arial"/>
                <w:sz w:val="18"/>
                <w:szCs w:val="18"/>
              </w:rPr>
              <w:t> </w:t>
            </w:r>
          </w:p>
        </w:tc>
        <w:tc>
          <w:tcPr>
            <w:tcW w:w="1588" w:type="dxa"/>
            <w:gridSpan w:val="2"/>
            <w:vAlign w:val="center"/>
          </w:tcPr>
          <w:p w14:paraId="31CD02A1" w14:textId="21C129C9" w:rsidR="002B2CB1" w:rsidRPr="006A5447" w:rsidRDefault="002B2CB1" w:rsidP="00C94F9D">
            <w:pPr>
              <w:rPr>
                <w:rFonts w:ascii="Arial" w:hAnsi="Arial" w:cs="Arial"/>
                <w:sz w:val="18"/>
                <w:lang w:val="en-US"/>
              </w:rPr>
            </w:pPr>
            <w:r>
              <w:rPr>
                <w:rStyle w:val="normaltextrun"/>
                <w:rFonts w:ascii="Arial" w:eastAsiaTheme="majorEastAsia" w:hAnsi="Arial" w:cs="Arial"/>
                <w:sz w:val="18"/>
                <w:szCs w:val="18"/>
                <w:lang w:val="en-US"/>
              </w:rPr>
              <w:t>R33 Cl 6</w:t>
            </w:r>
            <w:r>
              <w:rPr>
                <w:rStyle w:val="eop"/>
                <w:rFonts w:ascii="Arial" w:eastAsiaTheme="majorEastAsia" w:hAnsi="Arial" w:cs="Arial"/>
                <w:sz w:val="18"/>
                <w:szCs w:val="18"/>
              </w:rPr>
              <w:t> </w:t>
            </w:r>
          </w:p>
        </w:tc>
        <w:tc>
          <w:tcPr>
            <w:tcW w:w="7229" w:type="dxa"/>
            <w:gridSpan w:val="7"/>
            <w:vAlign w:val="center"/>
          </w:tcPr>
          <w:p w14:paraId="0A6CC9DB" w14:textId="77777777" w:rsidR="002B2CB1" w:rsidRDefault="002B2CB1" w:rsidP="00C94F9D">
            <w:pPr>
              <w:pStyle w:val="ITP"/>
              <w:divId w:val="433018238"/>
            </w:pPr>
            <w:r>
              <w:rPr>
                <w:rStyle w:val="normaltextrun"/>
                <w:lang w:val="en-US"/>
              </w:rPr>
              <w:t>During construction works, physically mark out the locations of all inlets (or starts where there are no distinct inlets) and outlets of all subsurface drains, such to avoid damage to them during construction</w:t>
            </w:r>
            <w:r>
              <w:rPr>
                <w:rStyle w:val="eop"/>
              </w:rPr>
              <w:t> </w:t>
            </w:r>
          </w:p>
          <w:p w14:paraId="0A889521" w14:textId="77777777" w:rsidR="002B2CB1" w:rsidRDefault="002B2CB1" w:rsidP="00C94F9D">
            <w:pPr>
              <w:pStyle w:val="ITP"/>
              <w:divId w:val="433018238"/>
            </w:pPr>
            <w:r>
              <w:rPr>
                <w:rStyle w:val="normaltextrun"/>
                <w:lang w:val="en-US"/>
              </w:rPr>
              <w:t>On the Works-As Executed (WAE) drawings of the completed drainage system, mark the GPS coordinates of the start and finish positions of the subsurface drains.</w:t>
            </w:r>
            <w:r>
              <w:rPr>
                <w:rStyle w:val="eop"/>
              </w:rPr>
              <w:t> </w:t>
            </w:r>
          </w:p>
          <w:p w14:paraId="20EAA618" w14:textId="34CDB9CD" w:rsidR="002B2CB1" w:rsidRDefault="002B2CB1" w:rsidP="00C94F9D">
            <w:pPr>
              <w:pStyle w:val="AbergeldieBulleted1"/>
              <w:tabs>
                <w:tab w:val="clear" w:pos="709"/>
                <w:tab w:val="clear" w:pos="1276"/>
              </w:tabs>
              <w:ind w:left="174" w:hanging="174"/>
              <w:rPr>
                <w:sz w:val="18"/>
                <w:lang w:val="en-US"/>
              </w:rPr>
            </w:pPr>
            <w:r>
              <w:rPr>
                <w:rStyle w:val="normaltextrun"/>
                <w:rFonts w:cs="Arial"/>
                <w:sz w:val="18"/>
                <w:szCs w:val="18"/>
                <w:lang w:val="en-US"/>
              </w:rPr>
              <w:t>Submit these drawings to the Principal within 28 days of completion of the subsurface drainage work. The GPS coordinates must be in WGS 84 format</w:t>
            </w:r>
            <w:r>
              <w:rPr>
                <w:rStyle w:val="eop"/>
                <w:rFonts w:cs="Arial"/>
                <w:sz w:val="18"/>
                <w:szCs w:val="18"/>
              </w:rPr>
              <w:t> </w:t>
            </w:r>
          </w:p>
        </w:tc>
        <w:tc>
          <w:tcPr>
            <w:tcW w:w="2410" w:type="dxa"/>
            <w:gridSpan w:val="4"/>
            <w:vAlign w:val="center"/>
          </w:tcPr>
          <w:p w14:paraId="64F2A4C2" w14:textId="10D42343" w:rsidR="002B2CB1" w:rsidRPr="00AC08AE" w:rsidRDefault="002B2CB1" w:rsidP="002B2CB1">
            <w:pPr>
              <w:pStyle w:val="ListParagraph"/>
              <w:numPr>
                <w:ilvl w:val="0"/>
                <w:numId w:val="18"/>
              </w:numPr>
              <w:ind w:left="329" w:hanging="311"/>
              <w:rPr>
                <w:rFonts w:ascii="Arial" w:hAnsi="Arial" w:cs="Arial"/>
                <w:sz w:val="18"/>
                <w:szCs w:val="18"/>
                <w:lang w:val="en-US"/>
              </w:rPr>
            </w:pPr>
            <w:r w:rsidRPr="00AC08AE">
              <w:rPr>
                <w:rStyle w:val="normaltextrun"/>
                <w:rFonts w:ascii="Arial" w:eastAsiaTheme="majorEastAsia" w:hAnsi="Arial" w:cs="Arial"/>
                <w:color w:val="000000"/>
                <w:sz w:val="18"/>
                <w:szCs w:val="18"/>
                <w:shd w:val="clear" w:color="auto" w:fill="FFFFFF"/>
                <w:lang w:val="en-US"/>
              </w:rPr>
              <w:t>WAE drawings showing the start and finish positions of each line</w:t>
            </w:r>
            <w:r w:rsidRPr="00AC08AE">
              <w:rPr>
                <w:rStyle w:val="eop"/>
                <w:rFonts w:ascii="Arial" w:eastAsiaTheme="majorEastAsia" w:hAnsi="Arial" w:cs="Arial"/>
                <w:color w:val="000000"/>
                <w:sz w:val="18"/>
                <w:szCs w:val="18"/>
                <w:shd w:val="clear" w:color="auto" w:fill="FFFFFF"/>
              </w:rPr>
              <w:t> </w:t>
            </w:r>
          </w:p>
        </w:tc>
        <w:tc>
          <w:tcPr>
            <w:tcW w:w="1134" w:type="dxa"/>
            <w:gridSpan w:val="2"/>
          </w:tcPr>
          <w:p w14:paraId="0C34A60C" w14:textId="77777777" w:rsidR="002B2CB1" w:rsidRPr="00A2226D" w:rsidRDefault="002B2CB1" w:rsidP="00A2226D">
            <w:pPr>
              <w:rPr>
                <w:rStyle w:val="normaltextrun"/>
                <w:rFonts w:ascii="Arial" w:eastAsiaTheme="majorEastAsia" w:hAnsi="Arial" w:cs="Arial"/>
                <w:color w:val="000000"/>
                <w:sz w:val="18"/>
                <w:szCs w:val="18"/>
                <w:shd w:val="clear" w:color="auto" w:fill="FFFFFF"/>
                <w:lang w:val="en-US"/>
              </w:rPr>
            </w:pPr>
          </w:p>
        </w:tc>
      </w:tr>
      <w:tr w:rsidR="006C4489" w:rsidRPr="001F43BB" w14:paraId="008033FB" w14:textId="77777777" w:rsidTr="006C4489">
        <w:tblPrEx>
          <w:tblLook w:val="04A0" w:firstRow="1" w:lastRow="0" w:firstColumn="1" w:lastColumn="0" w:noHBand="0" w:noVBand="1"/>
        </w:tblPrEx>
        <w:tc>
          <w:tcPr>
            <w:tcW w:w="14630" w:type="dxa"/>
            <w:gridSpan w:val="17"/>
            <w:shd w:val="clear" w:color="auto" w:fill="F2F2F2" w:themeFill="background1" w:themeFillShade="F2"/>
          </w:tcPr>
          <w:p w14:paraId="7FDDF155" w14:textId="77777777" w:rsidR="006C4489" w:rsidRPr="001F43BB" w:rsidRDefault="006C4489" w:rsidP="00574534">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6C4489" w:rsidRPr="001F43BB" w14:paraId="7B9941F4" w14:textId="77777777" w:rsidTr="006C4489">
        <w:tblPrEx>
          <w:tblLook w:val="04A0" w:firstRow="1" w:lastRow="0" w:firstColumn="1" w:lastColumn="0" w:noHBand="0" w:noVBand="1"/>
        </w:tblPrEx>
        <w:tc>
          <w:tcPr>
            <w:tcW w:w="3261" w:type="dxa"/>
            <w:gridSpan w:val="3"/>
            <w:shd w:val="clear" w:color="auto" w:fill="F2F2F2" w:themeFill="background1" w:themeFillShade="F2"/>
          </w:tcPr>
          <w:p w14:paraId="5156DF73" w14:textId="77777777" w:rsidR="006C4489" w:rsidRPr="001F43BB" w:rsidRDefault="006C4489" w:rsidP="00574534">
            <w:pPr>
              <w:rPr>
                <w:rFonts w:ascii="Arial" w:hAnsi="Arial" w:cs="Arial"/>
                <w:sz w:val="20"/>
                <w:lang w:val="en-US"/>
              </w:rPr>
            </w:pPr>
            <w:r w:rsidRPr="001F43BB">
              <w:rPr>
                <w:rFonts w:ascii="Arial" w:hAnsi="Arial" w:cs="Arial"/>
                <w:sz w:val="20"/>
              </w:rPr>
              <w:t>Any non-conformances?</w:t>
            </w:r>
          </w:p>
        </w:tc>
        <w:tc>
          <w:tcPr>
            <w:tcW w:w="1109" w:type="dxa"/>
            <w:gridSpan w:val="2"/>
          </w:tcPr>
          <w:p w14:paraId="0CC7329F" w14:textId="77777777" w:rsidR="006C4489" w:rsidRPr="001F43BB" w:rsidRDefault="006C4489"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50EDB5A8" w14:textId="77777777" w:rsidR="006C4489" w:rsidRPr="001F43BB" w:rsidRDefault="006C4489"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4A5EDB34" w14:textId="77777777" w:rsidR="006C4489" w:rsidRPr="001F43BB" w:rsidRDefault="006C4489" w:rsidP="00574534">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340C2652" w14:textId="77777777" w:rsidR="006C4489" w:rsidRPr="001F43BB" w:rsidRDefault="006C4489" w:rsidP="00574534">
            <w:pPr>
              <w:rPr>
                <w:rFonts w:ascii="Arial" w:hAnsi="Arial" w:cs="Arial"/>
                <w:sz w:val="20"/>
                <w:lang w:val="en-US"/>
              </w:rPr>
            </w:pPr>
            <w:r w:rsidRPr="001F43BB">
              <w:rPr>
                <w:rFonts w:ascii="Arial" w:hAnsi="Arial" w:cs="Arial"/>
                <w:sz w:val="20"/>
              </w:rPr>
              <w:t xml:space="preserve">Closed Out </w:t>
            </w:r>
          </w:p>
        </w:tc>
        <w:tc>
          <w:tcPr>
            <w:tcW w:w="1575" w:type="dxa"/>
            <w:gridSpan w:val="3"/>
          </w:tcPr>
          <w:p w14:paraId="5126D5C1" w14:textId="77777777" w:rsidR="006C4489" w:rsidRPr="001F43BB" w:rsidRDefault="006C4489"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59E32F45" w14:textId="77777777" w:rsidR="006C4489" w:rsidRPr="001F43BB" w:rsidRDefault="006C4489"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6C4489" w14:paraId="37713783" w14:textId="77777777" w:rsidTr="006C4489">
        <w:tblPrEx>
          <w:tblLook w:val="04A0" w:firstRow="1" w:lastRow="0" w:firstColumn="1" w:lastColumn="0" w:noHBand="0" w:noVBand="1"/>
        </w:tblPrEx>
        <w:tc>
          <w:tcPr>
            <w:tcW w:w="3261" w:type="dxa"/>
            <w:gridSpan w:val="3"/>
            <w:shd w:val="clear" w:color="auto" w:fill="F2F2F2" w:themeFill="background1" w:themeFillShade="F2"/>
          </w:tcPr>
          <w:p w14:paraId="41843051" w14:textId="77777777" w:rsidR="006C4489" w:rsidRDefault="006C4489" w:rsidP="00574534">
            <w:pPr>
              <w:rPr>
                <w:rFonts w:ascii="Arial" w:hAnsi="Arial" w:cs="Arial"/>
                <w:sz w:val="20"/>
              </w:rPr>
            </w:pPr>
            <w:r>
              <w:rPr>
                <w:rFonts w:ascii="Arial" w:hAnsi="Arial" w:cs="Arial"/>
                <w:sz w:val="20"/>
              </w:rPr>
              <w:t>Other QA details – NCRs, CARs, Identified Records etc</w:t>
            </w:r>
          </w:p>
          <w:p w14:paraId="073E64E0" w14:textId="77777777" w:rsidR="006C4489" w:rsidRPr="001F43BB" w:rsidRDefault="006C4489" w:rsidP="00574534">
            <w:pPr>
              <w:rPr>
                <w:rFonts w:ascii="Arial" w:hAnsi="Arial" w:cs="Arial"/>
                <w:sz w:val="20"/>
              </w:rPr>
            </w:pPr>
          </w:p>
        </w:tc>
        <w:tc>
          <w:tcPr>
            <w:tcW w:w="11369" w:type="dxa"/>
            <w:gridSpan w:val="14"/>
          </w:tcPr>
          <w:p w14:paraId="7FB0A9DB" w14:textId="77777777" w:rsidR="006C4489" w:rsidRDefault="006C4489" w:rsidP="00574534">
            <w:pPr>
              <w:rPr>
                <w:rFonts w:ascii="Arial" w:hAnsi="Arial" w:cs="Arial"/>
                <w:sz w:val="20"/>
              </w:rPr>
            </w:pPr>
          </w:p>
        </w:tc>
      </w:tr>
      <w:tr w:rsidR="006C4489" w:rsidRPr="001F43BB" w14:paraId="383F32DE" w14:textId="77777777" w:rsidTr="006C4489">
        <w:tblPrEx>
          <w:tblLook w:val="04A0" w:firstRow="1" w:lastRow="0" w:firstColumn="1" w:lastColumn="0" w:noHBand="0" w:noVBand="1"/>
        </w:tblPrEx>
        <w:trPr>
          <w:trHeight w:val="196"/>
        </w:trPr>
        <w:tc>
          <w:tcPr>
            <w:tcW w:w="5056" w:type="dxa"/>
            <w:gridSpan w:val="6"/>
            <w:shd w:val="clear" w:color="auto" w:fill="F2F2F2" w:themeFill="background1" w:themeFillShade="F2"/>
          </w:tcPr>
          <w:p w14:paraId="0D6B674C" w14:textId="77777777" w:rsidR="006C4489" w:rsidRPr="001F43BB" w:rsidRDefault="006C4489" w:rsidP="00574534">
            <w:pPr>
              <w:rPr>
                <w:rFonts w:ascii="Arial" w:hAnsi="Arial" w:cs="Arial"/>
                <w:sz w:val="20"/>
                <w:lang w:val="en-US"/>
              </w:rPr>
            </w:pPr>
            <w:r w:rsidRPr="001F43BB">
              <w:rPr>
                <w:rFonts w:ascii="Arial" w:hAnsi="Arial" w:cs="Arial"/>
                <w:sz w:val="20"/>
              </w:rPr>
              <w:lastRenderedPageBreak/>
              <w:t>All work has been satisfactorily completed</w:t>
            </w:r>
          </w:p>
        </w:tc>
        <w:tc>
          <w:tcPr>
            <w:tcW w:w="4300" w:type="dxa"/>
            <w:gridSpan w:val="3"/>
          </w:tcPr>
          <w:p w14:paraId="6C6685C1" w14:textId="77777777" w:rsidR="006C4489" w:rsidRPr="001F43BB" w:rsidRDefault="006C4489"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34263154" w14:textId="77777777" w:rsidR="006C4489" w:rsidRPr="001F43BB" w:rsidRDefault="006C4489"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6C4489" w:rsidRPr="001F43BB" w14:paraId="062D491D" w14:textId="77777777" w:rsidTr="006C4489">
        <w:tblPrEx>
          <w:tblLook w:val="04A0" w:firstRow="1" w:lastRow="0" w:firstColumn="1" w:lastColumn="0" w:noHBand="0" w:noVBand="1"/>
        </w:tblPrEx>
        <w:trPr>
          <w:trHeight w:val="218"/>
        </w:trPr>
        <w:tc>
          <w:tcPr>
            <w:tcW w:w="7711" w:type="dxa"/>
            <w:gridSpan w:val="8"/>
          </w:tcPr>
          <w:p w14:paraId="6B8F2FD5" w14:textId="77777777" w:rsidR="006C4489" w:rsidRPr="001F43BB" w:rsidRDefault="006C4489" w:rsidP="00574534">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6F2AFFA1" w14:textId="77777777" w:rsidR="006C4489" w:rsidRPr="001F43BB" w:rsidRDefault="006C4489" w:rsidP="00574534">
            <w:pPr>
              <w:rPr>
                <w:rFonts w:ascii="Arial" w:hAnsi="Arial" w:cs="Arial"/>
                <w:sz w:val="20"/>
                <w:lang w:val="en-US"/>
              </w:rPr>
            </w:pPr>
            <w:r w:rsidRPr="001F43BB">
              <w:rPr>
                <w:rFonts w:ascii="Arial" w:hAnsi="Arial" w:cs="Arial"/>
                <w:sz w:val="20"/>
                <w:lang w:val="en-US"/>
              </w:rPr>
              <w:t>Signature</w:t>
            </w:r>
          </w:p>
        </w:tc>
        <w:tc>
          <w:tcPr>
            <w:tcW w:w="1170" w:type="dxa"/>
            <w:gridSpan w:val="2"/>
          </w:tcPr>
          <w:p w14:paraId="5F9DAA10" w14:textId="77777777" w:rsidR="006C4489" w:rsidRPr="001F43BB" w:rsidRDefault="006C4489" w:rsidP="00574534">
            <w:pPr>
              <w:rPr>
                <w:rFonts w:ascii="Arial" w:hAnsi="Arial" w:cs="Arial"/>
                <w:sz w:val="20"/>
                <w:lang w:val="en-US"/>
              </w:rPr>
            </w:pPr>
            <w:r w:rsidRPr="001F43BB">
              <w:rPr>
                <w:rFonts w:ascii="Arial" w:hAnsi="Arial" w:cs="Arial"/>
                <w:sz w:val="20"/>
                <w:lang w:val="en-US"/>
              </w:rPr>
              <w:t>Date</w:t>
            </w:r>
          </w:p>
        </w:tc>
        <w:tc>
          <w:tcPr>
            <w:tcW w:w="2254" w:type="dxa"/>
            <w:gridSpan w:val="3"/>
          </w:tcPr>
          <w:p w14:paraId="3E921B47" w14:textId="77777777" w:rsidR="006C4489" w:rsidRPr="001F43BB" w:rsidRDefault="006C4489" w:rsidP="00574534">
            <w:pPr>
              <w:rPr>
                <w:rFonts w:ascii="Arial" w:hAnsi="Arial" w:cs="Arial"/>
                <w:sz w:val="20"/>
                <w:lang w:val="en-US"/>
              </w:rPr>
            </w:pPr>
          </w:p>
        </w:tc>
      </w:tr>
    </w:tbl>
    <w:p w14:paraId="095260C5" w14:textId="64B5B44D" w:rsidR="0068793F" w:rsidRPr="001F43BB" w:rsidRDefault="0068793F" w:rsidP="00801DDF">
      <w:pPr>
        <w:tabs>
          <w:tab w:val="left" w:pos="0"/>
        </w:tabs>
        <w:rPr>
          <w:sz w:val="20"/>
        </w:rPr>
      </w:pPr>
    </w:p>
    <w:sectPr w:rsidR="0068793F" w:rsidRPr="001F43BB"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8567" w14:textId="77777777" w:rsidR="0061235C" w:rsidRDefault="0061235C" w:rsidP="00BB5C4F">
      <w:r>
        <w:separator/>
      </w:r>
    </w:p>
  </w:endnote>
  <w:endnote w:type="continuationSeparator" w:id="0">
    <w:p w14:paraId="28377F3E" w14:textId="77777777" w:rsidR="0061235C" w:rsidRDefault="0061235C"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0B19" w14:textId="77777777" w:rsidR="0061235C" w:rsidRDefault="0061235C" w:rsidP="00BB5C4F">
      <w:r>
        <w:separator/>
      </w:r>
    </w:p>
  </w:footnote>
  <w:footnote w:type="continuationSeparator" w:id="0">
    <w:p w14:paraId="2FD87D6B" w14:textId="77777777" w:rsidR="0061235C" w:rsidRDefault="0061235C"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32.25pt">
                <v:imagedata r:id="rId1" o:title=""/>
              </v:shape>
              <o:OLEObject Type="Embed" ProgID="PBrush" ShapeID="_x0000_i1025" DrawAspect="Content" ObjectID="_1739603035" r:id="rId2"/>
            </w:object>
          </w:r>
        </w:p>
      </w:tc>
      <w:tc>
        <w:tcPr>
          <w:tcW w:w="3313" w:type="pct"/>
          <w:tcBorders>
            <w:bottom w:val="single" w:sz="24" w:space="0" w:color="404040" w:themeColor="text1" w:themeTint="BF"/>
          </w:tcBorders>
          <w:shd w:val="clear" w:color="auto" w:fill="auto"/>
          <w:vAlign w:val="center"/>
        </w:tcPr>
        <w:p w14:paraId="095260CB" w14:textId="56F2E39F"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2B2CB1">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423C0D"/>
    <w:multiLevelType w:val="multilevel"/>
    <w:tmpl w:val="F2CAE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67C4877"/>
    <w:multiLevelType w:val="multilevel"/>
    <w:tmpl w:val="6E809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7B678E"/>
    <w:multiLevelType w:val="hybridMultilevel"/>
    <w:tmpl w:val="F414683E"/>
    <w:lvl w:ilvl="0" w:tplc="60A659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1"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E553448"/>
    <w:multiLevelType w:val="multilevel"/>
    <w:tmpl w:val="CDA25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5709B"/>
    <w:multiLevelType w:val="multilevel"/>
    <w:tmpl w:val="57E6A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6"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826968926">
    <w:abstractNumId w:val="7"/>
  </w:num>
  <w:num w:numId="2" w16cid:durableId="1508206052">
    <w:abstractNumId w:val="18"/>
  </w:num>
  <w:num w:numId="3" w16cid:durableId="1440954274">
    <w:abstractNumId w:val="16"/>
  </w:num>
  <w:num w:numId="4" w16cid:durableId="1352217895">
    <w:abstractNumId w:val="12"/>
  </w:num>
  <w:num w:numId="5" w16cid:durableId="1394155789">
    <w:abstractNumId w:val="15"/>
  </w:num>
  <w:num w:numId="6" w16cid:durableId="665597160">
    <w:abstractNumId w:val="19"/>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2"/>
  </w:num>
  <w:num w:numId="9" w16cid:durableId="1410343555">
    <w:abstractNumId w:val="4"/>
  </w:num>
  <w:num w:numId="10" w16cid:durableId="1815752747">
    <w:abstractNumId w:val="17"/>
  </w:num>
  <w:num w:numId="11" w16cid:durableId="1391272324">
    <w:abstractNumId w:val="5"/>
  </w:num>
  <w:num w:numId="12" w16cid:durableId="1046562674">
    <w:abstractNumId w:val="11"/>
  </w:num>
  <w:num w:numId="13" w16cid:durableId="1337535100">
    <w:abstractNumId w:val="16"/>
  </w:num>
  <w:num w:numId="14" w16cid:durableId="1929189344">
    <w:abstractNumId w:val="9"/>
  </w:num>
  <w:num w:numId="15" w16cid:durableId="356010127">
    <w:abstractNumId w:val="6"/>
  </w:num>
  <w:num w:numId="16" w16cid:durableId="1229146773">
    <w:abstractNumId w:val="10"/>
  </w:num>
  <w:num w:numId="17" w16cid:durableId="322316093">
    <w:abstractNumId w:val="14"/>
  </w:num>
  <w:num w:numId="18" w16cid:durableId="878124631">
    <w:abstractNumId w:val="8"/>
  </w:num>
  <w:num w:numId="19" w16cid:durableId="89355586">
    <w:abstractNumId w:val="3"/>
  </w:num>
  <w:num w:numId="20" w16cid:durableId="475802127">
    <w:abstractNumId w:val="13"/>
  </w:num>
  <w:num w:numId="21" w16cid:durableId="972639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7BA1"/>
    <w:rsid w:val="00052E89"/>
    <w:rsid w:val="000572A7"/>
    <w:rsid w:val="00061AA6"/>
    <w:rsid w:val="00061CD4"/>
    <w:rsid w:val="00064E3A"/>
    <w:rsid w:val="0006765A"/>
    <w:rsid w:val="0008660C"/>
    <w:rsid w:val="0008733E"/>
    <w:rsid w:val="00092A62"/>
    <w:rsid w:val="000A09CF"/>
    <w:rsid w:val="000A7BC4"/>
    <w:rsid w:val="000B2295"/>
    <w:rsid w:val="000C19C9"/>
    <w:rsid w:val="000E3651"/>
    <w:rsid w:val="000F24C7"/>
    <w:rsid w:val="000F6727"/>
    <w:rsid w:val="0012678C"/>
    <w:rsid w:val="00142313"/>
    <w:rsid w:val="00152AAD"/>
    <w:rsid w:val="00156EF8"/>
    <w:rsid w:val="00156F5A"/>
    <w:rsid w:val="00162B58"/>
    <w:rsid w:val="00176FA9"/>
    <w:rsid w:val="00197A70"/>
    <w:rsid w:val="001A58F7"/>
    <w:rsid w:val="001A6D25"/>
    <w:rsid w:val="001C66FC"/>
    <w:rsid w:val="001D40E6"/>
    <w:rsid w:val="001E1CD8"/>
    <w:rsid w:val="001F43BB"/>
    <w:rsid w:val="00202542"/>
    <w:rsid w:val="00241F2D"/>
    <w:rsid w:val="00245EBA"/>
    <w:rsid w:val="0025416B"/>
    <w:rsid w:val="00255BB5"/>
    <w:rsid w:val="00256CC3"/>
    <w:rsid w:val="002606EC"/>
    <w:rsid w:val="00266BBF"/>
    <w:rsid w:val="0027601E"/>
    <w:rsid w:val="00283CA3"/>
    <w:rsid w:val="00286019"/>
    <w:rsid w:val="00290CF4"/>
    <w:rsid w:val="00293794"/>
    <w:rsid w:val="002B2CB1"/>
    <w:rsid w:val="002B5F7C"/>
    <w:rsid w:val="002D2198"/>
    <w:rsid w:val="002D5A2E"/>
    <w:rsid w:val="002D71A7"/>
    <w:rsid w:val="002F16A5"/>
    <w:rsid w:val="002F5E13"/>
    <w:rsid w:val="002F6D7E"/>
    <w:rsid w:val="002F7C53"/>
    <w:rsid w:val="002F7D6C"/>
    <w:rsid w:val="00310486"/>
    <w:rsid w:val="003157AB"/>
    <w:rsid w:val="00321F24"/>
    <w:rsid w:val="00325903"/>
    <w:rsid w:val="00326094"/>
    <w:rsid w:val="003274BC"/>
    <w:rsid w:val="00330880"/>
    <w:rsid w:val="00331CA8"/>
    <w:rsid w:val="00332137"/>
    <w:rsid w:val="00336EAA"/>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5F8D"/>
    <w:rsid w:val="00460AC6"/>
    <w:rsid w:val="0046698A"/>
    <w:rsid w:val="00477C5B"/>
    <w:rsid w:val="004948AD"/>
    <w:rsid w:val="004A2741"/>
    <w:rsid w:val="004A61AA"/>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5DA7"/>
    <w:rsid w:val="00557E55"/>
    <w:rsid w:val="00576472"/>
    <w:rsid w:val="00576875"/>
    <w:rsid w:val="00577215"/>
    <w:rsid w:val="0059384E"/>
    <w:rsid w:val="00595480"/>
    <w:rsid w:val="005B7395"/>
    <w:rsid w:val="005B7ED5"/>
    <w:rsid w:val="005D2ECA"/>
    <w:rsid w:val="005F62B6"/>
    <w:rsid w:val="00601F51"/>
    <w:rsid w:val="0061235C"/>
    <w:rsid w:val="00614999"/>
    <w:rsid w:val="006170B4"/>
    <w:rsid w:val="00623E85"/>
    <w:rsid w:val="00646784"/>
    <w:rsid w:val="006645D2"/>
    <w:rsid w:val="0066747F"/>
    <w:rsid w:val="00677E73"/>
    <w:rsid w:val="0068793F"/>
    <w:rsid w:val="006A5447"/>
    <w:rsid w:val="006A6DBE"/>
    <w:rsid w:val="006C4489"/>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14B0"/>
    <w:rsid w:val="00756DE8"/>
    <w:rsid w:val="00771FF1"/>
    <w:rsid w:val="007947FE"/>
    <w:rsid w:val="007A1147"/>
    <w:rsid w:val="007B7619"/>
    <w:rsid w:val="007F029B"/>
    <w:rsid w:val="007F2A32"/>
    <w:rsid w:val="00801DDF"/>
    <w:rsid w:val="00810387"/>
    <w:rsid w:val="00817E8B"/>
    <w:rsid w:val="00820159"/>
    <w:rsid w:val="00824A18"/>
    <w:rsid w:val="00831158"/>
    <w:rsid w:val="0083252A"/>
    <w:rsid w:val="00837700"/>
    <w:rsid w:val="00840972"/>
    <w:rsid w:val="00840FF9"/>
    <w:rsid w:val="008619CD"/>
    <w:rsid w:val="00883CA6"/>
    <w:rsid w:val="008A3FD6"/>
    <w:rsid w:val="008A77E5"/>
    <w:rsid w:val="008B5848"/>
    <w:rsid w:val="008C54CE"/>
    <w:rsid w:val="008D5B5F"/>
    <w:rsid w:val="00900768"/>
    <w:rsid w:val="00903D4E"/>
    <w:rsid w:val="009055FB"/>
    <w:rsid w:val="00911EDA"/>
    <w:rsid w:val="00916349"/>
    <w:rsid w:val="00931DE8"/>
    <w:rsid w:val="009408E1"/>
    <w:rsid w:val="0096515E"/>
    <w:rsid w:val="00967909"/>
    <w:rsid w:val="00975D1C"/>
    <w:rsid w:val="009872B9"/>
    <w:rsid w:val="009A0276"/>
    <w:rsid w:val="009A6F70"/>
    <w:rsid w:val="009B20B8"/>
    <w:rsid w:val="009B35AF"/>
    <w:rsid w:val="009C427C"/>
    <w:rsid w:val="009C489E"/>
    <w:rsid w:val="009F1E2C"/>
    <w:rsid w:val="00A03DA9"/>
    <w:rsid w:val="00A11DEA"/>
    <w:rsid w:val="00A1407E"/>
    <w:rsid w:val="00A17C2F"/>
    <w:rsid w:val="00A21316"/>
    <w:rsid w:val="00A2226D"/>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C08AE"/>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05F6"/>
    <w:rsid w:val="00B92092"/>
    <w:rsid w:val="00BA3C68"/>
    <w:rsid w:val="00BB2187"/>
    <w:rsid w:val="00BB373A"/>
    <w:rsid w:val="00BB5C4F"/>
    <w:rsid w:val="00BB707F"/>
    <w:rsid w:val="00BB7171"/>
    <w:rsid w:val="00BD6092"/>
    <w:rsid w:val="00BD6DFA"/>
    <w:rsid w:val="00BE19B6"/>
    <w:rsid w:val="00BF3291"/>
    <w:rsid w:val="00BF7F43"/>
    <w:rsid w:val="00C00B9C"/>
    <w:rsid w:val="00C03A14"/>
    <w:rsid w:val="00C0539E"/>
    <w:rsid w:val="00C16409"/>
    <w:rsid w:val="00C16812"/>
    <w:rsid w:val="00C3418B"/>
    <w:rsid w:val="00C373AA"/>
    <w:rsid w:val="00C53166"/>
    <w:rsid w:val="00C57162"/>
    <w:rsid w:val="00C62515"/>
    <w:rsid w:val="00C63501"/>
    <w:rsid w:val="00C637F2"/>
    <w:rsid w:val="00C8156A"/>
    <w:rsid w:val="00C822BD"/>
    <w:rsid w:val="00C94F9D"/>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4381B"/>
    <w:rsid w:val="00D5563A"/>
    <w:rsid w:val="00D678F5"/>
    <w:rsid w:val="00D726B3"/>
    <w:rsid w:val="00D7643E"/>
    <w:rsid w:val="00D83201"/>
    <w:rsid w:val="00D91D59"/>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943AD"/>
    <w:rsid w:val="00E94BFE"/>
    <w:rsid w:val="00E96320"/>
    <w:rsid w:val="00EA07D2"/>
    <w:rsid w:val="00EB714F"/>
    <w:rsid w:val="00EC3918"/>
    <w:rsid w:val="00EC3AB4"/>
    <w:rsid w:val="00ED492A"/>
    <w:rsid w:val="00EF71E6"/>
    <w:rsid w:val="00F06E0E"/>
    <w:rsid w:val="00F07A98"/>
    <w:rsid w:val="00F2160F"/>
    <w:rsid w:val="00F36EBD"/>
    <w:rsid w:val="00F42306"/>
    <w:rsid w:val="00F456FD"/>
    <w:rsid w:val="00F55383"/>
    <w:rsid w:val="00F653F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336EAA"/>
  </w:style>
  <w:style w:type="character" w:customStyle="1" w:styleId="eop">
    <w:name w:val="eop"/>
    <w:basedOn w:val="DefaultParagraphFont"/>
    <w:rsid w:val="00336EAA"/>
  </w:style>
  <w:style w:type="paragraph" w:customStyle="1" w:styleId="paragraph">
    <w:name w:val="paragraph"/>
    <w:basedOn w:val="Normal"/>
    <w:rsid w:val="00336EAA"/>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717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049">
          <w:marLeft w:val="0"/>
          <w:marRight w:val="0"/>
          <w:marTop w:val="0"/>
          <w:marBottom w:val="0"/>
          <w:divBdr>
            <w:top w:val="none" w:sz="0" w:space="0" w:color="auto"/>
            <w:left w:val="none" w:sz="0" w:space="0" w:color="auto"/>
            <w:bottom w:val="none" w:sz="0" w:space="0" w:color="auto"/>
            <w:right w:val="none" w:sz="0" w:space="0" w:color="auto"/>
          </w:divBdr>
          <w:divsChild>
            <w:div w:id="8295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530">
      <w:bodyDiv w:val="1"/>
      <w:marLeft w:val="0"/>
      <w:marRight w:val="0"/>
      <w:marTop w:val="0"/>
      <w:marBottom w:val="0"/>
      <w:divBdr>
        <w:top w:val="none" w:sz="0" w:space="0" w:color="auto"/>
        <w:left w:val="none" w:sz="0" w:space="0" w:color="auto"/>
        <w:bottom w:val="none" w:sz="0" w:space="0" w:color="auto"/>
        <w:right w:val="none" w:sz="0" w:space="0" w:color="auto"/>
      </w:divBdr>
      <w:divsChild>
        <w:div w:id="1451515463">
          <w:marLeft w:val="0"/>
          <w:marRight w:val="0"/>
          <w:marTop w:val="0"/>
          <w:marBottom w:val="0"/>
          <w:divBdr>
            <w:top w:val="none" w:sz="0" w:space="0" w:color="auto"/>
            <w:left w:val="none" w:sz="0" w:space="0" w:color="auto"/>
            <w:bottom w:val="none" w:sz="0" w:space="0" w:color="auto"/>
            <w:right w:val="none" w:sz="0" w:space="0" w:color="auto"/>
          </w:divBdr>
          <w:divsChild>
            <w:div w:id="537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488">
      <w:bodyDiv w:val="1"/>
      <w:marLeft w:val="0"/>
      <w:marRight w:val="0"/>
      <w:marTop w:val="0"/>
      <w:marBottom w:val="0"/>
      <w:divBdr>
        <w:top w:val="none" w:sz="0" w:space="0" w:color="auto"/>
        <w:left w:val="none" w:sz="0" w:space="0" w:color="auto"/>
        <w:bottom w:val="none" w:sz="0" w:space="0" w:color="auto"/>
        <w:right w:val="none" w:sz="0" w:space="0" w:color="auto"/>
      </w:divBdr>
      <w:divsChild>
        <w:div w:id="1367290817">
          <w:marLeft w:val="0"/>
          <w:marRight w:val="0"/>
          <w:marTop w:val="0"/>
          <w:marBottom w:val="0"/>
          <w:divBdr>
            <w:top w:val="none" w:sz="0" w:space="0" w:color="auto"/>
            <w:left w:val="none" w:sz="0" w:space="0" w:color="auto"/>
            <w:bottom w:val="none" w:sz="0" w:space="0" w:color="auto"/>
            <w:right w:val="none" w:sz="0" w:space="0" w:color="auto"/>
          </w:divBdr>
          <w:divsChild>
            <w:div w:id="4330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8523">
      <w:bodyDiv w:val="1"/>
      <w:marLeft w:val="0"/>
      <w:marRight w:val="0"/>
      <w:marTop w:val="0"/>
      <w:marBottom w:val="0"/>
      <w:divBdr>
        <w:top w:val="none" w:sz="0" w:space="0" w:color="auto"/>
        <w:left w:val="none" w:sz="0" w:space="0" w:color="auto"/>
        <w:bottom w:val="none" w:sz="0" w:space="0" w:color="auto"/>
        <w:right w:val="none" w:sz="0" w:space="0" w:color="auto"/>
      </w:divBdr>
      <w:divsChild>
        <w:div w:id="1024751695">
          <w:marLeft w:val="0"/>
          <w:marRight w:val="0"/>
          <w:marTop w:val="0"/>
          <w:marBottom w:val="0"/>
          <w:divBdr>
            <w:top w:val="none" w:sz="0" w:space="0" w:color="auto"/>
            <w:left w:val="none" w:sz="0" w:space="0" w:color="auto"/>
            <w:bottom w:val="none" w:sz="0" w:space="0" w:color="auto"/>
            <w:right w:val="none" w:sz="0" w:space="0" w:color="auto"/>
          </w:divBdr>
          <w:divsChild>
            <w:div w:id="1711109339">
              <w:marLeft w:val="0"/>
              <w:marRight w:val="0"/>
              <w:marTop w:val="0"/>
              <w:marBottom w:val="0"/>
              <w:divBdr>
                <w:top w:val="none" w:sz="0" w:space="0" w:color="auto"/>
                <w:left w:val="none" w:sz="0" w:space="0" w:color="auto"/>
                <w:bottom w:val="none" w:sz="0" w:space="0" w:color="auto"/>
                <w:right w:val="none" w:sz="0" w:space="0" w:color="auto"/>
              </w:divBdr>
            </w:div>
          </w:divsChild>
        </w:div>
        <w:div w:id="392241328">
          <w:marLeft w:val="0"/>
          <w:marRight w:val="0"/>
          <w:marTop w:val="0"/>
          <w:marBottom w:val="0"/>
          <w:divBdr>
            <w:top w:val="none" w:sz="0" w:space="0" w:color="auto"/>
            <w:left w:val="none" w:sz="0" w:space="0" w:color="auto"/>
            <w:bottom w:val="none" w:sz="0" w:space="0" w:color="auto"/>
            <w:right w:val="none" w:sz="0" w:space="0" w:color="auto"/>
          </w:divBdr>
          <w:divsChild>
            <w:div w:id="1972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F66F2-6846-4C6A-AED6-D72ACC37180B}">
  <ds:schemaRefs>
    <ds:schemaRef ds:uri="http://purl.org/dc/terms/"/>
    <ds:schemaRef ds:uri="http://purl.org/dc/elements/1.1/"/>
    <ds:schemaRef ds:uri="d6119fef-ed5c-4fcc-8cbb-366fcea91957"/>
    <ds:schemaRef ds:uri="4fa1db89-4933-4f22-b99e-ffd049cf6696"/>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4.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129</cp:revision>
  <cp:lastPrinted>2017-05-08T05:38:00Z</cp:lastPrinted>
  <dcterms:created xsi:type="dcterms:W3CDTF">2022-11-23T22:35:00Z</dcterms:created>
  <dcterms:modified xsi:type="dcterms:W3CDTF">2023-03-05T23:17:00Z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