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16"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5416"/>
      </w:tblGrid>
      <w:tr w:rsidR="00AA7F9E" w:rsidRPr="00E176E1" w14:paraId="0952600F" w14:textId="77777777" w:rsidTr="00A136B2">
        <w:trPr>
          <w:trHeight w:val="364"/>
          <w:tblHeader/>
        </w:trPr>
        <w:tc>
          <w:tcPr>
            <w:tcW w:w="5416" w:type="dxa"/>
            <w:vMerge w:val="restart"/>
            <w:shd w:val="clear" w:color="auto" w:fill="F2F2F2" w:themeFill="background1" w:themeFillShade="F2"/>
            <w:vAlign w:val="center"/>
          </w:tcPr>
          <w:p w14:paraId="5AC8F2AA" w14:textId="01CDF8B6" w:rsidR="00AA7F9E" w:rsidRDefault="00AA7F9E" w:rsidP="006170B4">
            <w:pPr>
              <w:jc w:val="center"/>
              <w:rPr>
                <w:rFonts w:ascii="Arial" w:hAnsi="Arial" w:cs="Arial"/>
                <w:b/>
                <w:sz w:val="28"/>
                <w:lang w:val="en-US"/>
              </w:rPr>
            </w:pPr>
            <w:r w:rsidRPr="00E176E1">
              <w:rPr>
                <w:rFonts w:ascii="Arial" w:hAnsi="Arial" w:cs="Arial"/>
                <w:b/>
                <w:sz w:val="20"/>
                <w:lang w:val="en-US"/>
              </w:rPr>
              <w:t xml:space="preserve">INSPECTION AND TEST </w:t>
            </w:r>
            <w:r w:rsidR="00A136B2">
              <w:rPr>
                <w:rFonts w:ascii="Arial" w:hAnsi="Arial" w:cs="Arial"/>
                <w:b/>
                <w:sz w:val="20"/>
                <w:lang w:val="en-US"/>
              </w:rPr>
              <w:t>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73D0561F" w:rsidR="00AA7F9E" w:rsidRPr="00B62C94" w:rsidRDefault="00426756" w:rsidP="00A136B2">
            <w:pPr>
              <w:jc w:val="center"/>
              <w:rPr>
                <w:rFonts w:ascii="Arial" w:hAnsi="Arial" w:cs="Arial"/>
                <w:b/>
                <w:sz w:val="20"/>
                <w:lang w:val="en-US"/>
              </w:rPr>
            </w:pPr>
            <w:r>
              <w:rPr>
                <w:rFonts w:ascii="Arial" w:hAnsi="Arial" w:cs="Arial"/>
                <w:b/>
                <w:sz w:val="28"/>
                <w:lang w:val="en-US"/>
              </w:rPr>
              <w:t xml:space="preserve">Earthworks </w:t>
            </w:r>
            <w:r w:rsidR="00800C8E">
              <w:rPr>
                <w:rFonts w:ascii="Arial" w:hAnsi="Arial" w:cs="Arial"/>
                <w:b/>
                <w:sz w:val="28"/>
                <w:lang w:val="en-US"/>
              </w:rPr>
              <w:t>Stabilisation</w:t>
            </w:r>
            <w:r w:rsidR="00AA7F9E">
              <w:rPr>
                <w:rFonts w:ascii="Arial" w:hAnsi="Arial" w:cs="Arial"/>
                <w:b/>
                <w:sz w:val="28"/>
                <w:lang w:val="en-US"/>
              </w:rPr>
              <w:t xml:space="preserve"> (</w:t>
            </w:r>
            <w:r w:rsidR="004B7403">
              <w:rPr>
                <w:rFonts w:ascii="Arial" w:hAnsi="Arial" w:cs="Arial"/>
                <w:b/>
                <w:sz w:val="28"/>
                <w:lang w:val="en-US"/>
              </w:rPr>
              <w:t>R50</w:t>
            </w:r>
            <w:r w:rsidR="00AA7F9E">
              <w:rPr>
                <w:rFonts w:ascii="Arial" w:hAnsi="Arial" w:cs="Arial"/>
                <w:b/>
                <w:sz w:val="28"/>
                <w:lang w:val="en-US"/>
              </w:rPr>
              <w:t>)</w:t>
            </w:r>
          </w:p>
        </w:tc>
      </w:tr>
      <w:tr w:rsidR="00AA7F9E" w:rsidRPr="00E176E1" w14:paraId="09526014" w14:textId="77777777" w:rsidTr="00A136B2">
        <w:trPr>
          <w:trHeight w:val="364"/>
          <w:tblHeader/>
        </w:trPr>
        <w:tc>
          <w:tcPr>
            <w:tcW w:w="5416"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A136B2">
        <w:trPr>
          <w:trHeight w:val="364"/>
          <w:tblHeader/>
        </w:trPr>
        <w:tc>
          <w:tcPr>
            <w:tcW w:w="5416"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A136B2">
        <w:trPr>
          <w:trHeight w:val="364"/>
          <w:tblHeader/>
        </w:trPr>
        <w:tc>
          <w:tcPr>
            <w:tcW w:w="5416"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A136B2">
        <w:trPr>
          <w:trHeight w:val="364"/>
          <w:tblHeader/>
        </w:trPr>
        <w:tc>
          <w:tcPr>
            <w:tcW w:w="5416"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418"/>
        <w:gridCol w:w="992"/>
        <w:gridCol w:w="596"/>
        <w:gridCol w:w="513"/>
        <w:gridCol w:w="686"/>
        <w:gridCol w:w="423"/>
        <w:gridCol w:w="2232"/>
        <w:gridCol w:w="1645"/>
        <w:gridCol w:w="1088"/>
        <w:gridCol w:w="642"/>
        <w:gridCol w:w="120"/>
        <w:gridCol w:w="812"/>
        <w:gridCol w:w="358"/>
        <w:gridCol w:w="1120"/>
        <w:gridCol w:w="97"/>
        <w:gridCol w:w="1037"/>
      </w:tblGrid>
      <w:tr w:rsidR="00002E07" w:rsidRPr="00E176E1" w14:paraId="0952602E" w14:textId="13F99C90" w:rsidTr="00BF7DC2">
        <w:trPr>
          <w:trHeight w:val="619"/>
          <w:tblHeader/>
        </w:trPr>
        <w:tc>
          <w:tcPr>
            <w:tcW w:w="851" w:type="dxa"/>
            <w:shd w:val="clear" w:color="auto" w:fill="F2F2F2" w:themeFill="background1" w:themeFillShade="F2"/>
            <w:vAlign w:val="center"/>
          </w:tcPr>
          <w:p w14:paraId="09526027" w14:textId="77777777" w:rsidR="00002E07" w:rsidRPr="001F43BB" w:rsidRDefault="00002E07" w:rsidP="002A352D">
            <w:pPr>
              <w:jc w:val="center"/>
              <w:rPr>
                <w:rFonts w:ascii="Arial" w:hAnsi="Arial" w:cs="Arial"/>
                <w:sz w:val="20"/>
                <w:lang w:val="en-US"/>
              </w:rPr>
            </w:pPr>
            <w:r w:rsidRPr="001F43BB">
              <w:rPr>
                <w:rFonts w:ascii="Arial" w:hAnsi="Arial" w:cs="Arial"/>
                <w:sz w:val="20"/>
                <w:lang w:val="en-US"/>
              </w:rPr>
              <w:t>Activity No.#</w:t>
            </w:r>
          </w:p>
        </w:tc>
        <w:tc>
          <w:tcPr>
            <w:tcW w:w="1418" w:type="dxa"/>
            <w:shd w:val="clear" w:color="auto" w:fill="F2F2F2" w:themeFill="background1" w:themeFillShade="F2"/>
            <w:vAlign w:val="center"/>
          </w:tcPr>
          <w:p w14:paraId="09526028" w14:textId="77777777" w:rsidR="00002E07" w:rsidRPr="001F43BB" w:rsidRDefault="00002E07" w:rsidP="002A352D">
            <w:pPr>
              <w:jc w:val="center"/>
              <w:rPr>
                <w:rFonts w:ascii="Arial" w:hAnsi="Arial" w:cs="Arial"/>
                <w:sz w:val="20"/>
                <w:lang w:val="en-US"/>
              </w:rPr>
            </w:pPr>
            <w:r w:rsidRPr="001F43BB">
              <w:rPr>
                <w:rFonts w:ascii="Arial" w:hAnsi="Arial" w:cs="Arial"/>
                <w:sz w:val="20"/>
                <w:lang w:val="en-US"/>
              </w:rPr>
              <w:t>Description</w:t>
            </w:r>
          </w:p>
        </w:tc>
        <w:tc>
          <w:tcPr>
            <w:tcW w:w="1588" w:type="dxa"/>
            <w:gridSpan w:val="2"/>
            <w:shd w:val="clear" w:color="auto" w:fill="F2F2F2" w:themeFill="background1" w:themeFillShade="F2"/>
            <w:vAlign w:val="center"/>
          </w:tcPr>
          <w:p w14:paraId="09526029" w14:textId="77777777" w:rsidR="00002E07" w:rsidRPr="001F43BB" w:rsidRDefault="00002E07" w:rsidP="002A352D">
            <w:pPr>
              <w:jc w:val="center"/>
              <w:rPr>
                <w:rFonts w:ascii="Arial" w:hAnsi="Arial" w:cs="Arial"/>
                <w:sz w:val="20"/>
                <w:lang w:val="en-US"/>
              </w:rPr>
            </w:pPr>
            <w:r w:rsidRPr="001F43BB">
              <w:rPr>
                <w:rFonts w:ascii="Arial" w:hAnsi="Arial" w:cs="Arial"/>
                <w:sz w:val="20"/>
                <w:lang w:val="en-US"/>
              </w:rPr>
              <w:t>Requirements / Reference</w:t>
            </w:r>
          </w:p>
        </w:tc>
        <w:tc>
          <w:tcPr>
            <w:tcW w:w="7229" w:type="dxa"/>
            <w:gridSpan w:val="7"/>
            <w:shd w:val="clear" w:color="auto" w:fill="F2F2F2" w:themeFill="background1" w:themeFillShade="F2"/>
            <w:vAlign w:val="center"/>
          </w:tcPr>
          <w:p w14:paraId="0952602A" w14:textId="77777777" w:rsidR="00002E07" w:rsidRPr="001F43BB" w:rsidRDefault="00002E07" w:rsidP="002A352D">
            <w:pPr>
              <w:jc w:val="center"/>
              <w:rPr>
                <w:rFonts w:ascii="Arial" w:hAnsi="Arial" w:cs="Arial"/>
                <w:sz w:val="20"/>
                <w:lang w:val="en-US"/>
              </w:rPr>
            </w:pPr>
            <w:r w:rsidRPr="001F43BB">
              <w:rPr>
                <w:rFonts w:ascii="Arial" w:hAnsi="Arial" w:cs="Arial"/>
                <w:sz w:val="20"/>
                <w:lang w:val="en-US"/>
              </w:rPr>
              <w:t>Acceptance Criteria</w:t>
            </w:r>
          </w:p>
        </w:tc>
        <w:tc>
          <w:tcPr>
            <w:tcW w:w="2410" w:type="dxa"/>
            <w:gridSpan w:val="4"/>
            <w:shd w:val="clear" w:color="auto" w:fill="F2F2F2" w:themeFill="background1" w:themeFillShade="F2"/>
            <w:vAlign w:val="center"/>
          </w:tcPr>
          <w:p w14:paraId="0952602D" w14:textId="295848A8" w:rsidR="00002E07" w:rsidRPr="001F43BB" w:rsidRDefault="00002E07" w:rsidP="002A352D">
            <w:pPr>
              <w:jc w:val="center"/>
              <w:rPr>
                <w:rFonts w:ascii="Arial" w:hAnsi="Arial" w:cs="Arial"/>
                <w:sz w:val="20"/>
                <w:lang w:val="en-US"/>
              </w:rPr>
            </w:pPr>
            <w:r w:rsidRPr="001F43BB">
              <w:rPr>
                <w:rFonts w:ascii="Arial" w:hAnsi="Arial" w:cs="Arial"/>
                <w:sz w:val="20"/>
                <w:lang w:val="en-US"/>
              </w:rPr>
              <w:t>Comments / Attachments / Records</w:t>
            </w:r>
          </w:p>
        </w:tc>
        <w:tc>
          <w:tcPr>
            <w:tcW w:w="1134" w:type="dxa"/>
            <w:gridSpan w:val="2"/>
            <w:shd w:val="clear" w:color="auto" w:fill="F2F2F2" w:themeFill="background1" w:themeFillShade="F2"/>
          </w:tcPr>
          <w:p w14:paraId="69F7F728" w14:textId="6158E482" w:rsidR="00002E07" w:rsidRPr="001F43BB" w:rsidRDefault="00002E07" w:rsidP="002A352D">
            <w:pPr>
              <w:jc w:val="center"/>
              <w:rPr>
                <w:rFonts w:ascii="Arial" w:hAnsi="Arial" w:cs="Arial"/>
                <w:sz w:val="20"/>
                <w:lang w:val="en-US"/>
              </w:rPr>
            </w:pPr>
            <w:r>
              <w:rPr>
                <w:rFonts w:ascii="Arial" w:hAnsi="Arial" w:cs="Arial"/>
                <w:sz w:val="20"/>
                <w:lang w:val="en-US"/>
              </w:rPr>
              <w:t>Engineer Signoff</w:t>
            </w:r>
          </w:p>
        </w:tc>
      </w:tr>
      <w:tr w:rsidR="00A136B2" w:rsidRPr="00E176E1" w14:paraId="09526042" w14:textId="0043E885" w:rsidTr="00002E07">
        <w:trPr>
          <w:trHeight w:val="340"/>
        </w:trPr>
        <w:tc>
          <w:tcPr>
            <w:tcW w:w="851" w:type="dxa"/>
            <w:vAlign w:val="center"/>
          </w:tcPr>
          <w:p w14:paraId="09526039" w14:textId="2A25686E" w:rsidR="00A136B2" w:rsidRPr="00351632" w:rsidRDefault="00A136B2" w:rsidP="006A6DBE">
            <w:pPr>
              <w:jc w:val="center"/>
              <w:rPr>
                <w:rFonts w:ascii="Arial" w:hAnsi="Arial" w:cs="Arial"/>
                <w:sz w:val="20"/>
                <w:lang w:val="en-US"/>
              </w:rPr>
            </w:pPr>
            <w:r w:rsidRPr="00351632">
              <w:rPr>
                <w:rFonts w:ascii="Arial" w:hAnsi="Arial" w:cs="Arial"/>
                <w:sz w:val="20"/>
                <w:lang w:val="en-US"/>
              </w:rPr>
              <w:t>1</w:t>
            </w:r>
          </w:p>
        </w:tc>
        <w:tc>
          <w:tcPr>
            <w:tcW w:w="1418" w:type="dxa"/>
            <w:vAlign w:val="center"/>
          </w:tcPr>
          <w:p w14:paraId="0952603A" w14:textId="56E9F1D7" w:rsidR="00A136B2" w:rsidRPr="006A6DBE" w:rsidRDefault="00A136B2" w:rsidP="00D83201">
            <w:pPr>
              <w:rPr>
                <w:rFonts w:ascii="Arial" w:hAnsi="Arial" w:cs="Arial"/>
                <w:b/>
                <w:sz w:val="18"/>
                <w:lang w:val="en-US"/>
              </w:rPr>
            </w:pPr>
            <w:r w:rsidRPr="006A6DBE">
              <w:rPr>
                <w:rFonts w:ascii="Arial" w:hAnsi="Arial" w:cs="Arial"/>
                <w:b/>
                <w:sz w:val="18"/>
                <w:lang w:val="en-US"/>
              </w:rPr>
              <w:t>Safety Review</w:t>
            </w:r>
          </w:p>
        </w:tc>
        <w:tc>
          <w:tcPr>
            <w:tcW w:w="1588" w:type="dxa"/>
            <w:gridSpan w:val="2"/>
            <w:vAlign w:val="center"/>
          </w:tcPr>
          <w:p w14:paraId="0952603B" w14:textId="663299EA" w:rsidR="00A136B2" w:rsidRPr="006A6DBE" w:rsidRDefault="00A136B2" w:rsidP="00D83201">
            <w:pPr>
              <w:rPr>
                <w:rFonts w:ascii="Arial" w:hAnsi="Arial" w:cs="Arial"/>
                <w:sz w:val="18"/>
                <w:lang w:val="en-US"/>
              </w:rPr>
            </w:pPr>
            <w:r w:rsidRPr="006A6DBE">
              <w:rPr>
                <w:rFonts w:ascii="Arial" w:hAnsi="Arial" w:cs="Arial"/>
                <w:sz w:val="18"/>
                <w:lang w:val="en-US"/>
              </w:rPr>
              <w:t>Project Safety Plan</w:t>
            </w:r>
          </w:p>
        </w:tc>
        <w:tc>
          <w:tcPr>
            <w:tcW w:w="7229" w:type="dxa"/>
            <w:gridSpan w:val="7"/>
            <w:vAlign w:val="center"/>
          </w:tcPr>
          <w:p w14:paraId="61B8D82B" w14:textId="77777777" w:rsidR="00A136B2" w:rsidRDefault="00A136B2"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A136B2" w:rsidRDefault="00A136B2"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A136B2" w:rsidRPr="006A6DBE" w:rsidRDefault="00A136B2"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410" w:type="dxa"/>
            <w:gridSpan w:val="4"/>
            <w:vAlign w:val="center"/>
          </w:tcPr>
          <w:p w14:paraId="09526041" w14:textId="216138C3" w:rsidR="00A136B2" w:rsidRPr="00A136B2" w:rsidRDefault="00A136B2" w:rsidP="00A136B2">
            <w:pPr>
              <w:ind w:left="173" w:hanging="173"/>
              <w:rPr>
                <w:rFonts w:ascii="Arial" w:hAnsi="Arial" w:cs="Arial"/>
                <w:sz w:val="18"/>
                <w:szCs w:val="18"/>
                <w:lang w:val="en-US"/>
              </w:rPr>
            </w:pPr>
          </w:p>
        </w:tc>
        <w:tc>
          <w:tcPr>
            <w:tcW w:w="1134" w:type="dxa"/>
            <w:gridSpan w:val="2"/>
          </w:tcPr>
          <w:p w14:paraId="483BEB5E" w14:textId="77777777" w:rsidR="00A136B2" w:rsidRPr="00A136B2" w:rsidRDefault="00A136B2" w:rsidP="00A136B2">
            <w:pPr>
              <w:ind w:left="173" w:hanging="173"/>
              <w:rPr>
                <w:rFonts w:ascii="Arial" w:hAnsi="Arial" w:cs="Arial"/>
                <w:sz w:val="18"/>
                <w:szCs w:val="18"/>
                <w:lang w:val="en-US"/>
              </w:rPr>
            </w:pPr>
          </w:p>
        </w:tc>
      </w:tr>
      <w:tr w:rsidR="00A136B2" w:rsidRPr="00E176E1" w14:paraId="0952604C" w14:textId="0BBADFFF" w:rsidTr="00002E07">
        <w:trPr>
          <w:trHeight w:val="340"/>
        </w:trPr>
        <w:tc>
          <w:tcPr>
            <w:tcW w:w="851" w:type="dxa"/>
            <w:vAlign w:val="center"/>
          </w:tcPr>
          <w:p w14:paraId="09526043" w14:textId="7C1522EE" w:rsidR="00A136B2" w:rsidRPr="00351632" w:rsidRDefault="00A136B2" w:rsidP="006A5447">
            <w:pPr>
              <w:jc w:val="center"/>
              <w:rPr>
                <w:rFonts w:ascii="Arial" w:hAnsi="Arial" w:cs="Arial"/>
                <w:sz w:val="20"/>
                <w:lang w:val="en-US"/>
              </w:rPr>
            </w:pPr>
            <w:r w:rsidRPr="00351632">
              <w:rPr>
                <w:rFonts w:ascii="Arial" w:hAnsi="Arial" w:cs="Arial"/>
                <w:sz w:val="20"/>
                <w:lang w:val="en-US"/>
              </w:rPr>
              <w:t>2</w:t>
            </w:r>
          </w:p>
        </w:tc>
        <w:tc>
          <w:tcPr>
            <w:tcW w:w="1418" w:type="dxa"/>
            <w:vAlign w:val="center"/>
          </w:tcPr>
          <w:p w14:paraId="09526044" w14:textId="3C493303" w:rsidR="00A136B2" w:rsidRPr="006A6DBE" w:rsidRDefault="00A136B2" w:rsidP="006A5447">
            <w:pPr>
              <w:rPr>
                <w:rFonts w:ascii="Arial" w:hAnsi="Arial" w:cs="Arial"/>
                <w:b/>
                <w:sz w:val="18"/>
                <w:lang w:val="en-US"/>
              </w:rPr>
            </w:pPr>
            <w:r w:rsidRPr="006A6DBE">
              <w:rPr>
                <w:rFonts w:ascii="Arial" w:hAnsi="Arial" w:cs="Arial"/>
                <w:b/>
                <w:sz w:val="18"/>
                <w:lang w:val="en-US"/>
              </w:rPr>
              <w:t>Environment</w:t>
            </w:r>
          </w:p>
        </w:tc>
        <w:tc>
          <w:tcPr>
            <w:tcW w:w="1588" w:type="dxa"/>
            <w:gridSpan w:val="2"/>
            <w:vAlign w:val="center"/>
          </w:tcPr>
          <w:p w14:paraId="6B14761D" w14:textId="49D2146F" w:rsidR="00A136B2" w:rsidRPr="006A5447" w:rsidRDefault="00A136B2"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A136B2" w:rsidRDefault="00A136B2" w:rsidP="006A5447">
            <w:pPr>
              <w:rPr>
                <w:rFonts w:ascii="Arial" w:hAnsi="Arial" w:cs="Arial"/>
                <w:sz w:val="18"/>
                <w:lang w:val="en-US"/>
              </w:rPr>
            </w:pPr>
            <w:r w:rsidRPr="006A5447">
              <w:rPr>
                <w:rFonts w:ascii="Arial" w:hAnsi="Arial" w:cs="Arial"/>
                <w:sz w:val="18"/>
                <w:lang w:val="en-US"/>
              </w:rPr>
              <w:t>G36 CL 3.1</w:t>
            </w:r>
          </w:p>
          <w:p w14:paraId="09526045" w14:textId="71196E5C" w:rsidR="00A136B2" w:rsidRPr="006A5447" w:rsidRDefault="00A136B2" w:rsidP="006A5447">
            <w:pPr>
              <w:rPr>
                <w:rFonts w:ascii="Arial" w:hAnsi="Arial" w:cs="Arial"/>
                <w:sz w:val="18"/>
                <w:lang w:val="en-US"/>
              </w:rPr>
            </w:pPr>
            <w:r>
              <w:rPr>
                <w:rFonts w:ascii="Arial" w:hAnsi="Arial" w:cs="Arial"/>
                <w:sz w:val="18"/>
                <w:lang w:val="en-US"/>
              </w:rPr>
              <w:t>G38, G40</w:t>
            </w:r>
          </w:p>
        </w:tc>
        <w:tc>
          <w:tcPr>
            <w:tcW w:w="7229" w:type="dxa"/>
            <w:gridSpan w:val="7"/>
            <w:vAlign w:val="center"/>
          </w:tcPr>
          <w:p w14:paraId="0FBEF4A7" w14:textId="77777777" w:rsidR="00A136B2" w:rsidRDefault="00A136B2"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A136B2" w:rsidRPr="006A5447" w:rsidRDefault="00A136B2"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410" w:type="dxa"/>
            <w:gridSpan w:val="4"/>
            <w:vAlign w:val="center"/>
          </w:tcPr>
          <w:p w14:paraId="0952604B" w14:textId="7730BBC6" w:rsidR="00A136B2" w:rsidRPr="00A136B2" w:rsidRDefault="00A136B2" w:rsidP="00A136B2">
            <w:pPr>
              <w:ind w:left="173" w:hanging="173"/>
              <w:rPr>
                <w:rFonts w:ascii="Arial" w:hAnsi="Arial" w:cs="Arial"/>
                <w:sz w:val="18"/>
                <w:szCs w:val="18"/>
                <w:lang w:val="en-US"/>
              </w:rPr>
            </w:pPr>
          </w:p>
        </w:tc>
        <w:tc>
          <w:tcPr>
            <w:tcW w:w="1134" w:type="dxa"/>
            <w:gridSpan w:val="2"/>
          </w:tcPr>
          <w:p w14:paraId="1B2FF030" w14:textId="77777777" w:rsidR="00A136B2" w:rsidRPr="00A136B2" w:rsidRDefault="00A136B2" w:rsidP="00A136B2">
            <w:pPr>
              <w:ind w:left="173" w:hanging="173"/>
              <w:rPr>
                <w:rFonts w:ascii="Arial" w:hAnsi="Arial" w:cs="Arial"/>
                <w:sz w:val="18"/>
                <w:szCs w:val="18"/>
                <w:lang w:val="en-US"/>
              </w:rPr>
            </w:pPr>
          </w:p>
        </w:tc>
      </w:tr>
      <w:tr w:rsidR="00A136B2" w:rsidRPr="00E176E1" w14:paraId="68995B3C" w14:textId="217B5D7B" w:rsidTr="00002E07">
        <w:trPr>
          <w:trHeight w:val="340"/>
        </w:trPr>
        <w:tc>
          <w:tcPr>
            <w:tcW w:w="851" w:type="dxa"/>
            <w:vAlign w:val="center"/>
          </w:tcPr>
          <w:p w14:paraId="37B72F7D" w14:textId="0B9F9850" w:rsidR="00A136B2" w:rsidRPr="00351632" w:rsidRDefault="00A136B2" w:rsidP="008F1386">
            <w:pPr>
              <w:jc w:val="center"/>
              <w:rPr>
                <w:rFonts w:ascii="Arial" w:hAnsi="Arial" w:cs="Arial"/>
                <w:sz w:val="20"/>
                <w:lang w:val="en-US"/>
              </w:rPr>
            </w:pPr>
            <w:r>
              <w:rPr>
                <w:rFonts w:ascii="Arial" w:hAnsi="Arial" w:cs="Arial"/>
                <w:sz w:val="20"/>
                <w:lang w:val="en-US"/>
              </w:rPr>
              <w:t>3</w:t>
            </w:r>
          </w:p>
        </w:tc>
        <w:tc>
          <w:tcPr>
            <w:tcW w:w="1418" w:type="dxa"/>
            <w:vAlign w:val="center"/>
          </w:tcPr>
          <w:p w14:paraId="09A5B2AB" w14:textId="5F5FB92D" w:rsidR="00A136B2" w:rsidRPr="006A6DBE" w:rsidRDefault="00A136B2" w:rsidP="008F1386">
            <w:pPr>
              <w:rPr>
                <w:rFonts w:ascii="Arial" w:hAnsi="Arial" w:cs="Arial"/>
                <w:b/>
                <w:sz w:val="18"/>
                <w:lang w:val="en-US"/>
              </w:rPr>
            </w:pPr>
            <w:r>
              <w:rPr>
                <w:rStyle w:val="normaltextrun"/>
                <w:rFonts w:ascii="Arial" w:eastAsiaTheme="majorEastAsia" w:hAnsi="Arial" w:cs="Arial"/>
                <w:b/>
                <w:bCs/>
                <w:sz w:val="18"/>
                <w:szCs w:val="18"/>
                <w:lang w:val="en-US"/>
              </w:rPr>
              <w:t>General Notes</w:t>
            </w:r>
            <w:r>
              <w:rPr>
                <w:rStyle w:val="eop"/>
                <w:rFonts w:ascii="Arial" w:eastAsiaTheme="majorEastAsia" w:hAnsi="Arial" w:cs="Arial"/>
                <w:sz w:val="18"/>
                <w:szCs w:val="18"/>
              </w:rPr>
              <w:t> </w:t>
            </w:r>
          </w:p>
        </w:tc>
        <w:tc>
          <w:tcPr>
            <w:tcW w:w="1588" w:type="dxa"/>
            <w:gridSpan w:val="2"/>
            <w:vAlign w:val="center"/>
          </w:tcPr>
          <w:p w14:paraId="34C3FEF2" w14:textId="764FD4D4" w:rsidR="00A136B2" w:rsidRPr="006A5447" w:rsidRDefault="00A136B2" w:rsidP="008F1386">
            <w:pPr>
              <w:rPr>
                <w:rFonts w:ascii="Arial" w:hAnsi="Arial" w:cs="Arial"/>
                <w:sz w:val="18"/>
                <w:lang w:val="en-US"/>
              </w:rPr>
            </w:pPr>
            <w:r>
              <w:rPr>
                <w:rStyle w:val="normaltextrun"/>
                <w:rFonts w:ascii="Arial" w:eastAsiaTheme="majorEastAsia" w:hAnsi="Arial" w:cs="Arial"/>
                <w:sz w:val="18"/>
                <w:szCs w:val="18"/>
                <w:lang w:val="en-US"/>
              </w:rPr>
              <w:t>R50 Cl 3</w:t>
            </w:r>
            <w:r>
              <w:rPr>
                <w:rStyle w:val="eop"/>
                <w:rFonts w:ascii="Arial" w:eastAsiaTheme="majorEastAsia" w:hAnsi="Arial" w:cs="Arial"/>
                <w:sz w:val="18"/>
                <w:szCs w:val="18"/>
              </w:rPr>
              <w:t> </w:t>
            </w:r>
          </w:p>
        </w:tc>
        <w:tc>
          <w:tcPr>
            <w:tcW w:w="7229" w:type="dxa"/>
            <w:gridSpan w:val="7"/>
            <w:vAlign w:val="center"/>
          </w:tcPr>
          <w:p w14:paraId="6FA4AEEA" w14:textId="77777777" w:rsidR="00A136B2" w:rsidRDefault="00A136B2" w:rsidP="008F1386">
            <w:pPr>
              <w:pStyle w:val="ITP"/>
              <w:divId w:val="1278365168"/>
            </w:pPr>
            <w:r>
              <w:rPr>
                <w:rStyle w:val="normaltextrun"/>
                <w:lang w:val="en-US"/>
              </w:rPr>
              <w:t>Where the Principal has not nominated a mix design, prepare one to meet the material properties specified in Clause 3.2.2. Submit the proposed mix design (if applicable) to the Principal for approval at least 10 working days before commencing stabilisation works</w:t>
            </w:r>
            <w:r>
              <w:rPr>
                <w:rStyle w:val="eop"/>
              </w:rPr>
              <w:t> </w:t>
            </w:r>
          </w:p>
          <w:p w14:paraId="1BD74869" w14:textId="77777777" w:rsidR="00A136B2" w:rsidRDefault="00A136B2" w:rsidP="008F1386">
            <w:pPr>
              <w:pStyle w:val="ITP"/>
              <w:divId w:val="1278365168"/>
            </w:pPr>
            <w:r>
              <w:rPr>
                <w:rStyle w:val="normaltextrun"/>
                <w:lang w:val="en-US"/>
              </w:rPr>
              <w:t>Unless specified otherwise, the proposed mix design must not result in a post-stabilisation UCS value (after 7 days accelerated curing) greater than 1.5 MPa (TfNSW Test Method T131). When used for R44 Specification works, the CBR and PI values must meet the requirements of TfNSW R44, following stabilisation</w:t>
            </w:r>
            <w:r>
              <w:rPr>
                <w:rStyle w:val="eop"/>
              </w:rPr>
              <w:t> </w:t>
            </w:r>
          </w:p>
          <w:p w14:paraId="2D01B24C" w14:textId="77777777" w:rsidR="00A136B2" w:rsidRDefault="00A136B2" w:rsidP="008F1386">
            <w:pPr>
              <w:pStyle w:val="ITP"/>
              <w:divId w:val="1278365168"/>
            </w:pPr>
            <w:r>
              <w:rPr>
                <w:rStyle w:val="normaltextrun"/>
                <w:lang w:val="en-US"/>
              </w:rPr>
              <w:t xml:space="preserve">Do not carry out stabilisation works during wet weather or if rain is likely to fall during the process. Do not stabilise during periods of high wind which could cause loss of stabilising agent or cause a nuisance or danger to people, the environment or property </w:t>
            </w:r>
            <w:r>
              <w:rPr>
                <w:rStyle w:val="normaltextrun"/>
                <w:i/>
                <w:iCs/>
                <w:lang w:val="en-US"/>
              </w:rPr>
              <w:t>(See also TfNSW G36). ACI Environmental Site Representative must confirm in writing that weather conditions are suitable for stabilising</w:t>
            </w:r>
            <w:r>
              <w:rPr>
                <w:rStyle w:val="eop"/>
              </w:rPr>
              <w:t> </w:t>
            </w:r>
          </w:p>
          <w:p w14:paraId="5E1865ED" w14:textId="3521D265" w:rsidR="00A136B2" w:rsidRDefault="00A136B2" w:rsidP="008F1386">
            <w:pPr>
              <w:pStyle w:val="AbergeldieBulleted1"/>
              <w:tabs>
                <w:tab w:val="clear" w:pos="709"/>
                <w:tab w:val="clear" w:pos="1276"/>
              </w:tabs>
              <w:ind w:left="174" w:hanging="174"/>
              <w:rPr>
                <w:sz w:val="18"/>
                <w:lang w:val="en-US"/>
              </w:rPr>
            </w:pPr>
            <w:r>
              <w:rPr>
                <w:rStyle w:val="normaltextrun"/>
                <w:rFonts w:cs="Arial"/>
                <w:sz w:val="18"/>
                <w:szCs w:val="18"/>
                <w:lang w:val="en-US"/>
              </w:rPr>
              <w:t>Where subsoil drains are required for pavement drainage, carry out any stabilisation of the SMZ prior to construction of the subsoil drains</w:t>
            </w:r>
            <w:r>
              <w:rPr>
                <w:rStyle w:val="eop"/>
                <w:rFonts w:cs="Arial"/>
                <w:sz w:val="18"/>
                <w:szCs w:val="18"/>
              </w:rPr>
              <w:t> </w:t>
            </w:r>
          </w:p>
        </w:tc>
        <w:tc>
          <w:tcPr>
            <w:tcW w:w="2410" w:type="dxa"/>
            <w:gridSpan w:val="4"/>
            <w:vAlign w:val="center"/>
          </w:tcPr>
          <w:p w14:paraId="690B1108" w14:textId="7A2B88D1" w:rsidR="00A136B2" w:rsidRPr="00A136B2" w:rsidRDefault="00A136B2" w:rsidP="00A136B2">
            <w:pPr>
              <w:pStyle w:val="ListParagraph"/>
              <w:numPr>
                <w:ilvl w:val="0"/>
                <w:numId w:val="18"/>
              </w:numPr>
              <w:ind w:left="173" w:hanging="173"/>
              <w:rPr>
                <w:rFonts w:ascii="Arial" w:hAnsi="Arial" w:cs="Arial"/>
                <w:sz w:val="18"/>
                <w:szCs w:val="18"/>
                <w:lang w:val="en-US"/>
              </w:rPr>
            </w:pPr>
            <w:r w:rsidRPr="00A136B2">
              <w:rPr>
                <w:rFonts w:ascii="Arial" w:hAnsi="Arial" w:cs="Arial"/>
                <w:sz w:val="18"/>
                <w:szCs w:val="18"/>
                <w:lang w:val="en-US"/>
              </w:rPr>
              <w:t xml:space="preserve">Proposed mix design (if applicable) </w:t>
            </w:r>
          </w:p>
        </w:tc>
        <w:tc>
          <w:tcPr>
            <w:tcW w:w="1134" w:type="dxa"/>
            <w:gridSpan w:val="2"/>
          </w:tcPr>
          <w:p w14:paraId="14BE0C81" w14:textId="77777777" w:rsidR="00A136B2" w:rsidRPr="00002E07" w:rsidRDefault="00A136B2" w:rsidP="00002E07">
            <w:pPr>
              <w:rPr>
                <w:rFonts w:ascii="Arial" w:hAnsi="Arial" w:cs="Arial"/>
                <w:sz w:val="18"/>
                <w:szCs w:val="18"/>
                <w:lang w:val="en-US"/>
              </w:rPr>
            </w:pPr>
          </w:p>
        </w:tc>
      </w:tr>
      <w:tr w:rsidR="00A136B2" w:rsidRPr="00E176E1" w14:paraId="1C0BD2C7" w14:textId="180D45A2" w:rsidTr="00002E07">
        <w:trPr>
          <w:trHeight w:val="340"/>
        </w:trPr>
        <w:tc>
          <w:tcPr>
            <w:tcW w:w="851" w:type="dxa"/>
            <w:vAlign w:val="center"/>
          </w:tcPr>
          <w:p w14:paraId="6D71CAD4" w14:textId="3750D586" w:rsidR="00A136B2" w:rsidRPr="00351632" w:rsidRDefault="00A136B2" w:rsidP="00424824">
            <w:pPr>
              <w:jc w:val="center"/>
              <w:rPr>
                <w:rFonts w:ascii="Arial" w:hAnsi="Arial" w:cs="Arial"/>
                <w:sz w:val="20"/>
                <w:lang w:val="en-US"/>
              </w:rPr>
            </w:pPr>
            <w:r>
              <w:rPr>
                <w:rFonts w:ascii="Arial" w:hAnsi="Arial" w:cs="Arial"/>
                <w:sz w:val="20"/>
                <w:lang w:val="en-US"/>
              </w:rPr>
              <w:lastRenderedPageBreak/>
              <w:t>4</w:t>
            </w:r>
          </w:p>
        </w:tc>
        <w:tc>
          <w:tcPr>
            <w:tcW w:w="1418" w:type="dxa"/>
            <w:vAlign w:val="center"/>
          </w:tcPr>
          <w:p w14:paraId="417F1BE7" w14:textId="4FEE96C0" w:rsidR="00A136B2" w:rsidRPr="006A6DBE" w:rsidRDefault="00A136B2" w:rsidP="00424824">
            <w:pPr>
              <w:rPr>
                <w:rFonts w:ascii="Arial" w:hAnsi="Arial" w:cs="Arial"/>
                <w:b/>
                <w:sz w:val="18"/>
                <w:lang w:val="en-US"/>
              </w:rPr>
            </w:pPr>
            <w:r>
              <w:rPr>
                <w:rStyle w:val="normaltextrun"/>
                <w:rFonts w:ascii="Arial" w:eastAsiaTheme="majorEastAsia" w:hAnsi="Arial" w:cs="Arial"/>
                <w:b/>
                <w:bCs/>
                <w:sz w:val="18"/>
                <w:szCs w:val="18"/>
                <w:lang w:val="en-US"/>
              </w:rPr>
              <w:t>Trial Section</w:t>
            </w:r>
            <w:r>
              <w:rPr>
                <w:rStyle w:val="eop"/>
                <w:rFonts w:ascii="Arial" w:eastAsiaTheme="majorEastAsia" w:hAnsi="Arial" w:cs="Arial"/>
                <w:sz w:val="18"/>
                <w:szCs w:val="18"/>
              </w:rPr>
              <w:t> </w:t>
            </w:r>
          </w:p>
        </w:tc>
        <w:tc>
          <w:tcPr>
            <w:tcW w:w="1588" w:type="dxa"/>
            <w:gridSpan w:val="2"/>
            <w:vAlign w:val="center"/>
          </w:tcPr>
          <w:p w14:paraId="445E548B" w14:textId="0F1A1D4B" w:rsidR="00A136B2" w:rsidRPr="006A5447" w:rsidRDefault="00A136B2" w:rsidP="00424824">
            <w:pPr>
              <w:rPr>
                <w:rFonts w:ascii="Arial" w:hAnsi="Arial" w:cs="Arial"/>
                <w:sz w:val="18"/>
                <w:lang w:val="en-US"/>
              </w:rPr>
            </w:pPr>
            <w:r>
              <w:rPr>
                <w:rStyle w:val="normaltextrun"/>
                <w:rFonts w:ascii="Arial" w:eastAsiaTheme="majorEastAsia" w:hAnsi="Arial" w:cs="Arial"/>
                <w:sz w:val="18"/>
                <w:szCs w:val="18"/>
                <w:lang w:val="en-US"/>
              </w:rPr>
              <w:t>R50 Cl 7</w:t>
            </w:r>
            <w:r>
              <w:rPr>
                <w:rStyle w:val="eop"/>
                <w:rFonts w:ascii="Arial" w:eastAsiaTheme="majorEastAsia" w:hAnsi="Arial" w:cs="Arial"/>
                <w:sz w:val="18"/>
                <w:szCs w:val="18"/>
              </w:rPr>
              <w:t> </w:t>
            </w:r>
          </w:p>
        </w:tc>
        <w:tc>
          <w:tcPr>
            <w:tcW w:w="7229" w:type="dxa"/>
            <w:gridSpan w:val="7"/>
            <w:vAlign w:val="center"/>
          </w:tcPr>
          <w:p w14:paraId="77E27C0B" w14:textId="77777777" w:rsidR="00A136B2" w:rsidRDefault="00A136B2" w:rsidP="00424824">
            <w:pPr>
              <w:pStyle w:val="ITP"/>
              <w:divId w:val="763573942"/>
            </w:pPr>
            <w:r>
              <w:rPr>
                <w:rStyle w:val="normaltextrun"/>
                <w:lang w:val="en-US"/>
              </w:rPr>
              <w:t>Prior to completing stabilising works, construct a trial section of stabilising at a location agreed with the Principal, using the same materials, equipment and methods as will be used for the other works.</w:t>
            </w:r>
            <w:r>
              <w:rPr>
                <w:rStyle w:val="eop"/>
              </w:rPr>
              <w:t> </w:t>
            </w:r>
          </w:p>
          <w:p w14:paraId="46BD9BDF" w14:textId="77777777" w:rsidR="00A136B2" w:rsidRDefault="00A136B2" w:rsidP="00424824">
            <w:pPr>
              <w:pStyle w:val="ITP"/>
              <w:divId w:val="763573942"/>
            </w:pPr>
            <w:r>
              <w:rPr>
                <w:rStyle w:val="normaltextrun"/>
                <w:lang w:val="en-US"/>
              </w:rPr>
              <w:t>The trial section, if conforming, will become part of the project works</w:t>
            </w:r>
            <w:r>
              <w:rPr>
                <w:rStyle w:val="eop"/>
              </w:rPr>
              <w:t> </w:t>
            </w:r>
          </w:p>
          <w:p w14:paraId="731186CF" w14:textId="77777777" w:rsidR="00A136B2" w:rsidRDefault="00A136B2" w:rsidP="00424824">
            <w:pPr>
              <w:pStyle w:val="ITP"/>
              <w:divId w:val="763573942"/>
            </w:pPr>
            <w:r>
              <w:rPr>
                <w:rStyle w:val="normaltextrun"/>
                <w:lang w:val="en-US"/>
              </w:rPr>
              <w:t>The trial section must be between 100-200m long for the proposed Lot width</w:t>
            </w:r>
            <w:r>
              <w:rPr>
                <w:rStyle w:val="eop"/>
              </w:rPr>
              <w:t> </w:t>
            </w:r>
          </w:p>
          <w:p w14:paraId="026DBA60" w14:textId="77777777" w:rsidR="00A136B2" w:rsidRDefault="00A136B2" w:rsidP="00424824">
            <w:pPr>
              <w:pStyle w:val="ITP"/>
              <w:divId w:val="763573942"/>
            </w:pPr>
            <w:r>
              <w:rPr>
                <w:rStyle w:val="normaltextrun"/>
                <w:lang w:val="en-US"/>
              </w:rPr>
              <w:t>In the event of nonconformities refer Cl 7.2</w:t>
            </w:r>
            <w:r>
              <w:rPr>
                <w:rStyle w:val="eop"/>
              </w:rPr>
              <w:t> </w:t>
            </w:r>
          </w:p>
          <w:p w14:paraId="46939C10" w14:textId="77777777" w:rsidR="00A136B2" w:rsidRDefault="00A136B2" w:rsidP="00424824">
            <w:pPr>
              <w:pStyle w:val="ITP"/>
              <w:divId w:val="763573942"/>
            </w:pPr>
            <w:r>
              <w:rPr>
                <w:rStyle w:val="normaltextrun"/>
                <w:lang w:val="en-US"/>
              </w:rPr>
              <w:t>A new trial may be required if stabilisation materials, plant or methods change</w:t>
            </w:r>
            <w:r>
              <w:rPr>
                <w:rStyle w:val="eop"/>
              </w:rPr>
              <w:t> </w:t>
            </w:r>
          </w:p>
          <w:p w14:paraId="71DE3A5A" w14:textId="27D6EB95" w:rsidR="00A136B2" w:rsidRDefault="00A136B2" w:rsidP="00424824">
            <w:pPr>
              <w:pStyle w:val="AbergeldieBulleted1"/>
              <w:tabs>
                <w:tab w:val="clear" w:pos="709"/>
                <w:tab w:val="clear" w:pos="1276"/>
              </w:tabs>
              <w:ind w:left="174" w:hanging="174"/>
              <w:rPr>
                <w:sz w:val="18"/>
                <w:lang w:val="en-US"/>
              </w:rPr>
            </w:pPr>
            <w:r>
              <w:rPr>
                <w:rStyle w:val="normaltextrun"/>
                <w:rFonts w:cs="Arial"/>
                <w:b/>
                <w:bCs/>
                <w:sz w:val="18"/>
                <w:szCs w:val="18"/>
                <w:u w:val="single"/>
                <w:lang w:val="en-US"/>
              </w:rPr>
              <w:t>HOLD POINT: Stabilisation of earthworks using a particular combination of materials, equipment and methods not previously trialed</w:t>
            </w:r>
            <w:r>
              <w:rPr>
                <w:rStyle w:val="normaltextrun"/>
                <w:rFonts w:cs="Arial"/>
                <w:sz w:val="18"/>
                <w:szCs w:val="18"/>
                <w:lang w:val="en-US"/>
              </w:rPr>
              <w:t>. Submit to the Principal, documentation, including test results, verifying that the trial section conforms to the specified requirements</w:t>
            </w:r>
            <w:r>
              <w:rPr>
                <w:rStyle w:val="eop"/>
                <w:rFonts w:cs="Arial"/>
                <w:sz w:val="18"/>
                <w:szCs w:val="18"/>
              </w:rPr>
              <w:t> </w:t>
            </w:r>
          </w:p>
        </w:tc>
        <w:tc>
          <w:tcPr>
            <w:tcW w:w="2410" w:type="dxa"/>
            <w:gridSpan w:val="4"/>
            <w:vAlign w:val="center"/>
          </w:tcPr>
          <w:p w14:paraId="75717113" w14:textId="360CE748" w:rsidR="00A136B2" w:rsidRPr="00A136B2" w:rsidRDefault="00A136B2" w:rsidP="002F3617">
            <w:pPr>
              <w:rPr>
                <w:rFonts w:ascii="Arial" w:hAnsi="Arial" w:cs="Arial"/>
                <w:b/>
                <w:bCs/>
                <w:sz w:val="18"/>
                <w:szCs w:val="18"/>
                <w:lang w:val="en-US"/>
              </w:rPr>
            </w:pPr>
          </w:p>
        </w:tc>
        <w:tc>
          <w:tcPr>
            <w:tcW w:w="1134" w:type="dxa"/>
            <w:gridSpan w:val="2"/>
          </w:tcPr>
          <w:p w14:paraId="5035295F" w14:textId="77777777" w:rsidR="00A136B2" w:rsidRPr="00A136B2" w:rsidRDefault="00A136B2" w:rsidP="00A136B2">
            <w:pPr>
              <w:ind w:left="173" w:hanging="173"/>
              <w:rPr>
                <w:rFonts w:ascii="Arial" w:hAnsi="Arial" w:cs="Arial"/>
                <w:b/>
                <w:bCs/>
                <w:sz w:val="18"/>
                <w:szCs w:val="18"/>
                <w:lang w:val="en-US"/>
              </w:rPr>
            </w:pPr>
          </w:p>
        </w:tc>
      </w:tr>
      <w:tr w:rsidR="00A136B2" w:rsidRPr="00E176E1" w14:paraId="49F88E4F" w14:textId="48D5B58D" w:rsidTr="00002E07">
        <w:trPr>
          <w:trHeight w:val="340"/>
        </w:trPr>
        <w:tc>
          <w:tcPr>
            <w:tcW w:w="851" w:type="dxa"/>
            <w:vAlign w:val="center"/>
          </w:tcPr>
          <w:p w14:paraId="61760C03" w14:textId="331C4AF3" w:rsidR="00A136B2" w:rsidRPr="00351632" w:rsidRDefault="00A136B2" w:rsidP="00424824">
            <w:pPr>
              <w:jc w:val="center"/>
              <w:rPr>
                <w:rFonts w:ascii="Arial" w:hAnsi="Arial" w:cs="Arial"/>
                <w:sz w:val="20"/>
                <w:lang w:val="en-US"/>
              </w:rPr>
            </w:pPr>
            <w:r>
              <w:rPr>
                <w:rFonts w:ascii="Arial" w:hAnsi="Arial" w:cs="Arial"/>
                <w:sz w:val="20"/>
                <w:lang w:val="en-US"/>
              </w:rPr>
              <w:t>5</w:t>
            </w:r>
          </w:p>
        </w:tc>
        <w:tc>
          <w:tcPr>
            <w:tcW w:w="1418" w:type="dxa"/>
            <w:vAlign w:val="center"/>
          </w:tcPr>
          <w:p w14:paraId="08B7BC7D" w14:textId="22ADECA7" w:rsidR="00A136B2" w:rsidRPr="006A6DBE" w:rsidRDefault="00A136B2" w:rsidP="00424824">
            <w:pPr>
              <w:rPr>
                <w:rFonts w:ascii="Arial" w:hAnsi="Arial" w:cs="Arial"/>
                <w:b/>
                <w:sz w:val="18"/>
                <w:lang w:val="en-US"/>
              </w:rPr>
            </w:pPr>
            <w:r>
              <w:rPr>
                <w:rStyle w:val="normaltextrun"/>
                <w:rFonts w:ascii="Arial" w:eastAsiaTheme="majorEastAsia" w:hAnsi="Arial" w:cs="Arial"/>
                <w:b/>
                <w:bCs/>
                <w:sz w:val="18"/>
                <w:szCs w:val="18"/>
                <w:lang w:val="en-US"/>
              </w:rPr>
              <w:t>Stabilisation – Insitu Mixing</w:t>
            </w:r>
            <w:r>
              <w:rPr>
                <w:rStyle w:val="eop"/>
                <w:rFonts w:ascii="Arial" w:eastAsiaTheme="majorEastAsia" w:hAnsi="Arial" w:cs="Arial"/>
                <w:sz w:val="18"/>
                <w:szCs w:val="18"/>
              </w:rPr>
              <w:t> </w:t>
            </w:r>
          </w:p>
        </w:tc>
        <w:tc>
          <w:tcPr>
            <w:tcW w:w="1588" w:type="dxa"/>
            <w:gridSpan w:val="2"/>
            <w:vAlign w:val="center"/>
          </w:tcPr>
          <w:p w14:paraId="0BC6C262" w14:textId="055C8AAE" w:rsidR="00A136B2" w:rsidRPr="006A5447" w:rsidRDefault="00A136B2" w:rsidP="00424824">
            <w:pPr>
              <w:rPr>
                <w:rFonts w:ascii="Arial" w:hAnsi="Arial" w:cs="Arial"/>
                <w:sz w:val="18"/>
                <w:lang w:val="en-US"/>
              </w:rPr>
            </w:pPr>
            <w:r>
              <w:rPr>
                <w:rStyle w:val="normaltextrun"/>
                <w:rFonts w:ascii="Arial" w:eastAsiaTheme="majorEastAsia" w:hAnsi="Arial" w:cs="Arial"/>
                <w:sz w:val="18"/>
                <w:szCs w:val="18"/>
                <w:lang w:val="en-US"/>
              </w:rPr>
              <w:t>R50 Cl 4</w:t>
            </w:r>
            <w:r>
              <w:rPr>
                <w:rStyle w:val="eop"/>
                <w:rFonts w:ascii="Arial" w:eastAsiaTheme="majorEastAsia" w:hAnsi="Arial" w:cs="Arial"/>
                <w:sz w:val="18"/>
                <w:szCs w:val="18"/>
              </w:rPr>
              <w:t> </w:t>
            </w:r>
          </w:p>
        </w:tc>
        <w:tc>
          <w:tcPr>
            <w:tcW w:w="7229" w:type="dxa"/>
            <w:gridSpan w:val="7"/>
            <w:vAlign w:val="center"/>
          </w:tcPr>
          <w:p w14:paraId="4A40D7AD" w14:textId="77777777" w:rsidR="00A136B2" w:rsidRDefault="00A136B2" w:rsidP="00424824">
            <w:pPr>
              <w:pStyle w:val="ITP"/>
              <w:divId w:val="1549948464"/>
            </w:pPr>
            <w:r>
              <w:rPr>
                <w:rStyle w:val="normaltextrun"/>
                <w:lang w:val="en-US"/>
              </w:rPr>
              <w:t>Prior to mixing, compact the layer to a minimum of 95% relative compaction (Test Method T166) and trim the surface parallel to the Designed Finished Surface Level</w:t>
            </w:r>
            <w:r>
              <w:rPr>
                <w:rStyle w:val="eop"/>
              </w:rPr>
              <w:t> </w:t>
            </w:r>
          </w:p>
          <w:p w14:paraId="349EF6F8" w14:textId="77777777" w:rsidR="00A136B2" w:rsidRDefault="00A136B2" w:rsidP="00424824">
            <w:pPr>
              <w:pStyle w:val="ITP"/>
              <w:divId w:val="1549948464"/>
            </w:pPr>
            <w:r>
              <w:rPr>
                <w:rStyle w:val="normaltextrun"/>
                <w:lang w:val="en-US"/>
              </w:rPr>
              <w:t>Prior to spreading the binder, tyne and/or rip the insitu material to facilitate insitu mixing, taking care not to disturb any lower layers</w:t>
            </w:r>
            <w:r>
              <w:rPr>
                <w:rStyle w:val="eop"/>
              </w:rPr>
              <w:t> </w:t>
            </w:r>
          </w:p>
          <w:p w14:paraId="517549E1" w14:textId="77777777" w:rsidR="00A136B2" w:rsidRDefault="00A136B2" w:rsidP="00424824">
            <w:pPr>
              <w:pStyle w:val="ITP"/>
              <w:divId w:val="1549948464"/>
            </w:pPr>
            <w:r>
              <w:rPr>
                <w:rStyle w:val="normaltextrun"/>
                <w:lang w:val="en-US"/>
              </w:rPr>
              <w:t>Provide binder type, spread rate and stabilisation depth at least 5 working days before commencing any stabilisation work.</w:t>
            </w:r>
            <w:r>
              <w:rPr>
                <w:rStyle w:val="eop"/>
              </w:rPr>
              <w:t> </w:t>
            </w:r>
          </w:p>
          <w:p w14:paraId="1BA02903" w14:textId="77777777" w:rsidR="00A136B2" w:rsidRDefault="00A136B2" w:rsidP="00424824">
            <w:pPr>
              <w:pStyle w:val="ITP"/>
              <w:divId w:val="1549948464"/>
            </w:pPr>
            <w:r>
              <w:rPr>
                <w:rStyle w:val="normaltextrun"/>
                <w:lang w:val="en-US"/>
              </w:rPr>
              <w:t xml:space="preserve">Determine the spread rate of the binder as per the specified or proposed mix design. </w:t>
            </w:r>
            <w:r>
              <w:rPr>
                <w:rStyle w:val="normaltextrun"/>
                <w:i/>
                <w:iCs/>
                <w:lang w:val="en-US"/>
              </w:rPr>
              <w:t>When using lime, adjust the spread rate to accommodate any variation in lime index between the source of lime used in the mix design testing, and the lime delivered to site</w:t>
            </w:r>
            <w:r>
              <w:rPr>
                <w:rStyle w:val="eop"/>
              </w:rPr>
              <w:t> </w:t>
            </w:r>
          </w:p>
          <w:p w14:paraId="6A521D9F" w14:textId="77777777" w:rsidR="00A136B2" w:rsidRDefault="00A136B2" w:rsidP="00424824">
            <w:pPr>
              <w:pStyle w:val="ITP"/>
              <w:divId w:val="1549948464"/>
            </w:pPr>
            <w:r>
              <w:rPr>
                <w:rStyle w:val="normaltextrun"/>
                <w:lang w:val="en-US"/>
              </w:rPr>
              <w:t>Determine the actual spread rate achieved for each spreader run using Test Method T136</w:t>
            </w:r>
            <w:r>
              <w:rPr>
                <w:rStyle w:val="eop"/>
              </w:rPr>
              <w:t> </w:t>
            </w:r>
          </w:p>
          <w:p w14:paraId="6B474C2E" w14:textId="77777777" w:rsidR="00A136B2" w:rsidRDefault="00A136B2" w:rsidP="00424824">
            <w:pPr>
              <w:pStyle w:val="ITP"/>
              <w:divId w:val="1549948464"/>
            </w:pPr>
            <w:r>
              <w:rPr>
                <w:rStyle w:val="normaltextrun"/>
                <w:lang w:val="en-US"/>
              </w:rPr>
              <w:t>Where quicklime is used as a binder, commence slaking of the quicklime within 30 minutes after spreading by spraying water on the spread quicklime. Repeat until slaking is complete.</w:t>
            </w:r>
            <w:r>
              <w:rPr>
                <w:rStyle w:val="eop"/>
              </w:rPr>
              <w:t> </w:t>
            </w:r>
          </w:p>
          <w:p w14:paraId="29425E5F" w14:textId="77777777" w:rsidR="00A136B2" w:rsidRDefault="00A136B2" w:rsidP="00424824">
            <w:pPr>
              <w:pStyle w:val="ITP"/>
              <w:divId w:val="1549948464"/>
            </w:pPr>
            <w:r>
              <w:rPr>
                <w:rStyle w:val="normaltextrun"/>
                <w:lang w:val="en-US"/>
              </w:rPr>
              <w:t>Apply water uniformly and avoid allowing water to concentrate in ruts or hollows. Use town water where suitable and where approved for use in the works. Water to be free from oils, acids, organic matter and any other matter which could affect the stabilisation reaction</w:t>
            </w:r>
            <w:r>
              <w:rPr>
                <w:rStyle w:val="eop"/>
              </w:rPr>
              <w:t> </w:t>
            </w:r>
          </w:p>
          <w:p w14:paraId="722B3E72" w14:textId="77777777" w:rsidR="00A136B2" w:rsidRDefault="00A136B2" w:rsidP="00424824">
            <w:pPr>
              <w:pStyle w:val="ITP"/>
              <w:divId w:val="1549948464"/>
            </w:pPr>
            <w:r>
              <w:rPr>
                <w:rStyle w:val="normaltextrun"/>
                <w:lang w:val="en-US"/>
              </w:rPr>
              <w:t>Provide sufficient water storage capacity at the plant and ensure a continuous water supply throughout the stabilisation operation</w:t>
            </w:r>
            <w:r>
              <w:rPr>
                <w:rStyle w:val="eop"/>
              </w:rPr>
              <w:t> </w:t>
            </w:r>
          </w:p>
          <w:p w14:paraId="000796C0" w14:textId="77777777" w:rsidR="00A136B2" w:rsidRDefault="00A136B2" w:rsidP="00424824">
            <w:pPr>
              <w:pStyle w:val="ITP"/>
              <w:divId w:val="1549948464"/>
            </w:pPr>
            <w:r>
              <w:rPr>
                <w:rStyle w:val="normaltextrun"/>
                <w:lang w:val="en-US"/>
              </w:rPr>
              <w:t>Develop a work method with a target moisture content envelope for the work. Moisture must be uniformly distributed throughout the depth immediately prior to compaction</w:t>
            </w:r>
            <w:r>
              <w:rPr>
                <w:rStyle w:val="eop"/>
              </w:rPr>
              <w:t> </w:t>
            </w:r>
          </w:p>
          <w:p w14:paraId="3E2EF6A0" w14:textId="77777777" w:rsidR="00A136B2" w:rsidRDefault="00A136B2" w:rsidP="00424824">
            <w:pPr>
              <w:pStyle w:val="ITP"/>
              <w:divId w:val="1549948464"/>
            </w:pPr>
            <w:r>
              <w:rPr>
                <w:rStyle w:val="normaltextrun"/>
                <w:lang w:val="en-US"/>
              </w:rPr>
              <w:t>For insitu stabilisation, use purpose built mixing equipment which is suitable for the depth and area to be stabilised, such as a stabiliser</w:t>
            </w:r>
            <w:r>
              <w:rPr>
                <w:rStyle w:val="eop"/>
              </w:rPr>
              <w:t> </w:t>
            </w:r>
          </w:p>
          <w:p w14:paraId="631BDB34" w14:textId="2AB83EC8" w:rsidR="00A136B2" w:rsidRDefault="00A136B2" w:rsidP="00424824">
            <w:pPr>
              <w:pStyle w:val="ITP"/>
              <w:rPr>
                <w:lang w:val="en-US"/>
              </w:rPr>
            </w:pPr>
            <w:r>
              <w:rPr>
                <w:rStyle w:val="normaltextrun"/>
                <w:lang w:val="en-US"/>
              </w:rPr>
              <w:t>Replace worn or damaged mixing blades or tynes to maintain mixing efficiency</w:t>
            </w:r>
            <w:r>
              <w:rPr>
                <w:rStyle w:val="eop"/>
              </w:rPr>
              <w:t> </w:t>
            </w:r>
          </w:p>
        </w:tc>
        <w:tc>
          <w:tcPr>
            <w:tcW w:w="2410" w:type="dxa"/>
            <w:gridSpan w:val="4"/>
            <w:vAlign w:val="center"/>
          </w:tcPr>
          <w:p w14:paraId="3EB53D2C" w14:textId="777AD494" w:rsidR="00A136B2" w:rsidRPr="00A136B2" w:rsidRDefault="00A136B2" w:rsidP="00A136B2">
            <w:pPr>
              <w:pStyle w:val="ListParagraph"/>
              <w:numPr>
                <w:ilvl w:val="0"/>
                <w:numId w:val="18"/>
              </w:numPr>
              <w:ind w:left="173" w:hanging="173"/>
              <w:rPr>
                <w:rFonts w:ascii="Arial" w:hAnsi="Arial" w:cs="Arial"/>
                <w:sz w:val="18"/>
                <w:szCs w:val="18"/>
                <w:lang w:val="en-US"/>
              </w:rPr>
            </w:pPr>
            <w:r w:rsidRPr="00A136B2">
              <w:rPr>
                <w:rFonts w:ascii="Arial" w:hAnsi="Arial" w:cs="Arial"/>
                <w:sz w:val="18"/>
                <w:szCs w:val="18"/>
                <w:lang w:val="en-US"/>
              </w:rPr>
              <w:t xml:space="preserve">Relevant Lot Records </w:t>
            </w:r>
          </w:p>
        </w:tc>
        <w:tc>
          <w:tcPr>
            <w:tcW w:w="1134" w:type="dxa"/>
            <w:gridSpan w:val="2"/>
          </w:tcPr>
          <w:p w14:paraId="49A2B53E" w14:textId="77777777" w:rsidR="00A136B2" w:rsidRPr="00002E07" w:rsidRDefault="00A136B2" w:rsidP="00002E07">
            <w:pPr>
              <w:rPr>
                <w:rFonts w:ascii="Arial" w:hAnsi="Arial" w:cs="Arial"/>
                <w:sz w:val="18"/>
                <w:szCs w:val="18"/>
                <w:lang w:val="en-US"/>
              </w:rPr>
            </w:pPr>
          </w:p>
        </w:tc>
      </w:tr>
      <w:tr w:rsidR="00A136B2" w:rsidRPr="00E176E1" w14:paraId="4BA78F9A" w14:textId="7E56E576" w:rsidTr="00002E07">
        <w:trPr>
          <w:trHeight w:val="340"/>
        </w:trPr>
        <w:tc>
          <w:tcPr>
            <w:tcW w:w="851" w:type="dxa"/>
            <w:vAlign w:val="center"/>
          </w:tcPr>
          <w:p w14:paraId="2BFB3D0F" w14:textId="5F741AE0" w:rsidR="00A136B2" w:rsidRPr="00351632" w:rsidRDefault="00A136B2" w:rsidP="005E1435">
            <w:pPr>
              <w:jc w:val="center"/>
              <w:rPr>
                <w:rFonts w:ascii="Arial" w:hAnsi="Arial" w:cs="Arial"/>
                <w:sz w:val="20"/>
                <w:lang w:val="en-US"/>
              </w:rPr>
            </w:pPr>
            <w:r>
              <w:rPr>
                <w:rFonts w:ascii="Arial" w:hAnsi="Arial" w:cs="Arial"/>
                <w:sz w:val="20"/>
                <w:lang w:val="en-US"/>
              </w:rPr>
              <w:t>6</w:t>
            </w:r>
          </w:p>
        </w:tc>
        <w:tc>
          <w:tcPr>
            <w:tcW w:w="1418" w:type="dxa"/>
            <w:vAlign w:val="center"/>
          </w:tcPr>
          <w:p w14:paraId="60622FB4" w14:textId="4AE5648B" w:rsidR="00A136B2" w:rsidRPr="006A6DBE" w:rsidRDefault="00A136B2" w:rsidP="005E1435">
            <w:pPr>
              <w:rPr>
                <w:rFonts w:ascii="Arial" w:hAnsi="Arial" w:cs="Arial"/>
                <w:b/>
                <w:sz w:val="18"/>
                <w:lang w:val="en-US"/>
              </w:rPr>
            </w:pPr>
            <w:r>
              <w:rPr>
                <w:rStyle w:val="normaltextrun"/>
                <w:rFonts w:ascii="Arial" w:eastAsiaTheme="majorEastAsia" w:hAnsi="Arial" w:cs="Arial"/>
                <w:b/>
                <w:bCs/>
                <w:sz w:val="18"/>
                <w:szCs w:val="18"/>
                <w:lang w:val="en-US"/>
              </w:rPr>
              <w:t>Stabilisation – Plant Mixed Material</w:t>
            </w:r>
            <w:r>
              <w:rPr>
                <w:rStyle w:val="eop"/>
                <w:rFonts w:ascii="Arial" w:eastAsiaTheme="majorEastAsia" w:hAnsi="Arial" w:cs="Arial"/>
                <w:sz w:val="18"/>
                <w:szCs w:val="18"/>
              </w:rPr>
              <w:t> </w:t>
            </w:r>
          </w:p>
        </w:tc>
        <w:tc>
          <w:tcPr>
            <w:tcW w:w="1588" w:type="dxa"/>
            <w:gridSpan w:val="2"/>
            <w:vAlign w:val="center"/>
          </w:tcPr>
          <w:p w14:paraId="31CD02A1" w14:textId="5D4F13DE" w:rsidR="00A136B2" w:rsidRPr="006A5447" w:rsidRDefault="00A136B2" w:rsidP="005E1435">
            <w:pPr>
              <w:rPr>
                <w:rFonts w:ascii="Arial" w:hAnsi="Arial" w:cs="Arial"/>
                <w:sz w:val="18"/>
                <w:lang w:val="en-US"/>
              </w:rPr>
            </w:pPr>
            <w:r>
              <w:rPr>
                <w:rStyle w:val="normaltextrun"/>
                <w:rFonts w:ascii="Arial" w:eastAsiaTheme="majorEastAsia" w:hAnsi="Arial" w:cs="Arial"/>
                <w:sz w:val="18"/>
                <w:szCs w:val="18"/>
                <w:lang w:val="en-US"/>
              </w:rPr>
              <w:t>R50 Cl 5</w:t>
            </w:r>
            <w:r>
              <w:rPr>
                <w:rStyle w:val="eop"/>
                <w:rFonts w:ascii="Arial" w:eastAsiaTheme="majorEastAsia" w:hAnsi="Arial" w:cs="Arial"/>
                <w:sz w:val="18"/>
                <w:szCs w:val="18"/>
              </w:rPr>
              <w:t> </w:t>
            </w:r>
          </w:p>
        </w:tc>
        <w:tc>
          <w:tcPr>
            <w:tcW w:w="7229" w:type="dxa"/>
            <w:gridSpan w:val="7"/>
            <w:vAlign w:val="center"/>
          </w:tcPr>
          <w:p w14:paraId="3DBA10A7" w14:textId="77777777" w:rsidR="00A136B2" w:rsidRDefault="00A136B2" w:rsidP="005E1435">
            <w:pPr>
              <w:pStyle w:val="ITP"/>
              <w:divId w:val="1911426815"/>
            </w:pPr>
            <w:r>
              <w:rPr>
                <w:rStyle w:val="normaltextrun"/>
                <w:lang w:val="en-US"/>
              </w:rPr>
              <w:t>Carry out premixing of the material in a stationary ‘driven pugmill’ mixing plant. Before commencing the mixing, calibrate the mixing plant to determine the rate of addition of the binder at various plant speeds. Method of calibration of mixing plant to be determined by Subcontractor and reviewed by Abergeldie. Typically this will be done with calibration certificates. Additionally, prior to commencement of main works a trial section will be completed as per R50 Clause 7.1. A new trial will be required if there are any changes in equipment, materials, mix, plant or rate of work</w:t>
            </w:r>
            <w:r>
              <w:rPr>
                <w:rStyle w:val="eop"/>
              </w:rPr>
              <w:t> </w:t>
            </w:r>
          </w:p>
          <w:p w14:paraId="261DAAD0" w14:textId="77777777" w:rsidR="00A136B2" w:rsidRDefault="00A136B2" w:rsidP="005E1435">
            <w:pPr>
              <w:pStyle w:val="ITP"/>
              <w:divId w:val="1911426815"/>
            </w:pPr>
            <w:r>
              <w:rPr>
                <w:rStyle w:val="normaltextrun"/>
                <w:lang w:val="en-US"/>
              </w:rPr>
              <w:t>Continuously feed the component materials of the mix (including water where necessary) into the pugmill. Mix together for at least 30 seconds once all materials have entered the pugmill</w:t>
            </w:r>
            <w:r>
              <w:rPr>
                <w:rStyle w:val="eop"/>
              </w:rPr>
              <w:t> </w:t>
            </w:r>
          </w:p>
          <w:p w14:paraId="5B2EC6BA" w14:textId="77777777" w:rsidR="00A136B2" w:rsidRDefault="00A136B2" w:rsidP="005E1435">
            <w:pPr>
              <w:pStyle w:val="ITP"/>
              <w:divId w:val="1911426815"/>
            </w:pPr>
            <w:r>
              <w:rPr>
                <w:rStyle w:val="normaltextrun"/>
                <w:lang w:val="en-US"/>
              </w:rPr>
              <w:t>The mixing operation must avoid segregation occurring in the mix. Do not use quicklime as the binder when mixing by stationary plant. Remove any split binder within 4 hours</w:t>
            </w:r>
            <w:r>
              <w:rPr>
                <w:rStyle w:val="eop"/>
              </w:rPr>
              <w:t> </w:t>
            </w:r>
          </w:p>
          <w:p w14:paraId="2C8AAD41" w14:textId="77777777" w:rsidR="00A136B2" w:rsidRDefault="00A136B2" w:rsidP="005E1435">
            <w:pPr>
              <w:pStyle w:val="ITP"/>
              <w:divId w:val="1911426815"/>
            </w:pPr>
            <w:r>
              <w:rPr>
                <w:rStyle w:val="normaltextrun"/>
                <w:lang w:val="en-US"/>
              </w:rPr>
              <w:t>Maintain the actual rate of incorporation of binder to within 10% of the specified rate.</w:t>
            </w:r>
            <w:r>
              <w:rPr>
                <w:rStyle w:val="eop"/>
              </w:rPr>
              <w:t> </w:t>
            </w:r>
          </w:p>
          <w:p w14:paraId="5F256EBA" w14:textId="77777777" w:rsidR="00A136B2" w:rsidRDefault="00A136B2" w:rsidP="005E1435">
            <w:pPr>
              <w:pStyle w:val="ITP"/>
              <w:divId w:val="1911426815"/>
            </w:pPr>
            <w:r>
              <w:rPr>
                <w:rStyle w:val="normaltextrun"/>
                <w:lang w:val="en-US"/>
              </w:rPr>
              <w:t>If the mix is delivered in open bodied vehicles, cover the load to minimise moisture loss during transportation to site. Control the moisture of the delivered mix to 60-90% of optimum moisture content (OMC) using Test Method T162</w:t>
            </w:r>
            <w:r>
              <w:rPr>
                <w:rStyle w:val="eop"/>
              </w:rPr>
              <w:t> </w:t>
            </w:r>
          </w:p>
          <w:p w14:paraId="3A15C6CA" w14:textId="77777777" w:rsidR="00A136B2" w:rsidRDefault="00A136B2" w:rsidP="005E1435">
            <w:pPr>
              <w:pStyle w:val="ITP"/>
              <w:divId w:val="1911426815"/>
            </w:pPr>
            <w:r>
              <w:rPr>
                <w:rStyle w:val="normaltextrun"/>
                <w:lang w:val="en-US"/>
              </w:rPr>
              <w:t>Take samples of the mixed material before placing to determine the field moisture content. Complete testing as per T162 as soon as practicable after mixing but no later than 8 hours after mixing</w:t>
            </w:r>
            <w:r>
              <w:rPr>
                <w:rStyle w:val="eop"/>
              </w:rPr>
              <w:t> </w:t>
            </w:r>
          </w:p>
          <w:p w14:paraId="20EAA618" w14:textId="7077F877" w:rsidR="00A136B2" w:rsidRDefault="00A136B2" w:rsidP="005E1435">
            <w:pPr>
              <w:pStyle w:val="AbergeldieBulleted1"/>
              <w:tabs>
                <w:tab w:val="clear" w:pos="709"/>
                <w:tab w:val="clear" w:pos="1276"/>
              </w:tabs>
              <w:ind w:left="174" w:hanging="174"/>
              <w:rPr>
                <w:sz w:val="18"/>
                <w:lang w:val="en-US"/>
              </w:rPr>
            </w:pPr>
            <w:r>
              <w:rPr>
                <w:rStyle w:val="normaltextrun"/>
                <w:rFonts w:cs="Arial"/>
                <w:sz w:val="18"/>
                <w:szCs w:val="18"/>
                <w:lang w:val="en-US"/>
              </w:rPr>
              <w:t>Immediately prior to placement, lightly scarify or tyne the target surface to a depth not more than 25mm. Do not incorporate segregated or non-uniformly mixed material into the works. Place and spread the plant mixed material such that it can be compacted and trimmed to achieve the requirements of TfNSW R44 Spec.</w:t>
            </w:r>
            <w:r>
              <w:rPr>
                <w:rStyle w:val="eop"/>
                <w:rFonts w:cs="Arial"/>
                <w:sz w:val="18"/>
                <w:szCs w:val="18"/>
              </w:rPr>
              <w:t> </w:t>
            </w:r>
          </w:p>
        </w:tc>
        <w:tc>
          <w:tcPr>
            <w:tcW w:w="2410" w:type="dxa"/>
            <w:gridSpan w:val="4"/>
            <w:vAlign w:val="center"/>
          </w:tcPr>
          <w:p w14:paraId="64F2A4C2" w14:textId="28118063" w:rsidR="00A136B2" w:rsidRPr="00A136B2" w:rsidRDefault="00A136B2" w:rsidP="00A136B2">
            <w:pPr>
              <w:pStyle w:val="ListParagraph"/>
              <w:numPr>
                <w:ilvl w:val="0"/>
                <w:numId w:val="18"/>
              </w:numPr>
              <w:ind w:left="173" w:hanging="173"/>
              <w:rPr>
                <w:rFonts w:ascii="Arial" w:hAnsi="Arial" w:cs="Arial"/>
                <w:sz w:val="18"/>
                <w:szCs w:val="18"/>
                <w:lang w:val="en-US"/>
              </w:rPr>
            </w:pPr>
            <w:r w:rsidRPr="00A136B2">
              <w:rPr>
                <w:rFonts w:ascii="Arial" w:hAnsi="Arial" w:cs="Arial"/>
                <w:sz w:val="18"/>
                <w:szCs w:val="18"/>
                <w:lang w:val="en-US"/>
              </w:rPr>
              <w:t>Relevant Lot Record</w:t>
            </w:r>
            <w:r w:rsidR="002F3617">
              <w:rPr>
                <w:rFonts w:ascii="Arial" w:hAnsi="Arial" w:cs="Arial"/>
                <w:sz w:val="18"/>
                <w:szCs w:val="18"/>
                <w:lang w:val="en-US"/>
              </w:rPr>
              <w:t>s</w:t>
            </w:r>
            <w:r w:rsidRPr="00A136B2">
              <w:rPr>
                <w:rFonts w:ascii="Arial" w:hAnsi="Arial" w:cs="Arial"/>
                <w:sz w:val="18"/>
                <w:szCs w:val="18"/>
                <w:lang w:val="en-US"/>
              </w:rPr>
              <w:t xml:space="preserve"> </w:t>
            </w:r>
          </w:p>
        </w:tc>
        <w:tc>
          <w:tcPr>
            <w:tcW w:w="1134" w:type="dxa"/>
            <w:gridSpan w:val="2"/>
          </w:tcPr>
          <w:p w14:paraId="66ADD02F" w14:textId="77777777" w:rsidR="00A136B2" w:rsidRPr="00002E07" w:rsidRDefault="00A136B2" w:rsidP="00002E07">
            <w:pPr>
              <w:rPr>
                <w:rFonts w:ascii="Arial" w:hAnsi="Arial" w:cs="Arial"/>
                <w:sz w:val="18"/>
                <w:szCs w:val="18"/>
                <w:lang w:val="en-US"/>
              </w:rPr>
            </w:pPr>
          </w:p>
        </w:tc>
      </w:tr>
      <w:tr w:rsidR="00A136B2" w:rsidRPr="00E176E1" w14:paraId="7FBC54C7" w14:textId="688AAADB" w:rsidTr="00002E07">
        <w:trPr>
          <w:trHeight w:val="340"/>
        </w:trPr>
        <w:tc>
          <w:tcPr>
            <w:tcW w:w="851" w:type="dxa"/>
            <w:vAlign w:val="center"/>
          </w:tcPr>
          <w:p w14:paraId="755ACFDD" w14:textId="0437F1F9" w:rsidR="00A136B2" w:rsidRPr="00351632" w:rsidRDefault="00A136B2" w:rsidP="00A53E75">
            <w:pPr>
              <w:jc w:val="center"/>
              <w:rPr>
                <w:rFonts w:ascii="Arial" w:hAnsi="Arial" w:cs="Arial"/>
                <w:sz w:val="20"/>
                <w:lang w:val="en-US"/>
              </w:rPr>
            </w:pPr>
            <w:r>
              <w:rPr>
                <w:rFonts w:ascii="Arial" w:hAnsi="Arial" w:cs="Arial"/>
                <w:sz w:val="20"/>
                <w:lang w:val="en-US"/>
              </w:rPr>
              <w:t>7</w:t>
            </w:r>
          </w:p>
        </w:tc>
        <w:tc>
          <w:tcPr>
            <w:tcW w:w="1418" w:type="dxa"/>
            <w:vAlign w:val="center"/>
          </w:tcPr>
          <w:p w14:paraId="37E556BC" w14:textId="118501F3" w:rsidR="00A136B2" w:rsidRPr="006A6DBE" w:rsidRDefault="00A136B2" w:rsidP="00A53E75">
            <w:pPr>
              <w:rPr>
                <w:rFonts w:ascii="Arial" w:hAnsi="Arial" w:cs="Arial"/>
                <w:b/>
                <w:sz w:val="18"/>
                <w:lang w:val="en-US"/>
              </w:rPr>
            </w:pPr>
            <w:r>
              <w:rPr>
                <w:rStyle w:val="normaltextrun"/>
                <w:rFonts w:ascii="Arial" w:eastAsiaTheme="majorEastAsia" w:hAnsi="Arial" w:cs="Arial"/>
                <w:b/>
                <w:bCs/>
                <w:sz w:val="18"/>
                <w:szCs w:val="18"/>
                <w:lang w:val="en-US"/>
              </w:rPr>
              <w:t>Completion of Works</w:t>
            </w:r>
            <w:r>
              <w:rPr>
                <w:rStyle w:val="eop"/>
                <w:rFonts w:ascii="Arial" w:eastAsiaTheme="majorEastAsia" w:hAnsi="Arial" w:cs="Arial"/>
                <w:sz w:val="18"/>
                <w:szCs w:val="18"/>
              </w:rPr>
              <w:t> </w:t>
            </w:r>
          </w:p>
        </w:tc>
        <w:tc>
          <w:tcPr>
            <w:tcW w:w="1588" w:type="dxa"/>
            <w:gridSpan w:val="2"/>
            <w:vAlign w:val="center"/>
          </w:tcPr>
          <w:p w14:paraId="743D311A" w14:textId="36A8822C" w:rsidR="00A136B2" w:rsidRPr="006A5447" w:rsidRDefault="00A136B2" w:rsidP="00A53E75">
            <w:pPr>
              <w:rPr>
                <w:rFonts w:ascii="Arial" w:hAnsi="Arial" w:cs="Arial"/>
                <w:sz w:val="18"/>
                <w:lang w:val="en-US"/>
              </w:rPr>
            </w:pPr>
            <w:r>
              <w:rPr>
                <w:rStyle w:val="normaltextrun"/>
                <w:rFonts w:ascii="Arial" w:eastAsiaTheme="majorEastAsia" w:hAnsi="Arial" w:cs="Arial"/>
                <w:sz w:val="18"/>
                <w:szCs w:val="18"/>
                <w:lang w:val="en-US"/>
              </w:rPr>
              <w:t>R50 Cl 6</w:t>
            </w:r>
            <w:r>
              <w:rPr>
                <w:rStyle w:val="eop"/>
                <w:rFonts w:ascii="Arial" w:eastAsiaTheme="majorEastAsia" w:hAnsi="Arial" w:cs="Arial"/>
                <w:sz w:val="18"/>
                <w:szCs w:val="18"/>
              </w:rPr>
              <w:t> </w:t>
            </w:r>
          </w:p>
        </w:tc>
        <w:tc>
          <w:tcPr>
            <w:tcW w:w="7229" w:type="dxa"/>
            <w:gridSpan w:val="7"/>
            <w:vAlign w:val="center"/>
          </w:tcPr>
          <w:p w14:paraId="7996A2FB" w14:textId="77777777" w:rsidR="00A136B2" w:rsidRDefault="00A136B2" w:rsidP="00A53E75">
            <w:pPr>
              <w:pStyle w:val="ITP"/>
              <w:divId w:val="202407685"/>
            </w:pPr>
            <w:r>
              <w:rPr>
                <w:rStyle w:val="normaltextrun"/>
                <w:lang w:val="en-US"/>
              </w:rPr>
              <w:t>Ensure the entire process of mixing the material, placement, and the final compaction and trimming are a continuous operation</w:t>
            </w:r>
            <w:r>
              <w:rPr>
                <w:rStyle w:val="eop"/>
              </w:rPr>
              <w:t> </w:t>
            </w:r>
          </w:p>
          <w:p w14:paraId="22F75E96" w14:textId="77777777" w:rsidR="00A136B2" w:rsidRDefault="00A136B2" w:rsidP="00A53E75">
            <w:pPr>
              <w:pStyle w:val="ITP"/>
              <w:divId w:val="202407685"/>
            </w:pPr>
            <w:r>
              <w:rPr>
                <w:rStyle w:val="normaltextrun"/>
                <w:lang w:val="en-US"/>
              </w:rPr>
              <w:t>After spreading the plant mixed material or mixing the binder into the insitu material, commence compaction immediately. Compact material to achieve the requirements of R44 and Table R44.10</w:t>
            </w:r>
            <w:r>
              <w:rPr>
                <w:rStyle w:val="eop"/>
              </w:rPr>
              <w:t> </w:t>
            </w:r>
          </w:p>
          <w:p w14:paraId="06F46D73" w14:textId="77777777" w:rsidR="00A136B2" w:rsidRDefault="00A136B2" w:rsidP="00A53E75">
            <w:pPr>
              <w:pStyle w:val="ITP"/>
              <w:divId w:val="202407685"/>
            </w:pPr>
            <w:r>
              <w:rPr>
                <w:rStyle w:val="normaltextrun"/>
                <w:lang w:val="en-US"/>
              </w:rPr>
              <w:t>Following compaction, trim the surface to the required heights shown on the drawings and within the tolerances of R44 and Table R44.11. Do not reuse any cut material taken during the trimming, re-use it as earth fill or dispose of it</w:t>
            </w:r>
            <w:r>
              <w:rPr>
                <w:rStyle w:val="eop"/>
              </w:rPr>
              <w:t> </w:t>
            </w:r>
          </w:p>
          <w:p w14:paraId="6A1776CB" w14:textId="77777777" w:rsidR="00A136B2" w:rsidRDefault="00A136B2" w:rsidP="00A53E75">
            <w:pPr>
              <w:pStyle w:val="ITP"/>
              <w:divId w:val="202407685"/>
            </w:pPr>
            <w:r>
              <w:rPr>
                <w:rStyle w:val="normaltextrun"/>
                <w:lang w:val="en-US"/>
              </w:rPr>
              <w:t>For quicklime, hydrated lime, or slag/lime blend binders, complete compaction and trimming within 24 hours after commencing the mixing. Reworks may be carried out up to 24 hours after mixing following the Principal’s approval</w:t>
            </w:r>
            <w:r>
              <w:rPr>
                <w:rStyle w:val="eop"/>
              </w:rPr>
              <w:t> </w:t>
            </w:r>
          </w:p>
          <w:p w14:paraId="2135356C" w14:textId="77777777" w:rsidR="00A136B2" w:rsidRDefault="00A136B2" w:rsidP="00A53E75">
            <w:pPr>
              <w:pStyle w:val="ITP"/>
              <w:divId w:val="202407685"/>
            </w:pPr>
            <w:r>
              <w:rPr>
                <w:rStyle w:val="normaltextrun"/>
                <w:lang w:val="en-US"/>
              </w:rPr>
              <w:t>For cement binders, complete the compaction and trimming within 2 hours after commencing the mixing. Reworking is not permitted</w:t>
            </w:r>
            <w:r>
              <w:rPr>
                <w:rStyle w:val="eop"/>
              </w:rPr>
              <w:t> </w:t>
            </w:r>
          </w:p>
          <w:p w14:paraId="114F2463" w14:textId="77777777" w:rsidR="00A136B2" w:rsidRDefault="00A136B2" w:rsidP="00A53E75">
            <w:pPr>
              <w:pStyle w:val="ITP"/>
              <w:divId w:val="202407685"/>
            </w:pPr>
            <w:r>
              <w:rPr>
                <w:rStyle w:val="normaltextrun"/>
                <w:lang w:val="en-US"/>
              </w:rPr>
              <w:t>Compact construction joints such that all material complies with this Specification and the material on either side of the joint is not damaged</w:t>
            </w:r>
            <w:r>
              <w:rPr>
                <w:rStyle w:val="eop"/>
              </w:rPr>
              <w:t> </w:t>
            </w:r>
          </w:p>
          <w:p w14:paraId="2433ADA1" w14:textId="77777777" w:rsidR="00A136B2" w:rsidRDefault="00A136B2" w:rsidP="00A53E75">
            <w:pPr>
              <w:pStyle w:val="ITP"/>
              <w:divId w:val="202407685"/>
            </w:pPr>
            <w:r>
              <w:rPr>
                <w:rStyle w:val="normaltextrun"/>
                <w:lang w:val="en-US"/>
              </w:rPr>
              <w:t>Take note of any Construction Joints- Longitudinal and Traverse Joint for both Insitu and Plant Mixing and Placing.</w:t>
            </w:r>
            <w:r>
              <w:rPr>
                <w:rStyle w:val="eop"/>
              </w:rPr>
              <w:t> </w:t>
            </w:r>
          </w:p>
          <w:p w14:paraId="6D98ADC9" w14:textId="77777777" w:rsidR="00A136B2" w:rsidRDefault="00A136B2" w:rsidP="00A53E75">
            <w:pPr>
              <w:pStyle w:val="ITP"/>
              <w:divId w:val="202407685"/>
            </w:pPr>
            <w:r>
              <w:rPr>
                <w:rStyle w:val="normaltextrun"/>
                <w:lang w:val="en-US"/>
              </w:rPr>
              <w:t>Protect stabilised layers against rapid drying by keeping the surface continuously damp until a covering layer is placed</w:t>
            </w:r>
            <w:r>
              <w:rPr>
                <w:rStyle w:val="eop"/>
              </w:rPr>
              <w:t> </w:t>
            </w:r>
          </w:p>
          <w:p w14:paraId="154FEFFC" w14:textId="77777777" w:rsidR="00A136B2" w:rsidRDefault="00A136B2" w:rsidP="00A53E75">
            <w:pPr>
              <w:pStyle w:val="ITP"/>
              <w:divId w:val="202407685"/>
            </w:pPr>
            <w:r>
              <w:rPr>
                <w:rStyle w:val="normaltextrun"/>
                <w:lang w:val="en-US"/>
              </w:rPr>
              <w:t>If stabilised layer lies immediately beneath the pavement, and a pavement layer will not be placed within 5 days of the completion of stabilisation, apply a layer of rapid setting bitumen emulsion at the rate of at least 0.5L/m2, within 2 days of the completion of compaction and trimming.</w:t>
            </w:r>
            <w:r>
              <w:rPr>
                <w:rStyle w:val="eop"/>
              </w:rPr>
              <w:t> </w:t>
            </w:r>
          </w:p>
          <w:p w14:paraId="6A91A53C" w14:textId="36B642AE" w:rsidR="00A136B2" w:rsidRDefault="00A136B2" w:rsidP="00A53E75">
            <w:pPr>
              <w:pStyle w:val="AbergeldieBulleted1"/>
              <w:tabs>
                <w:tab w:val="clear" w:pos="709"/>
                <w:tab w:val="clear" w:pos="1276"/>
              </w:tabs>
              <w:ind w:left="174" w:hanging="174"/>
              <w:rPr>
                <w:sz w:val="18"/>
                <w:lang w:val="en-US"/>
              </w:rPr>
            </w:pPr>
            <w:r>
              <w:rPr>
                <w:rStyle w:val="normaltextrun"/>
                <w:rFonts w:cs="Arial"/>
                <w:sz w:val="18"/>
                <w:szCs w:val="18"/>
                <w:lang w:val="en-US"/>
              </w:rPr>
              <w:t>Do not allow any trafficking from unrelated plant or equipment until compaction of the stabilised surface is complete</w:t>
            </w:r>
            <w:r>
              <w:rPr>
                <w:rStyle w:val="eop"/>
                <w:rFonts w:cs="Arial"/>
                <w:sz w:val="18"/>
                <w:szCs w:val="18"/>
              </w:rPr>
              <w:t> </w:t>
            </w:r>
          </w:p>
        </w:tc>
        <w:tc>
          <w:tcPr>
            <w:tcW w:w="2410" w:type="dxa"/>
            <w:gridSpan w:val="4"/>
            <w:vAlign w:val="center"/>
          </w:tcPr>
          <w:p w14:paraId="707CD320" w14:textId="544D3DEA" w:rsidR="00A136B2" w:rsidRPr="00A136B2" w:rsidRDefault="00A136B2" w:rsidP="00A136B2">
            <w:pPr>
              <w:pStyle w:val="ListParagraph"/>
              <w:numPr>
                <w:ilvl w:val="0"/>
                <w:numId w:val="18"/>
              </w:numPr>
              <w:ind w:left="173" w:hanging="173"/>
              <w:rPr>
                <w:rFonts w:ascii="Arial" w:hAnsi="Arial" w:cs="Arial"/>
                <w:sz w:val="18"/>
                <w:szCs w:val="18"/>
                <w:lang w:val="en-US"/>
              </w:rPr>
            </w:pPr>
            <w:r w:rsidRPr="00A136B2">
              <w:rPr>
                <w:rFonts w:ascii="Arial" w:hAnsi="Arial" w:cs="Arial"/>
                <w:sz w:val="18"/>
                <w:szCs w:val="18"/>
                <w:lang w:val="en-US"/>
              </w:rPr>
              <w:t xml:space="preserve">Relevant test and survey records (where applicable) </w:t>
            </w:r>
          </w:p>
        </w:tc>
        <w:tc>
          <w:tcPr>
            <w:tcW w:w="1134" w:type="dxa"/>
            <w:gridSpan w:val="2"/>
          </w:tcPr>
          <w:p w14:paraId="2AC9715F" w14:textId="77777777" w:rsidR="00A136B2" w:rsidRPr="00002E07" w:rsidRDefault="00A136B2" w:rsidP="00002E07">
            <w:pPr>
              <w:rPr>
                <w:rFonts w:ascii="Arial" w:hAnsi="Arial" w:cs="Arial"/>
                <w:sz w:val="18"/>
                <w:szCs w:val="18"/>
                <w:lang w:val="en-US"/>
              </w:rPr>
            </w:pPr>
          </w:p>
        </w:tc>
      </w:tr>
      <w:tr w:rsidR="00A136B2" w:rsidRPr="00E176E1" w14:paraId="5D10A646" w14:textId="2B72A957" w:rsidTr="00002E07">
        <w:trPr>
          <w:trHeight w:val="340"/>
        </w:trPr>
        <w:tc>
          <w:tcPr>
            <w:tcW w:w="851" w:type="dxa"/>
            <w:vAlign w:val="center"/>
          </w:tcPr>
          <w:p w14:paraId="29E32E79" w14:textId="714A94D4" w:rsidR="00A136B2" w:rsidRPr="00351632" w:rsidRDefault="00A136B2" w:rsidP="0030504B">
            <w:pPr>
              <w:jc w:val="center"/>
              <w:rPr>
                <w:rFonts w:ascii="Arial" w:hAnsi="Arial" w:cs="Arial"/>
                <w:sz w:val="20"/>
                <w:lang w:val="en-US"/>
              </w:rPr>
            </w:pPr>
            <w:r>
              <w:rPr>
                <w:rFonts w:ascii="Arial" w:hAnsi="Arial" w:cs="Arial"/>
                <w:sz w:val="20"/>
                <w:lang w:val="en-US"/>
              </w:rPr>
              <w:t>8</w:t>
            </w:r>
          </w:p>
        </w:tc>
        <w:tc>
          <w:tcPr>
            <w:tcW w:w="1418" w:type="dxa"/>
            <w:vAlign w:val="center"/>
          </w:tcPr>
          <w:p w14:paraId="0B7AA12A" w14:textId="49B233E5" w:rsidR="00A136B2" w:rsidRPr="006A6DBE" w:rsidRDefault="00A136B2" w:rsidP="0030504B">
            <w:pPr>
              <w:rPr>
                <w:rFonts w:ascii="Arial" w:hAnsi="Arial" w:cs="Arial"/>
                <w:b/>
                <w:sz w:val="18"/>
                <w:lang w:val="en-US"/>
              </w:rPr>
            </w:pPr>
            <w:r>
              <w:rPr>
                <w:rStyle w:val="normaltextrun"/>
                <w:rFonts w:ascii="Arial" w:eastAsiaTheme="majorEastAsia" w:hAnsi="Arial" w:cs="Arial"/>
                <w:b/>
                <w:bCs/>
                <w:sz w:val="18"/>
                <w:szCs w:val="18"/>
                <w:lang w:val="en-US"/>
              </w:rPr>
              <w:t>Conformity</w:t>
            </w:r>
            <w:r>
              <w:rPr>
                <w:rStyle w:val="eop"/>
                <w:rFonts w:ascii="Arial" w:eastAsiaTheme="majorEastAsia" w:hAnsi="Arial" w:cs="Arial"/>
                <w:sz w:val="18"/>
                <w:szCs w:val="18"/>
              </w:rPr>
              <w:t> </w:t>
            </w:r>
          </w:p>
        </w:tc>
        <w:tc>
          <w:tcPr>
            <w:tcW w:w="1588" w:type="dxa"/>
            <w:gridSpan w:val="2"/>
            <w:vAlign w:val="center"/>
          </w:tcPr>
          <w:p w14:paraId="7A858D7D" w14:textId="547DB853" w:rsidR="00A136B2" w:rsidRPr="006A5447" w:rsidRDefault="00A136B2" w:rsidP="0030504B">
            <w:pPr>
              <w:rPr>
                <w:rFonts w:ascii="Arial" w:hAnsi="Arial" w:cs="Arial"/>
                <w:sz w:val="18"/>
                <w:lang w:val="en-US"/>
              </w:rPr>
            </w:pPr>
            <w:r>
              <w:rPr>
                <w:rStyle w:val="normaltextrun"/>
                <w:rFonts w:ascii="Arial" w:eastAsiaTheme="majorEastAsia" w:hAnsi="Arial" w:cs="Arial"/>
                <w:sz w:val="18"/>
                <w:szCs w:val="18"/>
                <w:lang w:val="en-US"/>
              </w:rPr>
              <w:t>R50 Cl 8</w:t>
            </w:r>
            <w:r>
              <w:rPr>
                <w:rStyle w:val="eop"/>
                <w:rFonts w:ascii="Arial" w:eastAsiaTheme="majorEastAsia" w:hAnsi="Arial" w:cs="Arial"/>
                <w:sz w:val="18"/>
                <w:szCs w:val="18"/>
              </w:rPr>
              <w:t> </w:t>
            </w:r>
          </w:p>
        </w:tc>
        <w:tc>
          <w:tcPr>
            <w:tcW w:w="7229" w:type="dxa"/>
            <w:gridSpan w:val="7"/>
            <w:vAlign w:val="center"/>
          </w:tcPr>
          <w:p w14:paraId="761523B6" w14:textId="77777777" w:rsidR="00A136B2" w:rsidRDefault="00A136B2" w:rsidP="0030504B">
            <w:pPr>
              <w:pStyle w:val="ITP"/>
              <w:divId w:val="892542482"/>
            </w:pPr>
            <w:r>
              <w:rPr>
                <w:rStyle w:val="normaltextrun"/>
                <w:lang w:val="en-US"/>
              </w:rPr>
              <w:t>For insitu mixing, determine the uniformity of mixing across the vertical direction by comparing the added binder content of the top and bottom halves of a test hole as per AS 5101.3.2.</w:t>
            </w:r>
            <w:r>
              <w:rPr>
                <w:rStyle w:val="eop"/>
              </w:rPr>
              <w:t> </w:t>
            </w:r>
          </w:p>
          <w:p w14:paraId="2407FBF9" w14:textId="77777777" w:rsidR="00A136B2" w:rsidRDefault="00A136B2" w:rsidP="0030504B">
            <w:pPr>
              <w:pStyle w:val="ITP"/>
              <w:divId w:val="892542482"/>
            </w:pPr>
            <w:r>
              <w:rPr>
                <w:rStyle w:val="normaltextrun"/>
                <w:lang w:val="en-US"/>
              </w:rPr>
              <w:t>Determine the characteristic relative compaction as per TfNSW R44 Clause 7.3, noting that the sample for determination of the maximum density of the stabilised material in the layer must be taken as soon as practicable after mixing (insitu mixing) or placement (plant mixed), and before compaction. Compact the sample within 3 hours of sampling. The compaction results must conform to the requirements of TfNSW R44</w:t>
            </w:r>
            <w:r>
              <w:rPr>
                <w:rStyle w:val="eop"/>
              </w:rPr>
              <w:t> </w:t>
            </w:r>
          </w:p>
          <w:p w14:paraId="7091EE51" w14:textId="615A46DD" w:rsidR="00A136B2" w:rsidRDefault="00A136B2" w:rsidP="0030504B">
            <w:pPr>
              <w:pStyle w:val="AbergeldieBulleted1"/>
              <w:tabs>
                <w:tab w:val="clear" w:pos="709"/>
                <w:tab w:val="clear" w:pos="1276"/>
              </w:tabs>
              <w:ind w:left="174" w:hanging="174"/>
              <w:rPr>
                <w:sz w:val="18"/>
                <w:lang w:val="en-US"/>
              </w:rPr>
            </w:pPr>
            <w:r>
              <w:rPr>
                <w:rStyle w:val="normaltextrun"/>
                <w:rFonts w:cs="Arial"/>
                <w:sz w:val="18"/>
                <w:szCs w:val="18"/>
                <w:lang w:val="en-US"/>
              </w:rPr>
              <w:t>Where stabilisation is undertaken to meet the CBR and/or PI requirements of TfNSW R44, the stabilised material must conform to these requirements, following completion of stabilisation</w:t>
            </w:r>
            <w:r>
              <w:rPr>
                <w:rStyle w:val="eop"/>
                <w:rFonts w:cs="Arial"/>
                <w:sz w:val="18"/>
                <w:szCs w:val="18"/>
              </w:rPr>
              <w:t> </w:t>
            </w:r>
          </w:p>
        </w:tc>
        <w:tc>
          <w:tcPr>
            <w:tcW w:w="2410" w:type="dxa"/>
            <w:gridSpan w:val="4"/>
            <w:vAlign w:val="center"/>
          </w:tcPr>
          <w:p w14:paraId="297087A6" w14:textId="77777777" w:rsidR="00A136B2" w:rsidRPr="00A136B2" w:rsidRDefault="00A136B2" w:rsidP="00A136B2">
            <w:pPr>
              <w:ind w:left="173" w:hanging="173"/>
              <w:rPr>
                <w:rFonts w:ascii="Arial" w:hAnsi="Arial" w:cs="Arial"/>
                <w:sz w:val="18"/>
                <w:szCs w:val="18"/>
                <w:lang w:val="en-US"/>
              </w:rPr>
            </w:pPr>
          </w:p>
        </w:tc>
        <w:tc>
          <w:tcPr>
            <w:tcW w:w="1134" w:type="dxa"/>
            <w:gridSpan w:val="2"/>
          </w:tcPr>
          <w:p w14:paraId="68D73F87" w14:textId="77777777" w:rsidR="00A136B2" w:rsidRPr="00A136B2" w:rsidRDefault="00A136B2" w:rsidP="00A136B2">
            <w:pPr>
              <w:ind w:left="173" w:hanging="173"/>
              <w:rPr>
                <w:rFonts w:ascii="Arial" w:hAnsi="Arial" w:cs="Arial"/>
                <w:sz w:val="18"/>
                <w:szCs w:val="18"/>
                <w:lang w:val="en-US"/>
              </w:rPr>
            </w:pPr>
          </w:p>
        </w:tc>
      </w:tr>
      <w:tr w:rsidR="00002E07" w:rsidRPr="001F43BB" w14:paraId="758E5D91" w14:textId="77777777" w:rsidTr="00002E07">
        <w:tblPrEx>
          <w:tblLook w:val="04A0" w:firstRow="1" w:lastRow="0" w:firstColumn="1" w:lastColumn="0" w:noHBand="0" w:noVBand="1"/>
        </w:tblPrEx>
        <w:tc>
          <w:tcPr>
            <w:tcW w:w="14630" w:type="dxa"/>
            <w:gridSpan w:val="17"/>
            <w:shd w:val="clear" w:color="auto" w:fill="F2F2F2" w:themeFill="background1" w:themeFillShade="F2"/>
          </w:tcPr>
          <w:p w14:paraId="20DDBC52" w14:textId="77777777" w:rsidR="00002E07" w:rsidRPr="001F43BB" w:rsidRDefault="00002E07" w:rsidP="00574534">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002E07" w:rsidRPr="001F43BB" w14:paraId="1B14E85B" w14:textId="77777777" w:rsidTr="00002E07">
        <w:tblPrEx>
          <w:tblLook w:val="04A0" w:firstRow="1" w:lastRow="0" w:firstColumn="1" w:lastColumn="0" w:noHBand="0" w:noVBand="1"/>
        </w:tblPrEx>
        <w:tc>
          <w:tcPr>
            <w:tcW w:w="3261" w:type="dxa"/>
            <w:gridSpan w:val="3"/>
            <w:shd w:val="clear" w:color="auto" w:fill="F2F2F2" w:themeFill="background1" w:themeFillShade="F2"/>
          </w:tcPr>
          <w:p w14:paraId="71A88453" w14:textId="77777777" w:rsidR="00002E07" w:rsidRPr="001F43BB" w:rsidRDefault="00002E07" w:rsidP="00574534">
            <w:pPr>
              <w:rPr>
                <w:rFonts w:ascii="Arial" w:hAnsi="Arial" w:cs="Arial"/>
                <w:sz w:val="20"/>
                <w:lang w:val="en-US"/>
              </w:rPr>
            </w:pPr>
            <w:r w:rsidRPr="001F43BB">
              <w:rPr>
                <w:rFonts w:ascii="Arial" w:hAnsi="Arial" w:cs="Arial"/>
                <w:sz w:val="20"/>
              </w:rPr>
              <w:t>Any non-conformances?</w:t>
            </w:r>
          </w:p>
        </w:tc>
        <w:tc>
          <w:tcPr>
            <w:tcW w:w="1109" w:type="dxa"/>
            <w:gridSpan w:val="2"/>
          </w:tcPr>
          <w:p w14:paraId="68E95FB5" w14:textId="77777777" w:rsidR="00002E07" w:rsidRPr="001F43BB" w:rsidRDefault="00002E07"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5C0990D2" w14:textId="77777777" w:rsidR="00002E07" w:rsidRPr="001F43BB" w:rsidRDefault="00002E07"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7605C1F8" w14:textId="77777777" w:rsidR="00002E07" w:rsidRPr="001F43BB" w:rsidRDefault="00002E07" w:rsidP="00574534">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55EF46B2" w14:textId="77777777" w:rsidR="00002E07" w:rsidRPr="001F43BB" w:rsidRDefault="00002E07" w:rsidP="00574534">
            <w:pPr>
              <w:rPr>
                <w:rFonts w:ascii="Arial" w:hAnsi="Arial" w:cs="Arial"/>
                <w:sz w:val="20"/>
                <w:lang w:val="en-US"/>
              </w:rPr>
            </w:pPr>
            <w:r w:rsidRPr="001F43BB">
              <w:rPr>
                <w:rFonts w:ascii="Arial" w:hAnsi="Arial" w:cs="Arial"/>
                <w:sz w:val="20"/>
              </w:rPr>
              <w:t xml:space="preserve">Closed Out </w:t>
            </w:r>
          </w:p>
        </w:tc>
        <w:tc>
          <w:tcPr>
            <w:tcW w:w="1575" w:type="dxa"/>
            <w:gridSpan w:val="3"/>
          </w:tcPr>
          <w:p w14:paraId="57780164" w14:textId="77777777" w:rsidR="00002E07" w:rsidRPr="001F43BB" w:rsidRDefault="00002E07"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31DA344B" w14:textId="77777777" w:rsidR="00002E07" w:rsidRPr="001F43BB" w:rsidRDefault="00002E07"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002E07" w14:paraId="3228D369" w14:textId="77777777" w:rsidTr="00002E07">
        <w:tblPrEx>
          <w:tblLook w:val="04A0" w:firstRow="1" w:lastRow="0" w:firstColumn="1" w:lastColumn="0" w:noHBand="0" w:noVBand="1"/>
        </w:tblPrEx>
        <w:tc>
          <w:tcPr>
            <w:tcW w:w="3261" w:type="dxa"/>
            <w:gridSpan w:val="3"/>
            <w:shd w:val="clear" w:color="auto" w:fill="F2F2F2" w:themeFill="background1" w:themeFillShade="F2"/>
          </w:tcPr>
          <w:p w14:paraId="0C22AD00" w14:textId="77777777" w:rsidR="00002E07" w:rsidRDefault="00002E07" w:rsidP="00574534">
            <w:pPr>
              <w:rPr>
                <w:rFonts w:ascii="Arial" w:hAnsi="Arial" w:cs="Arial"/>
                <w:sz w:val="20"/>
              </w:rPr>
            </w:pPr>
            <w:r>
              <w:rPr>
                <w:rFonts w:ascii="Arial" w:hAnsi="Arial" w:cs="Arial"/>
                <w:sz w:val="20"/>
              </w:rPr>
              <w:t>Other QA details – NCRs, CARs, Identified Records etc</w:t>
            </w:r>
          </w:p>
          <w:p w14:paraId="2953867C" w14:textId="77777777" w:rsidR="00002E07" w:rsidRPr="001F43BB" w:rsidRDefault="00002E07" w:rsidP="00574534">
            <w:pPr>
              <w:rPr>
                <w:rFonts w:ascii="Arial" w:hAnsi="Arial" w:cs="Arial"/>
                <w:sz w:val="20"/>
              </w:rPr>
            </w:pPr>
          </w:p>
        </w:tc>
        <w:tc>
          <w:tcPr>
            <w:tcW w:w="11369" w:type="dxa"/>
            <w:gridSpan w:val="14"/>
          </w:tcPr>
          <w:p w14:paraId="045B0058" w14:textId="77777777" w:rsidR="00002E07" w:rsidRDefault="00002E07" w:rsidP="00574534">
            <w:pPr>
              <w:rPr>
                <w:rFonts w:ascii="Arial" w:hAnsi="Arial" w:cs="Arial"/>
                <w:sz w:val="20"/>
              </w:rPr>
            </w:pPr>
          </w:p>
        </w:tc>
      </w:tr>
      <w:tr w:rsidR="00002E07" w:rsidRPr="001F43BB" w14:paraId="5404D3CD" w14:textId="77777777" w:rsidTr="00002E07">
        <w:tblPrEx>
          <w:tblLook w:val="04A0" w:firstRow="1" w:lastRow="0" w:firstColumn="1" w:lastColumn="0" w:noHBand="0" w:noVBand="1"/>
        </w:tblPrEx>
        <w:trPr>
          <w:trHeight w:val="196"/>
        </w:trPr>
        <w:tc>
          <w:tcPr>
            <w:tcW w:w="5056" w:type="dxa"/>
            <w:gridSpan w:val="6"/>
            <w:shd w:val="clear" w:color="auto" w:fill="F2F2F2" w:themeFill="background1" w:themeFillShade="F2"/>
          </w:tcPr>
          <w:p w14:paraId="634339C3" w14:textId="77777777" w:rsidR="00002E07" w:rsidRPr="001F43BB" w:rsidRDefault="00002E07" w:rsidP="00574534">
            <w:pPr>
              <w:rPr>
                <w:rFonts w:ascii="Arial" w:hAnsi="Arial" w:cs="Arial"/>
                <w:sz w:val="20"/>
                <w:lang w:val="en-US"/>
              </w:rPr>
            </w:pPr>
            <w:r w:rsidRPr="001F43BB">
              <w:rPr>
                <w:rFonts w:ascii="Arial" w:hAnsi="Arial" w:cs="Arial"/>
                <w:sz w:val="20"/>
              </w:rPr>
              <w:t>All work has been satisfactorily completed</w:t>
            </w:r>
          </w:p>
        </w:tc>
        <w:tc>
          <w:tcPr>
            <w:tcW w:w="4300" w:type="dxa"/>
            <w:gridSpan w:val="3"/>
          </w:tcPr>
          <w:p w14:paraId="250BC6C8" w14:textId="77777777" w:rsidR="00002E07" w:rsidRPr="001F43BB" w:rsidRDefault="00002E07"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4FD5B16F" w14:textId="77777777" w:rsidR="00002E07" w:rsidRPr="001F43BB" w:rsidRDefault="00002E07"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002E07" w:rsidRPr="001F43BB" w14:paraId="36CA259A" w14:textId="77777777" w:rsidTr="00002E07">
        <w:tblPrEx>
          <w:tblLook w:val="04A0" w:firstRow="1" w:lastRow="0" w:firstColumn="1" w:lastColumn="0" w:noHBand="0" w:noVBand="1"/>
        </w:tblPrEx>
        <w:trPr>
          <w:trHeight w:val="218"/>
        </w:trPr>
        <w:tc>
          <w:tcPr>
            <w:tcW w:w="7711" w:type="dxa"/>
            <w:gridSpan w:val="8"/>
          </w:tcPr>
          <w:p w14:paraId="583E4F90" w14:textId="77777777" w:rsidR="00002E07" w:rsidRPr="001F43BB" w:rsidRDefault="00002E07" w:rsidP="00574534">
            <w:pPr>
              <w:rPr>
                <w:rFonts w:ascii="Arial" w:hAnsi="Arial" w:cs="Arial"/>
                <w:sz w:val="20"/>
                <w:lang w:val="en-US"/>
              </w:rPr>
            </w:pPr>
            <w:r w:rsidRPr="001F43BB">
              <w:rPr>
                <w:rFonts w:ascii="Arial" w:hAnsi="Arial" w:cs="Arial"/>
                <w:sz w:val="20"/>
                <w:lang w:val="en-US"/>
              </w:rPr>
              <w:t xml:space="preserve">Name </w:t>
            </w:r>
          </w:p>
        </w:tc>
        <w:tc>
          <w:tcPr>
            <w:tcW w:w="3495" w:type="dxa"/>
            <w:gridSpan w:val="4"/>
          </w:tcPr>
          <w:p w14:paraId="697F3D53" w14:textId="77777777" w:rsidR="00002E07" w:rsidRPr="001F43BB" w:rsidRDefault="00002E07" w:rsidP="00574534">
            <w:pPr>
              <w:rPr>
                <w:rFonts w:ascii="Arial" w:hAnsi="Arial" w:cs="Arial"/>
                <w:sz w:val="20"/>
                <w:lang w:val="en-US"/>
              </w:rPr>
            </w:pPr>
            <w:r w:rsidRPr="001F43BB">
              <w:rPr>
                <w:rFonts w:ascii="Arial" w:hAnsi="Arial" w:cs="Arial"/>
                <w:sz w:val="20"/>
                <w:lang w:val="en-US"/>
              </w:rPr>
              <w:t>Signature</w:t>
            </w:r>
          </w:p>
        </w:tc>
        <w:tc>
          <w:tcPr>
            <w:tcW w:w="1170" w:type="dxa"/>
            <w:gridSpan w:val="2"/>
          </w:tcPr>
          <w:p w14:paraId="51607636" w14:textId="77777777" w:rsidR="00002E07" w:rsidRPr="001F43BB" w:rsidRDefault="00002E07" w:rsidP="00574534">
            <w:pPr>
              <w:rPr>
                <w:rFonts w:ascii="Arial" w:hAnsi="Arial" w:cs="Arial"/>
                <w:sz w:val="20"/>
                <w:lang w:val="en-US"/>
              </w:rPr>
            </w:pPr>
            <w:r w:rsidRPr="001F43BB">
              <w:rPr>
                <w:rFonts w:ascii="Arial" w:hAnsi="Arial" w:cs="Arial"/>
                <w:sz w:val="20"/>
                <w:lang w:val="en-US"/>
              </w:rPr>
              <w:t>Date</w:t>
            </w:r>
          </w:p>
        </w:tc>
        <w:tc>
          <w:tcPr>
            <w:tcW w:w="2254" w:type="dxa"/>
            <w:gridSpan w:val="3"/>
          </w:tcPr>
          <w:p w14:paraId="7CA3E662" w14:textId="77777777" w:rsidR="00002E07" w:rsidRPr="001F43BB" w:rsidRDefault="00002E07" w:rsidP="00574534">
            <w:pPr>
              <w:rPr>
                <w:rFonts w:ascii="Arial" w:hAnsi="Arial" w:cs="Arial"/>
                <w:sz w:val="20"/>
                <w:lang w:val="en-US"/>
              </w:rPr>
            </w:pPr>
          </w:p>
        </w:tc>
      </w:tr>
    </w:tbl>
    <w:p w14:paraId="095260C5" w14:textId="77777777" w:rsidR="0068793F" w:rsidRPr="001F43BB" w:rsidRDefault="0068793F" w:rsidP="00801DDF">
      <w:pPr>
        <w:tabs>
          <w:tab w:val="left" w:pos="0"/>
        </w:tabs>
        <w:rPr>
          <w:sz w:val="20"/>
        </w:rPr>
      </w:pPr>
    </w:p>
    <w:sectPr w:rsidR="0068793F" w:rsidRPr="001F43BB" w:rsidSect="00A7045F">
      <w:headerReference w:type="default" r:id="rId11"/>
      <w:footerReference w:type="default" r:id="rId12"/>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402F" w14:textId="77777777" w:rsidR="000B0E0B" w:rsidRDefault="000B0E0B" w:rsidP="00BB5C4F">
      <w:r>
        <w:separator/>
      </w:r>
    </w:p>
  </w:endnote>
  <w:endnote w:type="continuationSeparator" w:id="0">
    <w:p w14:paraId="438C232B" w14:textId="77777777" w:rsidR="000B0E0B" w:rsidRDefault="000B0E0B"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E5F8E" w14:textId="77777777" w:rsidR="000B0E0B" w:rsidRDefault="000B0E0B" w:rsidP="00BB5C4F">
      <w:r>
        <w:separator/>
      </w:r>
    </w:p>
  </w:footnote>
  <w:footnote w:type="continuationSeparator" w:id="0">
    <w:p w14:paraId="0F20240D" w14:textId="77777777" w:rsidR="000B0E0B" w:rsidRDefault="000B0E0B"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05pt;height:30.85pt">
                <v:imagedata r:id="rId1" o:title=""/>
              </v:shape>
              <o:OLEObject Type="Embed" ProgID="PBrush" ShapeID="_x0000_i1025" DrawAspect="Content" ObjectID="_1739604878" r:id="rId2"/>
            </w:object>
          </w:r>
        </w:p>
      </w:tc>
      <w:tc>
        <w:tcPr>
          <w:tcW w:w="3313" w:type="pct"/>
          <w:tcBorders>
            <w:bottom w:val="single" w:sz="24" w:space="0" w:color="404040" w:themeColor="text1" w:themeTint="BF"/>
          </w:tcBorders>
          <w:shd w:val="clear" w:color="auto" w:fill="auto"/>
          <w:vAlign w:val="center"/>
        </w:tcPr>
        <w:p w14:paraId="095260CB" w14:textId="21829C76"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A136B2">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073"/>
    <w:multiLevelType w:val="multilevel"/>
    <w:tmpl w:val="9836F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0284587"/>
    <w:multiLevelType w:val="multilevel"/>
    <w:tmpl w:val="39361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9B83368"/>
    <w:multiLevelType w:val="multilevel"/>
    <w:tmpl w:val="CCC06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1" w15:restartNumberingAfterBreak="0">
    <w:nsid w:val="4B2D4810"/>
    <w:multiLevelType w:val="multilevel"/>
    <w:tmpl w:val="83F6E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D6226"/>
    <w:multiLevelType w:val="multilevel"/>
    <w:tmpl w:val="4C4A1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05D0C84"/>
    <w:multiLevelType w:val="multilevel"/>
    <w:tmpl w:val="8A182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7"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8"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abstractNum w:abstractNumId="21" w15:restartNumberingAfterBreak="0">
    <w:nsid w:val="7E46292A"/>
    <w:multiLevelType w:val="hybridMultilevel"/>
    <w:tmpl w:val="6E80BC3E"/>
    <w:lvl w:ilvl="0" w:tplc="870AEEE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26968926">
    <w:abstractNumId w:val="8"/>
  </w:num>
  <w:num w:numId="2" w16cid:durableId="1508206052">
    <w:abstractNumId w:val="19"/>
  </w:num>
  <w:num w:numId="3" w16cid:durableId="1440954274">
    <w:abstractNumId w:val="17"/>
  </w:num>
  <w:num w:numId="4" w16cid:durableId="1352217895">
    <w:abstractNumId w:val="14"/>
  </w:num>
  <w:num w:numId="5" w16cid:durableId="1394155789">
    <w:abstractNumId w:val="16"/>
  </w:num>
  <w:num w:numId="6" w16cid:durableId="665597160">
    <w:abstractNumId w:val="20"/>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1"/>
  </w:num>
  <w:num w:numId="8" w16cid:durableId="2122872598">
    <w:abstractNumId w:val="2"/>
  </w:num>
  <w:num w:numId="9" w16cid:durableId="1410343555">
    <w:abstractNumId w:val="3"/>
  </w:num>
  <w:num w:numId="10" w16cid:durableId="1815752747">
    <w:abstractNumId w:val="18"/>
  </w:num>
  <w:num w:numId="11" w16cid:durableId="1391272324">
    <w:abstractNumId w:val="5"/>
  </w:num>
  <w:num w:numId="12" w16cid:durableId="1046562674">
    <w:abstractNumId w:val="13"/>
  </w:num>
  <w:num w:numId="13" w16cid:durableId="1337535100">
    <w:abstractNumId w:val="17"/>
  </w:num>
  <w:num w:numId="14" w16cid:durableId="1929189344">
    <w:abstractNumId w:val="9"/>
  </w:num>
  <w:num w:numId="15" w16cid:durableId="356010127">
    <w:abstractNumId w:val="7"/>
  </w:num>
  <w:num w:numId="16" w16cid:durableId="1229146773">
    <w:abstractNumId w:val="10"/>
  </w:num>
  <w:num w:numId="17" w16cid:durableId="433282979">
    <w:abstractNumId w:val="15"/>
  </w:num>
  <w:num w:numId="18" w16cid:durableId="1776510780">
    <w:abstractNumId w:val="21"/>
  </w:num>
  <w:num w:numId="19" w16cid:durableId="1004167897">
    <w:abstractNumId w:val="4"/>
  </w:num>
  <w:num w:numId="20" w16cid:durableId="1449540757">
    <w:abstractNumId w:val="11"/>
  </w:num>
  <w:num w:numId="21" w16cid:durableId="85002381">
    <w:abstractNumId w:val="6"/>
  </w:num>
  <w:num w:numId="22" w16cid:durableId="1211308099">
    <w:abstractNumId w:val="0"/>
  </w:num>
  <w:num w:numId="23" w16cid:durableId="581839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2E07"/>
    <w:rsid w:val="000057F9"/>
    <w:rsid w:val="00010558"/>
    <w:rsid w:val="00017B4C"/>
    <w:rsid w:val="00023E69"/>
    <w:rsid w:val="0002492C"/>
    <w:rsid w:val="00032EB3"/>
    <w:rsid w:val="00047BA1"/>
    <w:rsid w:val="00052E89"/>
    <w:rsid w:val="000572A7"/>
    <w:rsid w:val="00061AA6"/>
    <w:rsid w:val="00061CD4"/>
    <w:rsid w:val="00064E3A"/>
    <w:rsid w:val="0006765A"/>
    <w:rsid w:val="0008660C"/>
    <w:rsid w:val="0008733E"/>
    <w:rsid w:val="00092A62"/>
    <w:rsid w:val="000A09CF"/>
    <w:rsid w:val="000A7BC4"/>
    <w:rsid w:val="000B0E0B"/>
    <w:rsid w:val="000B2295"/>
    <w:rsid w:val="000C19C9"/>
    <w:rsid w:val="000E3651"/>
    <w:rsid w:val="000F24C7"/>
    <w:rsid w:val="000F6727"/>
    <w:rsid w:val="0012678C"/>
    <w:rsid w:val="00142313"/>
    <w:rsid w:val="00152AAD"/>
    <w:rsid w:val="00156EF8"/>
    <w:rsid w:val="00156F5A"/>
    <w:rsid w:val="00162B58"/>
    <w:rsid w:val="00176FA9"/>
    <w:rsid w:val="00197A70"/>
    <w:rsid w:val="001A58F7"/>
    <w:rsid w:val="001A6D25"/>
    <w:rsid w:val="001C66FC"/>
    <w:rsid w:val="001D40E6"/>
    <w:rsid w:val="001E1CD8"/>
    <w:rsid w:val="001F43BB"/>
    <w:rsid w:val="00202542"/>
    <w:rsid w:val="00241F2D"/>
    <w:rsid w:val="00245EBA"/>
    <w:rsid w:val="0025416B"/>
    <w:rsid w:val="00255BB5"/>
    <w:rsid w:val="00256CC3"/>
    <w:rsid w:val="002606EC"/>
    <w:rsid w:val="00266BBF"/>
    <w:rsid w:val="0027601E"/>
    <w:rsid w:val="00283CA3"/>
    <w:rsid w:val="00286019"/>
    <w:rsid w:val="00290CF4"/>
    <w:rsid w:val="00293794"/>
    <w:rsid w:val="002B5F7C"/>
    <w:rsid w:val="002D2198"/>
    <w:rsid w:val="002D5A2E"/>
    <w:rsid w:val="002D71A7"/>
    <w:rsid w:val="002F16A5"/>
    <w:rsid w:val="002F3617"/>
    <w:rsid w:val="002F5E13"/>
    <w:rsid w:val="002F6D7E"/>
    <w:rsid w:val="002F7C53"/>
    <w:rsid w:val="002F7D6C"/>
    <w:rsid w:val="0030504B"/>
    <w:rsid w:val="00310486"/>
    <w:rsid w:val="003157AB"/>
    <w:rsid w:val="00321F24"/>
    <w:rsid w:val="00325903"/>
    <w:rsid w:val="00326094"/>
    <w:rsid w:val="003274BC"/>
    <w:rsid w:val="00330880"/>
    <w:rsid w:val="00331CA8"/>
    <w:rsid w:val="00332137"/>
    <w:rsid w:val="00340358"/>
    <w:rsid w:val="003433F9"/>
    <w:rsid w:val="00351632"/>
    <w:rsid w:val="00352528"/>
    <w:rsid w:val="0035472A"/>
    <w:rsid w:val="0035765E"/>
    <w:rsid w:val="00360DA1"/>
    <w:rsid w:val="0037093D"/>
    <w:rsid w:val="0037516F"/>
    <w:rsid w:val="00380C25"/>
    <w:rsid w:val="00384027"/>
    <w:rsid w:val="003863DC"/>
    <w:rsid w:val="0038758A"/>
    <w:rsid w:val="003A0674"/>
    <w:rsid w:val="003A23F4"/>
    <w:rsid w:val="003A6A46"/>
    <w:rsid w:val="003B09C7"/>
    <w:rsid w:val="003B3201"/>
    <w:rsid w:val="003C25E9"/>
    <w:rsid w:val="003C324A"/>
    <w:rsid w:val="003D5857"/>
    <w:rsid w:val="003D5903"/>
    <w:rsid w:val="003D7475"/>
    <w:rsid w:val="003E744F"/>
    <w:rsid w:val="00404CF3"/>
    <w:rsid w:val="00406CA4"/>
    <w:rsid w:val="00415938"/>
    <w:rsid w:val="004243D1"/>
    <w:rsid w:val="00424824"/>
    <w:rsid w:val="00426756"/>
    <w:rsid w:val="0043063D"/>
    <w:rsid w:val="0043341A"/>
    <w:rsid w:val="0043370A"/>
    <w:rsid w:val="004475AC"/>
    <w:rsid w:val="00453957"/>
    <w:rsid w:val="00455F8D"/>
    <w:rsid w:val="00460AC6"/>
    <w:rsid w:val="0046698A"/>
    <w:rsid w:val="00477C5B"/>
    <w:rsid w:val="004948AD"/>
    <w:rsid w:val="004A2741"/>
    <w:rsid w:val="004A61AA"/>
    <w:rsid w:val="004B7403"/>
    <w:rsid w:val="004C67F7"/>
    <w:rsid w:val="004D4719"/>
    <w:rsid w:val="004D6709"/>
    <w:rsid w:val="004E64B6"/>
    <w:rsid w:val="004F3D40"/>
    <w:rsid w:val="0050199F"/>
    <w:rsid w:val="00505E33"/>
    <w:rsid w:val="00517B03"/>
    <w:rsid w:val="00521662"/>
    <w:rsid w:val="0053493B"/>
    <w:rsid w:val="00535564"/>
    <w:rsid w:val="00537BAD"/>
    <w:rsid w:val="00541A58"/>
    <w:rsid w:val="00543160"/>
    <w:rsid w:val="00551536"/>
    <w:rsid w:val="00555DA7"/>
    <w:rsid w:val="00557E55"/>
    <w:rsid w:val="00576472"/>
    <w:rsid w:val="00576875"/>
    <w:rsid w:val="00577215"/>
    <w:rsid w:val="0059384E"/>
    <w:rsid w:val="00595480"/>
    <w:rsid w:val="005B7395"/>
    <w:rsid w:val="005B7ED5"/>
    <w:rsid w:val="005D2ECA"/>
    <w:rsid w:val="005E1435"/>
    <w:rsid w:val="00601F51"/>
    <w:rsid w:val="0061235C"/>
    <w:rsid w:val="00614999"/>
    <w:rsid w:val="006170B4"/>
    <w:rsid w:val="00623E85"/>
    <w:rsid w:val="00646784"/>
    <w:rsid w:val="006645D2"/>
    <w:rsid w:val="0066747F"/>
    <w:rsid w:val="00677E73"/>
    <w:rsid w:val="0068793F"/>
    <w:rsid w:val="006A5447"/>
    <w:rsid w:val="006A6DBE"/>
    <w:rsid w:val="006C4CA0"/>
    <w:rsid w:val="006C5CCC"/>
    <w:rsid w:val="006C65E7"/>
    <w:rsid w:val="006D15D3"/>
    <w:rsid w:val="006D38A7"/>
    <w:rsid w:val="006D4603"/>
    <w:rsid w:val="006D5779"/>
    <w:rsid w:val="006D6AF8"/>
    <w:rsid w:val="006E1D75"/>
    <w:rsid w:val="006F49A5"/>
    <w:rsid w:val="006F6A2C"/>
    <w:rsid w:val="0070478B"/>
    <w:rsid w:val="00707B7E"/>
    <w:rsid w:val="00714C2E"/>
    <w:rsid w:val="00715AEA"/>
    <w:rsid w:val="00721544"/>
    <w:rsid w:val="00721B04"/>
    <w:rsid w:val="007234FD"/>
    <w:rsid w:val="00727A93"/>
    <w:rsid w:val="00733798"/>
    <w:rsid w:val="0073658A"/>
    <w:rsid w:val="007378F4"/>
    <w:rsid w:val="00737F91"/>
    <w:rsid w:val="0074287E"/>
    <w:rsid w:val="007514B0"/>
    <w:rsid w:val="00756DE8"/>
    <w:rsid w:val="00771FF1"/>
    <w:rsid w:val="007947FE"/>
    <w:rsid w:val="007A1147"/>
    <w:rsid w:val="007B7619"/>
    <w:rsid w:val="007F029B"/>
    <w:rsid w:val="007F2A32"/>
    <w:rsid w:val="00800C8E"/>
    <w:rsid w:val="00801DDF"/>
    <w:rsid w:val="00810387"/>
    <w:rsid w:val="00817E8B"/>
    <w:rsid w:val="00820159"/>
    <w:rsid w:val="00824A18"/>
    <w:rsid w:val="00831158"/>
    <w:rsid w:val="0083252A"/>
    <w:rsid w:val="00837700"/>
    <w:rsid w:val="00840972"/>
    <w:rsid w:val="00840FF9"/>
    <w:rsid w:val="008619CD"/>
    <w:rsid w:val="00883CA6"/>
    <w:rsid w:val="008A3FD6"/>
    <w:rsid w:val="008A77E5"/>
    <w:rsid w:val="008B5848"/>
    <w:rsid w:val="008C54CE"/>
    <w:rsid w:val="008D5B5F"/>
    <w:rsid w:val="008F1386"/>
    <w:rsid w:val="00900768"/>
    <w:rsid w:val="00903D4E"/>
    <w:rsid w:val="009055FB"/>
    <w:rsid w:val="00911EDA"/>
    <w:rsid w:val="00916349"/>
    <w:rsid w:val="00931DE8"/>
    <w:rsid w:val="009408E1"/>
    <w:rsid w:val="0096515E"/>
    <w:rsid w:val="00967909"/>
    <w:rsid w:val="00975D1C"/>
    <w:rsid w:val="009872B9"/>
    <w:rsid w:val="009A0276"/>
    <w:rsid w:val="009A6F70"/>
    <w:rsid w:val="009B20B8"/>
    <w:rsid w:val="009B35AF"/>
    <w:rsid w:val="009C427C"/>
    <w:rsid w:val="009C489E"/>
    <w:rsid w:val="009F1E2C"/>
    <w:rsid w:val="00A03DA9"/>
    <w:rsid w:val="00A11DEA"/>
    <w:rsid w:val="00A136B2"/>
    <w:rsid w:val="00A17C2F"/>
    <w:rsid w:val="00A21316"/>
    <w:rsid w:val="00A240CD"/>
    <w:rsid w:val="00A33240"/>
    <w:rsid w:val="00A34AAF"/>
    <w:rsid w:val="00A358D4"/>
    <w:rsid w:val="00A4084B"/>
    <w:rsid w:val="00A40F67"/>
    <w:rsid w:val="00A44CA9"/>
    <w:rsid w:val="00A45C8A"/>
    <w:rsid w:val="00A463DB"/>
    <w:rsid w:val="00A4798D"/>
    <w:rsid w:val="00A524CD"/>
    <w:rsid w:val="00A52B0E"/>
    <w:rsid w:val="00A53E75"/>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32CA"/>
    <w:rsid w:val="00AE0EC4"/>
    <w:rsid w:val="00AF04E8"/>
    <w:rsid w:val="00AF127A"/>
    <w:rsid w:val="00AF7DEA"/>
    <w:rsid w:val="00B00A95"/>
    <w:rsid w:val="00B02CD2"/>
    <w:rsid w:val="00B10EDC"/>
    <w:rsid w:val="00B238F3"/>
    <w:rsid w:val="00B355AC"/>
    <w:rsid w:val="00B35B83"/>
    <w:rsid w:val="00B36A47"/>
    <w:rsid w:val="00B46BA0"/>
    <w:rsid w:val="00B62C94"/>
    <w:rsid w:val="00B80D1A"/>
    <w:rsid w:val="00B8156B"/>
    <w:rsid w:val="00B82672"/>
    <w:rsid w:val="00B866E3"/>
    <w:rsid w:val="00B86EE5"/>
    <w:rsid w:val="00B905F6"/>
    <w:rsid w:val="00B92092"/>
    <w:rsid w:val="00BA3C68"/>
    <w:rsid w:val="00BB2187"/>
    <w:rsid w:val="00BB373A"/>
    <w:rsid w:val="00BB5C4F"/>
    <w:rsid w:val="00BB707F"/>
    <w:rsid w:val="00BB7171"/>
    <w:rsid w:val="00BD6092"/>
    <w:rsid w:val="00BD6DFA"/>
    <w:rsid w:val="00BE19B6"/>
    <w:rsid w:val="00BF3291"/>
    <w:rsid w:val="00BF7F43"/>
    <w:rsid w:val="00C00B9C"/>
    <w:rsid w:val="00C03A14"/>
    <w:rsid w:val="00C0539E"/>
    <w:rsid w:val="00C16409"/>
    <w:rsid w:val="00C16812"/>
    <w:rsid w:val="00C3418B"/>
    <w:rsid w:val="00C373AA"/>
    <w:rsid w:val="00C53166"/>
    <w:rsid w:val="00C57162"/>
    <w:rsid w:val="00C62515"/>
    <w:rsid w:val="00C63501"/>
    <w:rsid w:val="00C637F2"/>
    <w:rsid w:val="00C8156A"/>
    <w:rsid w:val="00C822BD"/>
    <w:rsid w:val="00CA225E"/>
    <w:rsid w:val="00CA478A"/>
    <w:rsid w:val="00CB3DBB"/>
    <w:rsid w:val="00CC0A64"/>
    <w:rsid w:val="00CC58B7"/>
    <w:rsid w:val="00CD0B22"/>
    <w:rsid w:val="00CD6120"/>
    <w:rsid w:val="00CE1096"/>
    <w:rsid w:val="00CE47ED"/>
    <w:rsid w:val="00CE71C6"/>
    <w:rsid w:val="00CE72EE"/>
    <w:rsid w:val="00CF1766"/>
    <w:rsid w:val="00CF710E"/>
    <w:rsid w:val="00D07B3C"/>
    <w:rsid w:val="00D4381B"/>
    <w:rsid w:val="00D5563A"/>
    <w:rsid w:val="00D678F5"/>
    <w:rsid w:val="00D726B3"/>
    <w:rsid w:val="00D7643E"/>
    <w:rsid w:val="00D83201"/>
    <w:rsid w:val="00D91D59"/>
    <w:rsid w:val="00DA4166"/>
    <w:rsid w:val="00DB003F"/>
    <w:rsid w:val="00DC1282"/>
    <w:rsid w:val="00DC2E65"/>
    <w:rsid w:val="00DC3EB5"/>
    <w:rsid w:val="00DD576B"/>
    <w:rsid w:val="00E014BC"/>
    <w:rsid w:val="00E01B3B"/>
    <w:rsid w:val="00E07BC1"/>
    <w:rsid w:val="00E22DB8"/>
    <w:rsid w:val="00E272F4"/>
    <w:rsid w:val="00E347EA"/>
    <w:rsid w:val="00E377C1"/>
    <w:rsid w:val="00E63040"/>
    <w:rsid w:val="00E65062"/>
    <w:rsid w:val="00E67110"/>
    <w:rsid w:val="00E73603"/>
    <w:rsid w:val="00E8098B"/>
    <w:rsid w:val="00E943AD"/>
    <w:rsid w:val="00E94BFE"/>
    <w:rsid w:val="00E96320"/>
    <w:rsid w:val="00EA07D2"/>
    <w:rsid w:val="00EB714F"/>
    <w:rsid w:val="00EC3918"/>
    <w:rsid w:val="00EC3AB4"/>
    <w:rsid w:val="00ED492A"/>
    <w:rsid w:val="00EF71E6"/>
    <w:rsid w:val="00F06E0E"/>
    <w:rsid w:val="00F07A98"/>
    <w:rsid w:val="00F2160F"/>
    <w:rsid w:val="00F36EBD"/>
    <w:rsid w:val="00F42306"/>
    <w:rsid w:val="00F456FD"/>
    <w:rsid w:val="00F55383"/>
    <w:rsid w:val="00F653FA"/>
    <w:rsid w:val="00FA0EB0"/>
    <w:rsid w:val="00FA180B"/>
    <w:rsid w:val="00FA2021"/>
    <w:rsid w:val="00FA5785"/>
    <w:rsid w:val="00FB3CD2"/>
    <w:rsid w:val="00FC1CCD"/>
    <w:rsid w:val="00FC3C82"/>
    <w:rsid w:val="00FC703F"/>
    <w:rsid w:val="00FD1CB5"/>
    <w:rsid w:val="00FD4FEC"/>
    <w:rsid w:val="00FD674E"/>
    <w:rsid w:val="00FE2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8F1386"/>
  </w:style>
  <w:style w:type="character" w:customStyle="1" w:styleId="eop">
    <w:name w:val="eop"/>
    <w:basedOn w:val="DefaultParagraphFont"/>
    <w:rsid w:val="008F1386"/>
  </w:style>
  <w:style w:type="paragraph" w:customStyle="1" w:styleId="paragraph">
    <w:name w:val="paragraph"/>
    <w:basedOn w:val="Normal"/>
    <w:rsid w:val="008F1386"/>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9269">
      <w:bodyDiv w:val="1"/>
      <w:marLeft w:val="0"/>
      <w:marRight w:val="0"/>
      <w:marTop w:val="0"/>
      <w:marBottom w:val="0"/>
      <w:divBdr>
        <w:top w:val="none" w:sz="0" w:space="0" w:color="auto"/>
        <w:left w:val="none" w:sz="0" w:space="0" w:color="auto"/>
        <w:bottom w:val="none" w:sz="0" w:space="0" w:color="auto"/>
        <w:right w:val="none" w:sz="0" w:space="0" w:color="auto"/>
      </w:divBdr>
      <w:divsChild>
        <w:div w:id="562057616">
          <w:marLeft w:val="0"/>
          <w:marRight w:val="0"/>
          <w:marTop w:val="0"/>
          <w:marBottom w:val="0"/>
          <w:divBdr>
            <w:top w:val="none" w:sz="0" w:space="0" w:color="auto"/>
            <w:left w:val="none" w:sz="0" w:space="0" w:color="auto"/>
            <w:bottom w:val="none" w:sz="0" w:space="0" w:color="auto"/>
            <w:right w:val="none" w:sz="0" w:space="0" w:color="auto"/>
          </w:divBdr>
          <w:divsChild>
            <w:div w:id="8925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60801">
      <w:bodyDiv w:val="1"/>
      <w:marLeft w:val="0"/>
      <w:marRight w:val="0"/>
      <w:marTop w:val="0"/>
      <w:marBottom w:val="0"/>
      <w:divBdr>
        <w:top w:val="none" w:sz="0" w:space="0" w:color="auto"/>
        <w:left w:val="none" w:sz="0" w:space="0" w:color="auto"/>
        <w:bottom w:val="none" w:sz="0" w:space="0" w:color="auto"/>
        <w:right w:val="none" w:sz="0" w:space="0" w:color="auto"/>
      </w:divBdr>
      <w:divsChild>
        <w:div w:id="1486894638">
          <w:marLeft w:val="0"/>
          <w:marRight w:val="0"/>
          <w:marTop w:val="0"/>
          <w:marBottom w:val="0"/>
          <w:divBdr>
            <w:top w:val="none" w:sz="0" w:space="0" w:color="auto"/>
            <w:left w:val="none" w:sz="0" w:space="0" w:color="auto"/>
            <w:bottom w:val="none" w:sz="0" w:space="0" w:color="auto"/>
            <w:right w:val="none" w:sz="0" w:space="0" w:color="auto"/>
          </w:divBdr>
          <w:divsChild>
            <w:div w:id="19114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606">
      <w:bodyDiv w:val="1"/>
      <w:marLeft w:val="0"/>
      <w:marRight w:val="0"/>
      <w:marTop w:val="0"/>
      <w:marBottom w:val="0"/>
      <w:divBdr>
        <w:top w:val="none" w:sz="0" w:space="0" w:color="auto"/>
        <w:left w:val="none" w:sz="0" w:space="0" w:color="auto"/>
        <w:bottom w:val="none" w:sz="0" w:space="0" w:color="auto"/>
        <w:right w:val="none" w:sz="0" w:space="0" w:color="auto"/>
      </w:divBdr>
      <w:divsChild>
        <w:div w:id="73860414">
          <w:marLeft w:val="0"/>
          <w:marRight w:val="0"/>
          <w:marTop w:val="0"/>
          <w:marBottom w:val="0"/>
          <w:divBdr>
            <w:top w:val="none" w:sz="0" w:space="0" w:color="auto"/>
            <w:left w:val="none" w:sz="0" w:space="0" w:color="auto"/>
            <w:bottom w:val="none" w:sz="0" w:space="0" w:color="auto"/>
            <w:right w:val="none" w:sz="0" w:space="0" w:color="auto"/>
          </w:divBdr>
          <w:divsChild>
            <w:div w:id="1549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0995">
      <w:bodyDiv w:val="1"/>
      <w:marLeft w:val="0"/>
      <w:marRight w:val="0"/>
      <w:marTop w:val="0"/>
      <w:marBottom w:val="0"/>
      <w:divBdr>
        <w:top w:val="none" w:sz="0" w:space="0" w:color="auto"/>
        <w:left w:val="none" w:sz="0" w:space="0" w:color="auto"/>
        <w:bottom w:val="none" w:sz="0" w:space="0" w:color="auto"/>
        <w:right w:val="none" w:sz="0" w:space="0" w:color="auto"/>
      </w:divBdr>
      <w:divsChild>
        <w:div w:id="525409903">
          <w:marLeft w:val="0"/>
          <w:marRight w:val="0"/>
          <w:marTop w:val="0"/>
          <w:marBottom w:val="0"/>
          <w:divBdr>
            <w:top w:val="none" w:sz="0" w:space="0" w:color="auto"/>
            <w:left w:val="none" w:sz="0" w:space="0" w:color="auto"/>
            <w:bottom w:val="none" w:sz="0" w:space="0" w:color="auto"/>
            <w:right w:val="none" w:sz="0" w:space="0" w:color="auto"/>
          </w:divBdr>
          <w:divsChild>
            <w:div w:id="2024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3483">
      <w:bodyDiv w:val="1"/>
      <w:marLeft w:val="0"/>
      <w:marRight w:val="0"/>
      <w:marTop w:val="0"/>
      <w:marBottom w:val="0"/>
      <w:divBdr>
        <w:top w:val="none" w:sz="0" w:space="0" w:color="auto"/>
        <w:left w:val="none" w:sz="0" w:space="0" w:color="auto"/>
        <w:bottom w:val="none" w:sz="0" w:space="0" w:color="auto"/>
        <w:right w:val="none" w:sz="0" w:space="0" w:color="auto"/>
      </w:divBdr>
      <w:divsChild>
        <w:div w:id="112986160">
          <w:marLeft w:val="0"/>
          <w:marRight w:val="0"/>
          <w:marTop w:val="0"/>
          <w:marBottom w:val="0"/>
          <w:divBdr>
            <w:top w:val="none" w:sz="0" w:space="0" w:color="auto"/>
            <w:left w:val="none" w:sz="0" w:space="0" w:color="auto"/>
            <w:bottom w:val="none" w:sz="0" w:space="0" w:color="auto"/>
            <w:right w:val="none" w:sz="0" w:space="0" w:color="auto"/>
          </w:divBdr>
          <w:divsChild>
            <w:div w:id="12783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755">
      <w:bodyDiv w:val="1"/>
      <w:marLeft w:val="0"/>
      <w:marRight w:val="0"/>
      <w:marTop w:val="0"/>
      <w:marBottom w:val="0"/>
      <w:divBdr>
        <w:top w:val="none" w:sz="0" w:space="0" w:color="auto"/>
        <w:left w:val="none" w:sz="0" w:space="0" w:color="auto"/>
        <w:bottom w:val="none" w:sz="0" w:space="0" w:color="auto"/>
        <w:right w:val="none" w:sz="0" w:space="0" w:color="auto"/>
      </w:divBdr>
      <w:divsChild>
        <w:div w:id="104542103">
          <w:marLeft w:val="0"/>
          <w:marRight w:val="0"/>
          <w:marTop w:val="0"/>
          <w:marBottom w:val="0"/>
          <w:divBdr>
            <w:top w:val="none" w:sz="0" w:space="0" w:color="auto"/>
            <w:left w:val="none" w:sz="0" w:space="0" w:color="auto"/>
            <w:bottom w:val="none" w:sz="0" w:space="0" w:color="auto"/>
            <w:right w:val="none" w:sz="0" w:space="0" w:color="auto"/>
          </w:divBdr>
          <w:divsChild>
            <w:div w:id="7635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Props1.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3.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customXml/itemProps4.xml><?xml version="1.0" encoding="utf-8"?>
<ds:datastoreItem xmlns:ds="http://schemas.openxmlformats.org/officeDocument/2006/customXml" ds:itemID="{64AF66F2-6846-4C6A-AED6-D72ACC37180B}">
  <ds:schemaRefs>
    <ds:schemaRef ds:uri="http://schemas.microsoft.com/office/2006/metadata/properties"/>
    <ds:schemaRef ds:uri="d6119fef-ed5c-4fcc-8cbb-366fcea91957"/>
    <ds:schemaRef ds:uri="http://schemas.microsoft.com/office/infopath/2007/PartnerControls"/>
    <ds:schemaRef ds:uri="4fa1db89-4933-4f22-b99e-ffd049cf6696"/>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133</cp:revision>
  <cp:lastPrinted>2017-05-08T05:38:00Z</cp:lastPrinted>
  <dcterms:created xsi:type="dcterms:W3CDTF">2022-11-23T22:35:00Z</dcterms:created>
  <dcterms:modified xsi:type="dcterms:W3CDTF">2023-03-05T23:48:00Z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