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  <w:gridSpan w:val="3"/>
            <w:shd w:val="clear" w:color="auto" w:fill="E1EEDA"/>
          </w:tcPr>
          <w:p>
            <w:pPr>
              <w:pStyle w:val="TableParagraph"/>
              <w:tabs>
                <w:tab w:pos="4506" w:val="left" w:leader="none"/>
              </w:tabs>
              <w:spacing w:line="270" w:lineRule="exact" w:before="23"/>
              <w:ind w:left="157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  <w:r>
              <w:rPr>
                <w:rFonts w:ascii="Calibri"/>
                <w:sz w:val="24"/>
              </w:rPr>
              <w:tab/>
              <w:t>Herbert street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z w:val="24"/>
              </w:rPr>
              <w:t>RAB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,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0032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6448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86" w:right="3366"/>
              <w:jc w:val="center"/>
              <w:rPr>
                <w:sz w:val="12"/>
              </w:rPr>
            </w:pPr>
            <w:r>
              <w:rPr>
                <w:sz w:val="12"/>
              </w:rPr>
              <w:t>Edward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Hailes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75mm)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AC14H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Paving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(75mm)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AC14H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AC14H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AC14H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Sample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2024-01-31T22:18:05Z</dcterms:created>
  <dcterms:modified xsi:type="dcterms:W3CDTF">2024-01-31T22:18:05Z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