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w w:val="90"/>
        </w:rPr>
        <w:t>General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Concrete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Paving</w:t>
      </w:r>
    </w:p>
    <w:p>
      <w:pPr>
        <w:spacing w:line="193" w:lineRule="exact" w:before="85"/>
        <w:ind w:left="0" w:right="101" w:firstLine="0"/>
        <w:jc w:val="right"/>
        <w:rPr>
          <w:rFonts w:ascii="Century Gothic"/>
          <w:b/>
          <w:sz w:val="16"/>
        </w:rPr>
      </w:pPr>
      <w:r>
        <w:rPr/>
        <w:br w:type="column"/>
      </w: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pStyle w:val="BodyText"/>
        <w:spacing w:line="183" w:lineRule="exact"/>
        <w:ind w:left="105"/>
      </w:pPr>
      <w:r>
        <w:rPr>
          <w:color w:val="333333"/>
        </w:rPr>
        <w:t>Created</w:t>
      </w:r>
      <w:r>
        <w:rPr>
          <w:color w:val="333333"/>
          <w:spacing w:val="-3"/>
        </w:rPr>
        <w:t> </w:t>
      </w:r>
      <w:r>
        <w:rPr>
          <w:color w:val="333333"/>
        </w:rPr>
        <w:t>Tue,</w:t>
      </w:r>
      <w:r>
        <w:rPr>
          <w:color w:val="333333"/>
          <w:spacing w:val="-3"/>
        </w:rPr>
        <w:t> </w:t>
      </w:r>
      <w:r>
        <w:rPr>
          <w:color w:val="333333"/>
        </w:rPr>
        <w:t>16</w:t>
      </w:r>
      <w:r>
        <w:rPr>
          <w:color w:val="333333"/>
          <w:spacing w:val="-2"/>
        </w:rPr>
        <w:t> </w:t>
      </w:r>
      <w:r>
        <w:rPr>
          <w:color w:val="333333"/>
        </w:rPr>
        <w:t>Jan</w:t>
      </w:r>
      <w:r>
        <w:rPr>
          <w:color w:val="333333"/>
          <w:spacing w:val="-3"/>
        </w:rPr>
        <w:t> </w:t>
      </w:r>
      <w:r>
        <w:rPr>
          <w:color w:val="333333"/>
        </w:rPr>
        <w:t>2024,</w:t>
      </w:r>
      <w:r>
        <w:rPr>
          <w:color w:val="333333"/>
          <w:spacing w:val="-2"/>
        </w:rPr>
        <w:t> </w:t>
      </w:r>
      <w:r>
        <w:rPr>
          <w:color w:val="333333"/>
        </w:rPr>
        <w:t>3:47</w:t>
      </w:r>
      <w:r>
        <w:rPr>
          <w:color w:val="333333"/>
          <w:spacing w:val="-3"/>
        </w:rPr>
        <w:t> </w:t>
      </w:r>
      <w:r>
        <w:rPr>
          <w:color w:val="333333"/>
        </w:rPr>
        <w:t>PM</w:t>
      </w:r>
      <w:r>
        <w:rPr>
          <w:color w:val="333333"/>
          <w:spacing w:val="-2"/>
        </w:rPr>
        <w:t> (UTC+11)</w:t>
      </w:r>
    </w:p>
    <w:p>
      <w:pPr>
        <w:spacing w:after="0" w:line="183" w:lineRule="exact"/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4296" w:space="7749"/>
            <w:col w:w="345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Subcontractor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(if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ITP</w:t>
      </w:r>
      <w:r>
        <w:rPr>
          <w:rFonts w:ascii="Century Gothic"/>
          <w:b/>
          <w:color w:val="333333"/>
          <w:spacing w:val="21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Details: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285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6" w:lineRule="exact"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6" w:lineRule="exact"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General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Concrete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Paving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6" w:lineRule="exact"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Speciﬁcation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6" w:lineRule="exact"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Footpaths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other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4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Section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204,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4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surfacing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22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205,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6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702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14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and</w:t>
            </w:r>
            <w:r>
              <w:rPr>
                <w:i/>
                <w:color w:val="333333"/>
                <w:spacing w:val="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7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of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Practice 500.2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496" w:lineRule="auto" w:before="157"/>
        <w:ind w:left="105" w:right="13947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355599</wp:posOffset>
                </wp:positionH>
                <wp:positionV relativeFrom="paragraph">
                  <wp:posOffset>297170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399252pt;width:786.999914pt;height:.750238pt;mso-position-horizontal-relative:page;mso-position-vertical-relative:paragraph;z-index:-16299008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355599</wp:posOffset>
                </wp:positionH>
                <wp:positionV relativeFrom="paragraph">
                  <wp:posOffset>544899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905445pt;width:786.999914pt;height:.750238pt;mso-position-horizontal-relative:page;mso-position-vertical-relative:paragraph;z-index:-16298496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2"/>
          <w:sz w:val="16"/>
        </w:rPr>
        <w:t> </w:t>
      </w:r>
      <w:r>
        <w:rPr>
          <w:rFonts w:ascii="Century Gothic"/>
          <w:b/>
          <w:color w:val="333333"/>
          <w:sz w:val="16"/>
        </w:rPr>
        <w:t>Location </w:t>
      </w:r>
      <w:r>
        <w:rPr>
          <w:rFonts w:ascii="Century Gothic"/>
          <w:b/>
          <w:color w:val="333333"/>
          <w:w w:val="105"/>
          <w:sz w:val="16"/>
        </w:rPr>
        <w:t>Lot Number</w:t>
      </w:r>
    </w:p>
    <w:p>
      <w:pPr>
        <w:spacing w:line="179" w:lineRule="exact"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9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size/Qty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942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9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05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4"/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Legend: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574883</wp:posOffset>
            </wp:positionH>
            <wp:positionV relativeFrom="paragraph">
              <wp:posOffset>191832</wp:posOffset>
            </wp:positionV>
            <wp:extent cx="9573383" cy="72923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83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"/>
        <w:rPr>
          <w:rFonts w:ascii="Century Gothic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628262</wp:posOffset>
            </wp:positionH>
            <wp:positionV relativeFrom="paragraph">
              <wp:posOffset>233953</wp:posOffset>
            </wp:positionV>
            <wp:extent cx="9502772" cy="5917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72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96" w:after="0"/>
        <w:ind w:left="281" w:right="0" w:hanging="176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1178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92833pt;width:786.999914pt;height:.750238pt;mso-position-horizontal-relative:page;mso-position-vertical-relative:paragraph;z-index:1573273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85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Pictures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Check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correct </w:t>
            </w:r>
            <w:r>
              <w:rPr>
                <w:color w:val="333333"/>
                <w:spacing w:val="-2"/>
                <w:sz w:val="16"/>
              </w:rPr>
              <w:t>documentation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Ensure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employees and subcontractors are:</w:t>
            </w:r>
          </w:p>
          <w:p>
            <w:pPr>
              <w:pStyle w:val="TableParagraph"/>
              <w:spacing w:line="290" w:lineRule="auto" w:before="15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-using the correct and complete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drawings</w:t>
            </w:r>
          </w:p>
          <w:p>
            <w:pPr>
              <w:pStyle w:val="TableParagraph"/>
              <w:spacing w:line="290" w:lineRule="auto" w:before="1"/>
              <w:ind w:left="82" w:right="18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-all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drawings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latest revision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IFC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Pictures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1.2 </w:t>
            </w:r>
            <w:r>
              <w:rPr>
                <w:color w:val="333333"/>
                <w:spacing w:val="-4"/>
                <w:sz w:val="16"/>
              </w:rPr>
              <w:t>Implementation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all </w:t>
            </w:r>
            <w:r>
              <w:rPr>
                <w:color w:val="333333"/>
                <w:sz w:val="16"/>
              </w:rPr>
              <w:t>measures and controls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necessary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measures and controls are being implemented, that is: EMP, TMP &amp; SWMS.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7"/>
              <w:rPr>
                <w:sz w:val="16"/>
              </w:rPr>
            </w:pPr>
            <w:r>
              <w:rPr>
                <w:color w:val="333333"/>
                <w:spacing w:val="-4"/>
                <w:w w:val="110"/>
                <w:sz w:val="16"/>
              </w:rPr>
              <w:t>EMP,</w:t>
            </w:r>
            <w:r>
              <w:rPr>
                <w:color w:val="333333"/>
                <w:spacing w:val="-10"/>
                <w:w w:val="110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TMP </w:t>
            </w:r>
            <w:r>
              <w:rPr>
                <w:color w:val="333333"/>
                <w:w w:val="110"/>
                <w:sz w:val="16"/>
              </w:rPr>
              <w:t>&amp;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SWMS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5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2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65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Set-</w:t>
            </w:r>
            <w:r>
              <w:rPr>
                <w:color w:val="333333"/>
                <w:spacing w:val="-5"/>
                <w:sz w:val="16"/>
              </w:rPr>
              <w:t>Out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7" w:lineRule="auto"/>
              <w:ind w:left="82" w:right="543"/>
              <w:jc w:val="both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:Prior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to </w:t>
            </w:r>
            <w:r>
              <w:rPr>
                <w:color w:val="333333"/>
                <w:sz w:val="16"/>
              </w:rPr>
              <w:t>commencement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of </w:t>
            </w:r>
            <w:r>
              <w:rPr>
                <w:color w:val="333333"/>
                <w:spacing w:val="-2"/>
                <w:sz w:val="16"/>
              </w:rPr>
              <w:t>excavation.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Area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has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been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out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 accordance with the </w:t>
            </w: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Work </w:t>
            </w:r>
            <w:r>
              <w:rPr>
                <w:color w:val="333333"/>
                <w:spacing w:val="-2"/>
                <w:sz w:val="16"/>
              </w:rPr>
              <w:t>Procedure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Verify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430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Excavation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Permit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85"/>
              <w:rPr>
                <w:sz w:val="16"/>
              </w:rPr>
            </w:pPr>
            <w:r>
              <w:rPr>
                <w:color w:val="333333"/>
                <w:sz w:val="16"/>
              </w:rPr>
              <w:t>An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excavation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permit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or DBYD must be issued prior to any excavation commencing.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Plant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and equipment shall be </w:t>
            </w:r>
            <w:r>
              <w:rPr>
                <w:color w:val="333333"/>
                <w:spacing w:val="-2"/>
                <w:sz w:val="16"/>
              </w:rPr>
              <w:t>appropriate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task. </w:t>
            </w:r>
            <w:r>
              <w:rPr>
                <w:color w:val="333333"/>
                <w:sz w:val="16"/>
              </w:rPr>
              <w:t>Excavation operations shall not disturb areas outside the limit of </w:t>
            </w:r>
            <w:r>
              <w:rPr>
                <w:color w:val="333333"/>
                <w:spacing w:val="-2"/>
                <w:sz w:val="16"/>
              </w:rPr>
              <w:t>excavation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Excavation Permit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Verify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w w:val="115"/>
                <w:sz w:val="16"/>
              </w:rPr>
              <w:t>SWA</w:t>
            </w:r>
            <w:r>
              <w:rPr>
                <w:color w:val="333333"/>
                <w:spacing w:val="-11"/>
                <w:w w:val="115"/>
                <w:sz w:val="16"/>
              </w:rPr>
              <w:t> </w:t>
            </w:r>
            <w:r>
              <w:rPr>
                <w:color w:val="333333"/>
                <w:spacing w:val="-5"/>
                <w:w w:val="115"/>
                <w:sz w:val="16"/>
              </w:rPr>
              <w:t>SEQ</w:t>
            </w:r>
          </w:p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Adviser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2.3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Formwork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30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Formwork shall comply </w:t>
            </w:r>
            <w:r>
              <w:rPr>
                <w:color w:val="333333"/>
                <w:spacing w:val="-4"/>
                <w:sz w:val="16"/>
              </w:rPr>
              <w:t>with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the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requirements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of </w:t>
            </w:r>
            <w:r>
              <w:rPr>
                <w:color w:val="333333"/>
                <w:sz w:val="16"/>
              </w:rPr>
              <w:t>AS 3610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AS</w:t>
            </w:r>
            <w:r>
              <w:rPr>
                <w:color w:val="333333"/>
                <w:spacing w:val="-4"/>
                <w:w w:val="115"/>
                <w:sz w:val="16"/>
              </w:rPr>
              <w:t> 3610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Site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3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2.4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Reinforcement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14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Steel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reinforcement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shall </w:t>
            </w:r>
            <w:r>
              <w:rPr>
                <w:color w:val="333333"/>
                <w:sz w:val="16"/>
              </w:rPr>
              <w:t>comply with the requirements of AS/NZS </w:t>
            </w:r>
            <w:r>
              <w:rPr>
                <w:color w:val="333333"/>
                <w:spacing w:val="-4"/>
                <w:sz w:val="16"/>
              </w:rPr>
              <w:t>4671</w:t>
            </w:r>
          </w:p>
          <w:p>
            <w:pPr>
              <w:pStyle w:val="TableParagraph"/>
              <w:spacing w:line="180" w:lineRule="exac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Minimum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cover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50mm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327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AS/NZS </w:t>
            </w:r>
            <w:r>
              <w:rPr>
                <w:color w:val="333333"/>
                <w:spacing w:val="-4"/>
                <w:w w:val="110"/>
                <w:sz w:val="16"/>
              </w:rPr>
              <w:t>4671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307" w:lineRule="auto" w:before="1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43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 w:right="19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2.5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Temporary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Drainage </w:t>
            </w:r>
            <w:r>
              <w:rPr>
                <w:color w:val="333333"/>
                <w:spacing w:val="-2"/>
                <w:sz w:val="16"/>
              </w:rPr>
              <w:t>Provisions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:Prior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to </w:t>
            </w:r>
            <w:r>
              <w:rPr>
                <w:color w:val="333333"/>
                <w:spacing w:val="-2"/>
                <w:sz w:val="16"/>
              </w:rPr>
              <w:t>commencing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 w:right="11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If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obstructing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waterways, </w:t>
            </w:r>
            <w:r>
              <w:rPr>
                <w:color w:val="333333"/>
                <w:sz w:val="16"/>
              </w:rPr>
              <w:t>culverts or channels, temporary diversion of discharge of drainage and stormwater to be in place. Obtain written approval from relevant waterway authority.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703.15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7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2.6</w:t>
            </w:r>
            <w:r>
              <w:rPr>
                <w:rFonts w:ascii="Century Gothic"/>
                <w:b/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Bedding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70" w:val="left" w:leader="none"/>
              </w:tabs>
              <w:spacing w:line="290" w:lineRule="auto" w:before="90" w:after="0"/>
              <w:ind w:left="82" w:right="158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Crushed rock bedding material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drawings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0" w:val="left" w:leader="none"/>
              </w:tabs>
              <w:spacing w:line="290" w:lineRule="auto" w:before="15" w:after="0"/>
              <w:ind w:left="82" w:right="120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Bedding trimmed, moistened, and compacted as necessary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0" w:val="left" w:leader="none"/>
              </w:tabs>
              <w:spacing w:line="290" w:lineRule="auto" w:before="1" w:after="0"/>
              <w:ind w:left="82" w:right="365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Bedding compacted </w:t>
            </w:r>
            <w:r>
              <w:rPr>
                <w:color w:val="333333"/>
                <w:spacing w:val="-2"/>
                <w:sz w:val="16"/>
              </w:rPr>
              <w:t>thickness:</w:t>
            </w:r>
          </w:p>
          <w:p>
            <w:pPr>
              <w:pStyle w:val="TableParagraph"/>
              <w:spacing w:line="290" w:lineRule="auto" w:before="15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Footpaths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other surfacing ≥ 50mm</w:t>
            </w:r>
          </w:p>
        </w:tc>
        <w:tc>
          <w:tcPr>
            <w:tcW w:w="1006" w:type="dxa"/>
          </w:tcPr>
          <w:p>
            <w:pPr>
              <w:pStyle w:val="TableParagraph"/>
              <w:spacing w:line="30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703.18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IFC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 Site Inspection/ </w:t>
            </w:r>
            <w:r>
              <w:rPr>
                <w:color w:val="333333"/>
                <w:sz w:val="16"/>
              </w:rPr>
              <w:t>Document Review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4486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2.7</w:t>
            </w:r>
            <w:r>
              <w:rPr>
                <w:rFonts w:ascii="Century Gothic"/>
                <w:b/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Concrete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Placement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290" w:lineRule="auto" w:before="90" w:after="0"/>
              <w:ind w:left="82" w:right="114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Concrete strength as per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drawing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speciﬁcation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290" w:lineRule="auto" w:before="0" w:after="0"/>
              <w:ind w:left="82" w:right="187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Comply with requirements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AS1379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290" w:lineRule="auto" w:before="16" w:after="0"/>
              <w:ind w:left="82" w:right="250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Aggregates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comply with Table 703.051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300" w:lineRule="auto" w:before="0" w:after="0"/>
              <w:ind w:left="82" w:right="422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Extrusion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machines cement content ≥ </w:t>
            </w:r>
            <w:r>
              <w:rPr>
                <w:color w:val="333333"/>
                <w:spacing w:val="-2"/>
                <w:sz w:val="16"/>
              </w:rPr>
              <w:t>320kg/m3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290" w:lineRule="auto" w:before="0" w:after="0"/>
              <w:ind w:left="82" w:right="235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pitting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&lt;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5mm </w:t>
            </w:r>
            <w:r>
              <w:rPr>
                <w:color w:val="333333"/>
                <w:spacing w:val="-2"/>
                <w:sz w:val="16"/>
              </w:rPr>
              <w:t>diameter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" w:val="left" w:leader="none"/>
              </w:tabs>
              <w:spacing w:line="295" w:lineRule="auto" w:before="0" w:after="0"/>
              <w:ind w:left="82" w:right="114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Concrete to be </w:t>
            </w:r>
            <w:r>
              <w:rPr>
                <w:color w:val="333333"/>
                <w:spacing w:val="-2"/>
                <w:sz w:val="16"/>
              </w:rPr>
              <w:t>satisfactorily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compacted. </w:t>
            </w:r>
            <w:r>
              <w:rPr>
                <w:color w:val="333333"/>
                <w:sz w:val="16"/>
              </w:rPr>
              <w:t>Proﬁle transitions between 10-20mm per </w:t>
            </w:r>
            <w:r>
              <w:rPr>
                <w:color w:val="333333"/>
                <w:spacing w:val="-2"/>
                <w:sz w:val="16"/>
              </w:rPr>
              <w:t>metre.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703.04(b)</w:t>
            </w:r>
          </w:p>
          <w:p>
            <w:pPr>
              <w:pStyle w:val="TableParagraph"/>
              <w:spacing w:line="300" w:lineRule="auto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703.20</w:t>
            </w:r>
          </w:p>
          <w:p>
            <w:pPr>
              <w:pStyle w:val="TableParagraph"/>
              <w:spacing w:line="297" w:lineRule="auto"/>
              <w:ind w:left="81" w:right="176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703.21</w:t>
            </w:r>
            <w:r>
              <w:rPr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05"/>
                <w:sz w:val="16"/>
              </w:rPr>
              <w:t>IFC</w:t>
            </w:r>
          </w:p>
          <w:p>
            <w:pPr>
              <w:pStyle w:val="TableParagraph"/>
              <w:spacing w:line="290" w:lineRule="auto"/>
              <w:ind w:left="81" w:right="16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 </w:t>
            </w:r>
            <w:r>
              <w:rPr>
                <w:color w:val="333333"/>
                <w:w w:val="110"/>
                <w:sz w:val="16"/>
              </w:rPr>
              <w:t>AS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1379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 w:before="1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30"/>
                <w:sz w:val="16"/>
              </w:rPr>
              <w:t>TP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5" w:lineRule="auto"/>
              <w:ind w:left="80" w:right="9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testing Company </w:t>
            </w:r>
            <w:r>
              <w:rPr>
                <w:color w:val="333333"/>
                <w:spacing w:val="-4"/>
                <w:sz w:val="16"/>
              </w:rPr>
              <w:t>representat ive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7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2.8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Finish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Surfaces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·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Footpaths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other </w:t>
            </w:r>
            <w:r>
              <w:rPr>
                <w:color w:val="333333"/>
                <w:spacing w:val="-2"/>
                <w:sz w:val="16"/>
              </w:rPr>
              <w:t>Surfacing:</w:t>
            </w:r>
          </w:p>
          <w:p>
            <w:pPr>
              <w:pStyle w:val="TableParagraph"/>
              <w:spacing w:before="15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Wooden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ﬂoat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ﬁnish</w:t>
            </w:r>
          </w:p>
        </w:tc>
        <w:tc>
          <w:tcPr>
            <w:tcW w:w="1006" w:type="dxa"/>
          </w:tcPr>
          <w:p>
            <w:pPr>
              <w:pStyle w:val="TableParagraph"/>
              <w:spacing w:line="30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703.22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346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2.9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Tolerances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70" w:val="left" w:leader="none"/>
              </w:tabs>
              <w:spacing w:line="240" w:lineRule="auto" w:before="90" w:after="0"/>
              <w:ind w:left="170" w:right="0" w:hanging="88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Match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existing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surfaces</w:t>
            </w:r>
          </w:p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±</w:t>
            </w:r>
            <w:r>
              <w:rPr>
                <w:color w:val="333333"/>
                <w:spacing w:val="1"/>
                <w:w w:val="105"/>
                <w:sz w:val="16"/>
              </w:rPr>
              <w:t> </w:t>
            </w:r>
            <w:r>
              <w:rPr>
                <w:color w:val="333333"/>
                <w:spacing w:val="-5"/>
                <w:w w:val="105"/>
                <w:sz w:val="16"/>
              </w:rPr>
              <w:t>5mm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0" w:val="left" w:leader="none"/>
              </w:tabs>
              <w:spacing w:line="240" w:lineRule="auto" w:before="39" w:after="0"/>
              <w:ind w:left="170" w:right="0" w:hanging="88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Section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dimensions: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309" w:lineRule="auto" w:before="39" w:after="0"/>
              <w:ind w:left="82" w:right="113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Within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5mm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15mm for width; and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172" w:lineRule="exact" w:before="0" w:after="0"/>
              <w:ind w:left="218" w:right="0" w:hanging="136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Within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±3mm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for</w:t>
            </w:r>
          </w:p>
          <w:p>
            <w:pPr>
              <w:pStyle w:val="TableParagraph"/>
              <w:spacing w:line="290" w:lineRule="auto" w:before="4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dimensions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less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than </w:t>
            </w:r>
            <w:r>
              <w:rPr>
                <w:color w:val="333333"/>
                <w:spacing w:val="-2"/>
                <w:sz w:val="16"/>
              </w:rPr>
              <w:t>25mm.</w:t>
            </w:r>
          </w:p>
          <w:p>
            <w:pPr>
              <w:pStyle w:val="TableParagraph"/>
              <w:spacing w:before="15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·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Concrete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footpath: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40" w:after="0"/>
              <w:ind w:left="218" w:right="0" w:hanging="136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150mm</w:t>
            </w:r>
            <w:r>
              <w:rPr>
                <w:color w:val="333333"/>
                <w:spacing w:val="1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thick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39" w:after="0"/>
              <w:ind w:left="218" w:right="0" w:hanging="136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SL72</w:t>
            </w:r>
            <w:r>
              <w:rPr>
                <w:color w:val="333333"/>
                <w:spacing w:val="3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reinforcement</w:t>
            </w:r>
          </w:p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·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Concrete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Surfacing: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54" w:after="0"/>
              <w:ind w:left="218" w:right="0" w:hanging="136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Type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100mm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40" w:after="0"/>
              <w:ind w:left="218" w:right="0" w:hanging="136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Type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150mm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76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703.13</w:t>
            </w:r>
            <w:r>
              <w:rPr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05"/>
                <w:sz w:val="16"/>
              </w:rPr>
              <w:t>IFC</w:t>
            </w:r>
          </w:p>
          <w:p>
            <w:pPr>
              <w:pStyle w:val="TableParagraph"/>
              <w:spacing w:before="16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6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2.10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Joints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·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Footpaths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other </w:t>
            </w:r>
            <w:r>
              <w:rPr>
                <w:color w:val="333333"/>
                <w:spacing w:val="-2"/>
                <w:sz w:val="16"/>
              </w:rPr>
              <w:t>surfacing:</w:t>
            </w: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o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Expansion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joints</w:t>
            </w:r>
            <w:r>
              <w:rPr>
                <w:color w:val="333333"/>
                <w:spacing w:val="-5"/>
                <w:sz w:val="16"/>
              </w:rPr>
              <w:t> at</w:t>
            </w:r>
          </w:p>
          <w:p>
            <w:pPr>
              <w:pStyle w:val="TableParagraph"/>
              <w:spacing w:before="54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12.5m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regular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intervals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290" w:lineRule="auto" w:before="40" w:after="0"/>
              <w:ind w:left="82" w:right="241" w:firstLine="0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Control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joints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2.5m </w:t>
            </w:r>
            <w:r>
              <w:rPr>
                <w:color w:val="333333"/>
                <w:sz w:val="16"/>
              </w:rPr>
              <w:t>regular intervals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309" w:lineRule="auto" w:before="0" w:after="0"/>
              <w:ind w:left="82" w:right="198" w:firstLine="0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20mm</w:t>
            </w:r>
            <w:r>
              <w:rPr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deep</w:t>
            </w:r>
            <w:r>
              <w:rPr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and</w:t>
            </w:r>
            <w:r>
              <w:rPr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5mm </w:t>
            </w:r>
            <w:r>
              <w:rPr>
                <w:color w:val="333333"/>
                <w:spacing w:val="-4"/>
                <w:w w:val="105"/>
                <w:sz w:val="16"/>
              </w:rPr>
              <w:t>wide</w:t>
            </w:r>
          </w:p>
          <w:p>
            <w:pPr>
              <w:pStyle w:val="TableParagraph"/>
              <w:spacing w:line="172" w:lineRule="exac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Prevent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bonding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between</w:t>
            </w:r>
          </w:p>
          <w:p>
            <w:pPr>
              <w:pStyle w:val="TableParagraph"/>
              <w:spacing w:line="295" w:lineRule="auto" w:before="4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edging and surfacing. Either paint back of edging with bitumen or use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strip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bituminous felt material.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703.23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54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655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4"/>
                <w:sz w:val="16"/>
              </w:rPr>
              <w:t>2.11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Backﬁlling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70" w:val="left" w:leader="none"/>
              </w:tabs>
              <w:spacing w:line="290" w:lineRule="auto" w:before="90" w:after="0"/>
              <w:ind w:left="82" w:right="294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Topsoil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in layers &lt; 150mm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0" w:val="left" w:leader="none"/>
              </w:tabs>
              <w:spacing w:line="290" w:lineRule="auto" w:before="0" w:after="0"/>
              <w:ind w:left="82" w:right="147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Width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≥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300mm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behind edging to top of edging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4" w:val="left" w:leader="none"/>
              </w:tabs>
              <w:spacing w:line="290" w:lineRule="auto" w:before="16" w:after="0"/>
              <w:ind w:left="82" w:right="247" w:firstLine="0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Topsoil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placed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after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 </w:t>
            </w:r>
            <w:r>
              <w:rPr>
                <w:color w:val="333333"/>
                <w:sz w:val="16"/>
              </w:rPr>
              <w:t>days of concrete </w:t>
            </w:r>
            <w:r>
              <w:rPr>
                <w:color w:val="333333"/>
                <w:spacing w:val="-2"/>
                <w:sz w:val="16"/>
              </w:rPr>
              <w:t>placement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703.26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496" w:lineRule="auto" w:before="155"/>
        <w:ind w:left="105" w:right="14152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355599</wp:posOffset>
                </wp:positionH>
                <wp:positionV relativeFrom="paragraph">
                  <wp:posOffset>295900</wp:posOffset>
                </wp:positionV>
                <wp:extent cx="9994900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299265pt;width:786.999914pt;height:.750238pt;mso-position-horizontal-relative:page;mso-position-vertical-relative:paragraph;z-index:-16294912" id="docshape14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600797</wp:posOffset>
                </wp:positionV>
                <wp:extent cx="9994900" cy="9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7.306889pt;width:786.999914pt;height:.750238pt;mso-position-horizontal-relative:page;mso-position-vertical-relative:paragraph;z-index:15733760" id="docshape1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 Notes 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6"/>
          <w:sz w:val="16"/>
        </w:rPr>
        <w:t>video</w:t>
      </w:r>
    </w:p>
    <w:p>
      <w:pPr>
        <w:spacing w:before="73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pStyle w:val="BodyText"/>
        <w:spacing w:before="40"/>
        <w:ind w:left="105"/>
      </w:pP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signature</w:t>
      </w:r>
      <w:r>
        <w:rPr>
          <w:color w:val="333333"/>
          <w:spacing w:val="-12"/>
        </w:rPr>
        <w:t> </w:t>
      </w:r>
      <w:r>
        <w:rPr>
          <w:color w:val="333333"/>
        </w:rPr>
        <w:t>below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2"/>
        </w:rPr>
        <w:t> </w:t>
      </w:r>
      <w:r>
        <w:rPr>
          <w:color w:val="333333"/>
        </w:rPr>
        <w:t>this</w:t>
      </w:r>
      <w:r>
        <w:rPr>
          <w:color w:val="333333"/>
          <w:spacing w:val="-12"/>
        </w:rPr>
        <w:t> </w:t>
      </w:r>
      <w:r>
        <w:rPr>
          <w:color w:val="333333"/>
        </w:rPr>
        <w:t>ITP</w:t>
      </w:r>
      <w:r>
        <w:rPr>
          <w:color w:val="333333"/>
          <w:spacing w:val="-11"/>
        </w:rPr>
        <w:t> </w:t>
      </w:r>
      <w:r>
        <w:rPr>
          <w:color w:val="333333"/>
        </w:rPr>
        <w:t>has</w:t>
      </w:r>
      <w:r>
        <w:rPr>
          <w:color w:val="333333"/>
          <w:spacing w:val="-12"/>
        </w:rPr>
        <w:t> </w:t>
      </w:r>
      <w:r>
        <w:rPr>
          <w:color w:val="333333"/>
        </w:rPr>
        <w:t>been</w:t>
      </w:r>
      <w:r>
        <w:rPr>
          <w:color w:val="333333"/>
          <w:spacing w:val="-12"/>
        </w:rPr>
        <w:t> </w:t>
      </w:r>
      <w:r>
        <w:rPr>
          <w:color w:val="333333"/>
        </w:rPr>
        <w:t>completed</w:t>
      </w:r>
      <w:r>
        <w:rPr>
          <w:color w:val="333333"/>
          <w:spacing w:val="-12"/>
        </w:rPr>
        <w:t> </w:t>
      </w:r>
      <w:r>
        <w:rPr>
          <w:color w:val="333333"/>
        </w:rPr>
        <w:t>in</w:t>
      </w:r>
      <w:r>
        <w:rPr>
          <w:color w:val="333333"/>
          <w:spacing w:val="-12"/>
        </w:rPr>
        <w:t> </w:t>
      </w:r>
      <w:r>
        <w:rPr>
          <w:color w:val="333333"/>
        </w:rPr>
        <w:t>accordance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Fulton</w:t>
      </w:r>
      <w:r>
        <w:rPr>
          <w:color w:val="333333"/>
          <w:spacing w:val="-12"/>
        </w:rPr>
        <w:t> </w:t>
      </w:r>
      <w:r>
        <w:rPr>
          <w:color w:val="333333"/>
        </w:rPr>
        <w:t>Hogan’s</w:t>
      </w:r>
      <w:r>
        <w:rPr>
          <w:color w:val="333333"/>
          <w:spacing w:val="-12"/>
        </w:rPr>
        <w:t> </w:t>
      </w:r>
      <w:r>
        <w:rPr>
          <w:color w:val="333333"/>
        </w:rPr>
        <w:t>Quality</w:t>
      </w:r>
      <w:r>
        <w:rPr>
          <w:color w:val="333333"/>
          <w:spacing w:val="-12"/>
        </w:rPr>
        <w:t> </w:t>
      </w:r>
      <w:r>
        <w:rPr>
          <w:color w:val="333333"/>
        </w:rPr>
        <w:t>system</w:t>
      </w:r>
      <w:r>
        <w:rPr>
          <w:color w:val="333333"/>
          <w:spacing w:val="-12"/>
        </w:rPr>
        <w:t> </w:t>
      </w:r>
      <w:r>
        <w:rPr>
          <w:color w:val="333333"/>
        </w:rPr>
        <w:t>Procedures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lot</w:t>
      </w:r>
      <w:r>
        <w:rPr>
          <w:color w:val="333333"/>
          <w:spacing w:val="-12"/>
        </w:rPr>
        <w:t> </w:t>
      </w:r>
      <w:r>
        <w:rPr>
          <w:color w:val="333333"/>
        </w:rPr>
        <w:t>compliance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4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25308</wp:posOffset>
                </wp:positionV>
                <wp:extent cx="9994900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.992824pt;width:786.999914pt;height:.750238pt;mso-position-horizontal-relative:page;mso-position-vertical-relative:paragraph;z-index:15734272" id="docshape1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Team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8"/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7pt;width:786.999914pt;height:.750238pt;mso-position-horizontal-relative:page;mso-position-vertical-relative:paragraph;z-index:15734784" id="docshape1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pStyle w:val="BodyText"/>
        <w:spacing w:before="55"/>
        <w:ind w:left="105"/>
      </w:pP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signature</w:t>
      </w:r>
      <w:r>
        <w:rPr>
          <w:color w:val="333333"/>
          <w:spacing w:val="-12"/>
        </w:rPr>
        <w:t> </w:t>
      </w:r>
      <w:r>
        <w:rPr>
          <w:color w:val="333333"/>
        </w:rPr>
        <w:t>below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2"/>
        </w:rPr>
        <w:t> </w:t>
      </w:r>
      <w:r>
        <w:rPr>
          <w:color w:val="333333"/>
        </w:rPr>
        <w:t>this</w:t>
      </w:r>
      <w:r>
        <w:rPr>
          <w:color w:val="333333"/>
          <w:spacing w:val="-12"/>
        </w:rPr>
        <w:t> </w:t>
      </w:r>
      <w:r>
        <w:rPr>
          <w:color w:val="333333"/>
        </w:rPr>
        <w:t>ITP</w:t>
      </w:r>
      <w:r>
        <w:rPr>
          <w:color w:val="333333"/>
          <w:spacing w:val="-11"/>
        </w:rPr>
        <w:t> </w:t>
      </w:r>
      <w:r>
        <w:rPr>
          <w:color w:val="333333"/>
        </w:rPr>
        <w:t>has</w:t>
      </w:r>
      <w:r>
        <w:rPr>
          <w:color w:val="333333"/>
          <w:spacing w:val="-12"/>
        </w:rPr>
        <w:t> </w:t>
      </w:r>
      <w:r>
        <w:rPr>
          <w:color w:val="333333"/>
        </w:rPr>
        <w:t>been</w:t>
      </w:r>
      <w:r>
        <w:rPr>
          <w:color w:val="333333"/>
          <w:spacing w:val="-12"/>
        </w:rPr>
        <w:t> </w:t>
      </w:r>
      <w:r>
        <w:rPr>
          <w:color w:val="333333"/>
        </w:rPr>
        <w:t>completed</w:t>
      </w:r>
      <w:r>
        <w:rPr>
          <w:color w:val="333333"/>
          <w:spacing w:val="-12"/>
        </w:rPr>
        <w:t> </w:t>
      </w:r>
      <w:r>
        <w:rPr>
          <w:color w:val="333333"/>
        </w:rPr>
        <w:t>in</w:t>
      </w:r>
      <w:r>
        <w:rPr>
          <w:color w:val="333333"/>
          <w:spacing w:val="-12"/>
        </w:rPr>
        <w:t> </w:t>
      </w:r>
      <w:r>
        <w:rPr>
          <w:color w:val="333333"/>
        </w:rPr>
        <w:t>accordance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Fulton</w:t>
      </w:r>
      <w:r>
        <w:rPr>
          <w:color w:val="333333"/>
          <w:spacing w:val="-12"/>
        </w:rPr>
        <w:t> </w:t>
      </w:r>
      <w:r>
        <w:rPr>
          <w:color w:val="333333"/>
        </w:rPr>
        <w:t>Hogan’s</w:t>
      </w:r>
      <w:r>
        <w:rPr>
          <w:color w:val="333333"/>
          <w:spacing w:val="-12"/>
        </w:rPr>
        <w:t> </w:t>
      </w:r>
      <w:r>
        <w:rPr>
          <w:color w:val="333333"/>
        </w:rPr>
        <w:t>Quality</w:t>
      </w:r>
      <w:r>
        <w:rPr>
          <w:color w:val="333333"/>
          <w:spacing w:val="-12"/>
        </w:rPr>
        <w:t> </w:t>
      </w:r>
      <w:r>
        <w:rPr>
          <w:color w:val="333333"/>
        </w:rPr>
        <w:t>system</w:t>
      </w:r>
      <w:r>
        <w:rPr>
          <w:color w:val="333333"/>
          <w:spacing w:val="-12"/>
        </w:rPr>
        <w:t> </w:t>
      </w:r>
      <w:r>
        <w:rPr>
          <w:color w:val="333333"/>
        </w:rPr>
        <w:t>Procedures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lot</w:t>
      </w:r>
      <w:r>
        <w:rPr>
          <w:color w:val="333333"/>
          <w:spacing w:val="-12"/>
        </w:rPr>
        <w:t> </w:t>
      </w:r>
      <w:r>
        <w:rPr>
          <w:color w:val="333333"/>
        </w:rPr>
        <w:t>compliance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5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25943</wp:posOffset>
                </wp:positionV>
                <wp:extent cx="9994900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.042821pt;width:786.999914pt;height:.750238pt;mso-position-horizontal-relative:page;mso-position-vertical-relative:paragraph;z-index:15735296" id="docshape1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9008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297472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9520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8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296960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8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3:47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296448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3:47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6960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472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299008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984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298496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8496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045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2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297984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045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2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·"/>
      <w:lvlJc w:val="left"/>
      <w:pPr>
        <w:ind w:left="82" w:hanging="8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7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82" w:hanging="13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10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1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218" w:hanging="13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10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7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5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0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218" w:hanging="13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10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7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5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0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82" w:hanging="13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10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1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171" w:hanging="8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7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4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6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1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82" w:hanging="8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7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82" w:hanging="8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7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2024-01-21T05:57:04Z</dcterms:created>
  <dcterms:modified xsi:type="dcterms:W3CDTF">2024-01-21T05:57:04Z</dcterms:modified>
</cp:coreProperties>
</file>