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7026" w14:textId="77777777" w:rsidR="005C244C" w:rsidRPr="005C244C" w:rsidRDefault="005C244C" w:rsidP="005C244C">
      <w:pPr>
        <w:pStyle w:val="SymalBodycopylvl1"/>
        <w:spacing w:before="0" w:after="0"/>
        <w:rPr>
          <w:b/>
          <w:bCs/>
          <w:sz w:val="2"/>
          <w:szCs w:val="2"/>
        </w:rPr>
        <w:sectPr w:rsidR="005C244C" w:rsidRPr="005C244C" w:rsidSect="00305A59">
          <w:headerReference w:type="even" r:id="rId12"/>
          <w:headerReference w:type="default" r:id="rId13"/>
          <w:footerReference w:type="even" r:id="rId14"/>
          <w:footerReference w:type="default" r:id="rId15"/>
          <w:headerReference w:type="first" r:id="rId16"/>
          <w:footerReference w:type="first" r:id="rId17"/>
          <w:pgSz w:w="16838" w:h="11906" w:orient="landscape"/>
          <w:pgMar w:top="1418" w:right="1134" w:bottom="1276" w:left="1134" w:header="227" w:footer="567" w:gutter="0"/>
          <w:pgNumType w:start="1"/>
          <w:cols w:space="561"/>
          <w:titlePg/>
          <w:docGrid w:linePitch="360"/>
        </w:sectPr>
      </w:pPr>
    </w:p>
    <w:p w14:paraId="6E70E393" w14:textId="77777777" w:rsidR="008C3339" w:rsidRPr="00BB3A03" w:rsidRDefault="005C244C" w:rsidP="008C3339">
      <w:pPr>
        <w:pStyle w:val="SymalBodycopylvl1"/>
        <w:spacing w:before="0"/>
        <w:ind w:left="720" w:hanging="72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DE2166">
        <w:rPr>
          <w:b/>
          <w:bCs/>
          <w:sz w:val="40"/>
          <w:szCs w:val="40"/>
        </w:rPr>
        <w:t>T</w:t>
      </w:r>
      <w:r w:rsidRPr="005C244C">
        <w:rPr>
          <w:b/>
          <w:bCs/>
          <w:sz w:val="40"/>
          <w:szCs w:val="40"/>
        </w:rPr>
        <w:t xml:space="preserve">est </w:t>
      </w:r>
      <w:r w:rsidR="00DE2166">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8C3339">
        <w:rPr>
          <w:b/>
          <w:bCs/>
          <w:sz w:val="40"/>
          <w:szCs w:val="40"/>
        </w:rPr>
        <w:t xml:space="preserve">Power Relocation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1559"/>
        <w:gridCol w:w="1560"/>
        <w:gridCol w:w="1701"/>
        <w:gridCol w:w="1417"/>
        <w:gridCol w:w="709"/>
        <w:gridCol w:w="709"/>
        <w:gridCol w:w="855"/>
        <w:gridCol w:w="1559"/>
        <w:gridCol w:w="3220"/>
      </w:tblGrid>
      <w:tr w:rsidR="005C244C" w14:paraId="12C0BDCD" w14:textId="77777777" w:rsidTr="00B27F39">
        <w:tc>
          <w:tcPr>
            <w:tcW w:w="1271" w:type="dxa"/>
            <w:gridSpan w:val="2"/>
            <w:tcMar>
              <w:left w:w="0" w:type="dxa"/>
            </w:tcMar>
          </w:tcPr>
          <w:p w14:paraId="45134F82" w14:textId="77777777" w:rsidR="005C244C" w:rsidRDefault="005C244C" w:rsidP="00B27F39">
            <w:pPr>
              <w:pStyle w:val="SymalBodycopylvl1"/>
              <w:spacing w:before="60" w:after="0"/>
              <w:rPr>
                <w:b/>
                <w:bCs/>
              </w:rPr>
            </w:pPr>
            <w:r>
              <w:rPr>
                <w:b/>
                <w:bCs/>
              </w:rPr>
              <w:t>Project no.</w:t>
            </w:r>
          </w:p>
        </w:tc>
        <w:tc>
          <w:tcPr>
            <w:tcW w:w="1559" w:type="dxa"/>
            <w:tcBorders>
              <w:bottom w:val="single" w:sz="4" w:space="0" w:color="auto"/>
            </w:tcBorders>
          </w:tcPr>
          <w:p w14:paraId="10DE0526" w14:textId="7C8E2C6D" w:rsidR="005C244C" w:rsidRPr="00223360" w:rsidRDefault="00872EFC" w:rsidP="00B27F39">
            <w:pPr>
              <w:pStyle w:val="SymalBodycopylvl1"/>
              <w:spacing w:before="60" w:after="0"/>
            </w:pPr>
            <w:r w:rsidRPr="00223360">
              <w:t>CC-03</w:t>
            </w:r>
            <w:r w:rsidR="00D133FA" w:rsidRPr="00223360">
              <w:t>74</w:t>
            </w:r>
          </w:p>
        </w:tc>
        <w:tc>
          <w:tcPr>
            <w:tcW w:w="1560" w:type="dxa"/>
          </w:tcPr>
          <w:p w14:paraId="30782AE5"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0D124D7D" w14:textId="1716381F" w:rsidR="005C244C" w:rsidRPr="00B27F39" w:rsidRDefault="00D133FA" w:rsidP="000565D7">
            <w:pPr>
              <w:pStyle w:val="SymalBodycopylvl1"/>
              <w:spacing w:before="60" w:after="0"/>
              <w:jc w:val="center"/>
            </w:pPr>
            <w:r>
              <w:t>Pakenham Roads Upgrade</w:t>
            </w:r>
          </w:p>
        </w:tc>
        <w:tc>
          <w:tcPr>
            <w:tcW w:w="709" w:type="dxa"/>
          </w:tcPr>
          <w:p w14:paraId="12337407"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5AF6EC2F" w14:textId="40D31E9C" w:rsidR="005C244C" w:rsidRPr="00FB5955" w:rsidRDefault="008E091B" w:rsidP="006E50F4">
            <w:pPr>
              <w:pStyle w:val="SymalBodycopylvl1"/>
              <w:spacing w:before="60" w:after="0"/>
              <w:jc w:val="center"/>
            </w:pPr>
            <w:r>
              <w:t>15</w:t>
            </w:r>
            <w:r w:rsidR="00634E6D">
              <w:t>/1</w:t>
            </w:r>
            <w:r>
              <w:t>2</w:t>
            </w:r>
            <w:r w:rsidR="00A957C7">
              <w:t>/2023</w:t>
            </w:r>
          </w:p>
        </w:tc>
        <w:tc>
          <w:tcPr>
            <w:tcW w:w="1559" w:type="dxa"/>
          </w:tcPr>
          <w:p w14:paraId="4DCFB764" w14:textId="77777777" w:rsidR="005C244C" w:rsidRDefault="005C244C" w:rsidP="00B27F39">
            <w:pPr>
              <w:pStyle w:val="SymalBodycopylvl1"/>
              <w:spacing w:before="60" w:after="0"/>
              <w:rPr>
                <w:b/>
                <w:bCs/>
              </w:rPr>
            </w:pPr>
            <w:r>
              <w:rPr>
                <w:b/>
                <w:bCs/>
              </w:rPr>
              <w:t>Approved by</w:t>
            </w:r>
          </w:p>
        </w:tc>
        <w:tc>
          <w:tcPr>
            <w:tcW w:w="3220" w:type="dxa"/>
            <w:tcBorders>
              <w:bottom w:val="single" w:sz="4" w:space="0" w:color="auto"/>
            </w:tcBorders>
          </w:tcPr>
          <w:p w14:paraId="34BB5BE2" w14:textId="1BDE5E75" w:rsidR="005C244C" w:rsidRPr="00B27F39" w:rsidRDefault="008C3339" w:rsidP="00B27F39">
            <w:pPr>
              <w:pStyle w:val="SymalBodycopylvl1"/>
              <w:spacing w:before="60" w:after="0"/>
            </w:pPr>
            <w:r>
              <w:t>Damian Hagebols</w:t>
            </w:r>
          </w:p>
        </w:tc>
      </w:tr>
      <w:tr w:rsidR="00B27F39" w14:paraId="357CE22D" w14:textId="77777777" w:rsidTr="00B27F39">
        <w:tc>
          <w:tcPr>
            <w:tcW w:w="851" w:type="dxa"/>
            <w:tcMar>
              <w:left w:w="0" w:type="dxa"/>
            </w:tcMar>
          </w:tcPr>
          <w:p w14:paraId="073E2D01" w14:textId="77777777" w:rsidR="005C244C" w:rsidRDefault="005C244C" w:rsidP="00B27F39">
            <w:pPr>
              <w:pStyle w:val="SymalBodycopylvl1"/>
              <w:spacing w:before="60" w:after="0"/>
              <w:rPr>
                <w:b/>
                <w:bCs/>
              </w:rPr>
            </w:pPr>
            <w:r>
              <w:rPr>
                <w:b/>
                <w:bCs/>
              </w:rPr>
              <w:t>ITP no.</w:t>
            </w:r>
          </w:p>
        </w:tc>
        <w:tc>
          <w:tcPr>
            <w:tcW w:w="1979" w:type="dxa"/>
            <w:gridSpan w:val="2"/>
            <w:tcBorders>
              <w:bottom w:val="single" w:sz="4" w:space="0" w:color="auto"/>
            </w:tcBorders>
          </w:tcPr>
          <w:p w14:paraId="7751366F" w14:textId="13AA8FB5" w:rsidR="005C244C" w:rsidRPr="00D45F21" w:rsidRDefault="008C3339" w:rsidP="00B27F39">
            <w:pPr>
              <w:pStyle w:val="SymalBodycopylvl1"/>
              <w:spacing w:before="60" w:after="0"/>
              <w:rPr>
                <w:sz w:val="16"/>
                <w:szCs w:val="16"/>
              </w:rPr>
            </w:pPr>
            <w:r w:rsidRPr="00DE7A9B">
              <w:rPr>
                <w:sz w:val="16"/>
                <w:szCs w:val="16"/>
              </w:rPr>
              <w:t>1630-P200-SYM-QAC-ITP-0016</w:t>
            </w:r>
          </w:p>
        </w:tc>
        <w:tc>
          <w:tcPr>
            <w:tcW w:w="1560" w:type="dxa"/>
          </w:tcPr>
          <w:p w14:paraId="01A22D93"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45BB0D96" w14:textId="21A34DF3" w:rsidR="005C244C" w:rsidRPr="006F7191" w:rsidRDefault="008C3339" w:rsidP="00B27F39">
            <w:pPr>
              <w:pStyle w:val="SymalBodycopylvl1"/>
              <w:spacing w:before="60" w:after="0"/>
            </w:pPr>
            <w:r>
              <w:t>2</w:t>
            </w:r>
            <w:r w:rsidR="002651B1">
              <w:t>7</w:t>
            </w:r>
            <w:r>
              <w:t>/11/2023</w:t>
            </w:r>
          </w:p>
        </w:tc>
        <w:tc>
          <w:tcPr>
            <w:tcW w:w="2835" w:type="dxa"/>
            <w:gridSpan w:val="3"/>
          </w:tcPr>
          <w:p w14:paraId="3404FB47" w14:textId="77777777" w:rsidR="005C244C" w:rsidRDefault="005C244C" w:rsidP="00B27F39">
            <w:pPr>
              <w:pStyle w:val="SymalBodycopylvl1"/>
              <w:spacing w:before="60" w:after="0"/>
              <w:rPr>
                <w:b/>
                <w:bCs/>
              </w:rPr>
            </w:pPr>
            <w:r>
              <w:rPr>
                <w:b/>
                <w:bCs/>
              </w:rPr>
              <w:t>Plant and equipment used</w:t>
            </w:r>
          </w:p>
        </w:tc>
        <w:tc>
          <w:tcPr>
            <w:tcW w:w="5634" w:type="dxa"/>
            <w:gridSpan w:val="3"/>
            <w:tcBorders>
              <w:bottom w:val="single" w:sz="4" w:space="0" w:color="auto"/>
            </w:tcBorders>
          </w:tcPr>
          <w:p w14:paraId="3E28922F" w14:textId="59A3EA04" w:rsidR="005C244C" w:rsidRDefault="005C244C" w:rsidP="00B27F39">
            <w:pPr>
              <w:pStyle w:val="SymalBodycopylvl1"/>
              <w:spacing w:before="60" w:after="0"/>
              <w:rPr>
                <w:b/>
                <w:bCs/>
              </w:rPr>
            </w:pPr>
          </w:p>
        </w:tc>
      </w:tr>
      <w:tr w:rsidR="005C244C" w14:paraId="5A9C8D8B" w14:textId="77777777" w:rsidTr="00B27F39">
        <w:tc>
          <w:tcPr>
            <w:tcW w:w="851" w:type="dxa"/>
            <w:tcMar>
              <w:left w:w="0" w:type="dxa"/>
            </w:tcMar>
          </w:tcPr>
          <w:p w14:paraId="12FDAEAB" w14:textId="77777777" w:rsidR="005C244C" w:rsidRDefault="005C244C" w:rsidP="00B27F39">
            <w:pPr>
              <w:pStyle w:val="SymalBodycopylvl1"/>
              <w:spacing w:before="60" w:after="0"/>
              <w:rPr>
                <w:b/>
                <w:bCs/>
              </w:rPr>
            </w:pPr>
            <w:r>
              <w:rPr>
                <w:b/>
                <w:bCs/>
              </w:rPr>
              <w:t>Lot no.</w:t>
            </w:r>
          </w:p>
        </w:tc>
        <w:tc>
          <w:tcPr>
            <w:tcW w:w="1979" w:type="dxa"/>
            <w:gridSpan w:val="2"/>
            <w:tcBorders>
              <w:top w:val="single" w:sz="4" w:space="0" w:color="auto"/>
              <w:bottom w:val="single" w:sz="4" w:space="0" w:color="auto"/>
            </w:tcBorders>
          </w:tcPr>
          <w:p w14:paraId="29229330" w14:textId="77777777" w:rsidR="005C244C" w:rsidRDefault="005C244C" w:rsidP="00B27F39">
            <w:pPr>
              <w:pStyle w:val="SymalBodycopylvl1"/>
              <w:spacing w:before="60" w:after="0"/>
              <w:rPr>
                <w:b/>
                <w:bCs/>
              </w:rPr>
            </w:pPr>
          </w:p>
        </w:tc>
        <w:tc>
          <w:tcPr>
            <w:tcW w:w="6096" w:type="dxa"/>
            <w:gridSpan w:val="5"/>
          </w:tcPr>
          <w:p w14:paraId="2E7573B4" w14:textId="77777777" w:rsidR="005C244C" w:rsidRDefault="005C244C" w:rsidP="00B27F39">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6AE47D01" w14:textId="77777777" w:rsidR="005C244C" w:rsidRDefault="005C244C" w:rsidP="00B27F39">
            <w:pPr>
              <w:pStyle w:val="SymalBodycopylvl1"/>
              <w:spacing w:before="60" w:after="0"/>
              <w:rPr>
                <w:b/>
                <w:bCs/>
              </w:rPr>
            </w:pPr>
          </w:p>
        </w:tc>
      </w:tr>
    </w:tbl>
    <w:p w14:paraId="42EEE2D7" w14:textId="77777777" w:rsidR="00B27F39" w:rsidRDefault="00B27F39" w:rsidP="009A3D1A">
      <w:pPr>
        <w:pStyle w:val="SymalBodycopylvl1"/>
        <w:spacing w:before="120" w:after="120"/>
      </w:pPr>
      <w:r w:rsidRPr="00B27F39">
        <w:t>Attach Dockets, Certificates and QA Documents to ITP</w:t>
      </w:r>
    </w:p>
    <w:tbl>
      <w:tblPr>
        <w:tblW w:w="506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4"/>
        <w:gridCol w:w="2815"/>
        <w:gridCol w:w="994"/>
        <w:gridCol w:w="3559"/>
        <w:gridCol w:w="994"/>
        <w:gridCol w:w="849"/>
        <w:gridCol w:w="708"/>
        <w:gridCol w:w="717"/>
        <w:gridCol w:w="852"/>
        <w:gridCol w:w="711"/>
        <w:gridCol w:w="1840"/>
      </w:tblGrid>
      <w:tr w:rsidR="004D39F9" w:rsidRPr="00741190" w14:paraId="1727C96D" w14:textId="77777777" w:rsidTr="001B3BCE">
        <w:trPr>
          <w:trHeight w:val="227"/>
          <w:tblHeader/>
        </w:trPr>
        <w:tc>
          <w:tcPr>
            <w:tcW w:w="239" w:type="pct"/>
            <w:tcBorders>
              <w:top w:val="nil"/>
              <w:left w:val="nil"/>
              <w:bottom w:val="nil"/>
              <w:right w:val="nil"/>
            </w:tcBorders>
            <w:shd w:val="clear" w:color="auto" w:fill="auto"/>
            <w:vAlign w:val="center"/>
          </w:tcPr>
          <w:p w14:paraId="618127AC" w14:textId="77777777" w:rsidR="00741190" w:rsidRPr="00741190" w:rsidRDefault="00741190" w:rsidP="009A3D1A">
            <w:pPr>
              <w:pStyle w:val="SymalTableBody"/>
              <w:spacing w:before="20" w:after="20"/>
              <w:rPr>
                <w:b/>
                <w:bCs/>
                <w:szCs w:val="18"/>
              </w:rPr>
            </w:pPr>
          </w:p>
        </w:tc>
        <w:tc>
          <w:tcPr>
            <w:tcW w:w="955" w:type="pct"/>
            <w:tcBorders>
              <w:top w:val="nil"/>
              <w:left w:val="nil"/>
              <w:bottom w:val="nil"/>
              <w:right w:val="nil"/>
            </w:tcBorders>
            <w:shd w:val="clear" w:color="auto" w:fill="auto"/>
            <w:vAlign w:val="center"/>
          </w:tcPr>
          <w:p w14:paraId="32DBDBF5" w14:textId="77777777" w:rsidR="00741190" w:rsidRPr="00741190" w:rsidRDefault="00741190" w:rsidP="009A3D1A">
            <w:pPr>
              <w:pStyle w:val="SymalTableBody"/>
              <w:spacing w:before="20" w:after="20"/>
              <w:rPr>
                <w:b/>
                <w:bCs/>
                <w:szCs w:val="18"/>
              </w:rPr>
            </w:pPr>
          </w:p>
        </w:tc>
        <w:tc>
          <w:tcPr>
            <w:tcW w:w="337" w:type="pct"/>
            <w:tcBorders>
              <w:top w:val="nil"/>
              <w:left w:val="nil"/>
              <w:bottom w:val="nil"/>
              <w:right w:val="nil"/>
            </w:tcBorders>
            <w:shd w:val="clear" w:color="auto" w:fill="auto"/>
            <w:vAlign w:val="center"/>
          </w:tcPr>
          <w:p w14:paraId="3792241D" w14:textId="77777777" w:rsidR="00741190" w:rsidRPr="00741190" w:rsidRDefault="00741190" w:rsidP="004D39F9">
            <w:pPr>
              <w:pStyle w:val="SymalTableBody"/>
              <w:spacing w:before="20" w:after="20"/>
              <w:rPr>
                <w:b/>
                <w:bCs/>
                <w:szCs w:val="18"/>
              </w:rPr>
            </w:pPr>
          </w:p>
        </w:tc>
        <w:tc>
          <w:tcPr>
            <w:tcW w:w="1207" w:type="pct"/>
            <w:tcBorders>
              <w:top w:val="nil"/>
              <w:left w:val="nil"/>
              <w:bottom w:val="nil"/>
              <w:right w:val="nil"/>
            </w:tcBorders>
            <w:shd w:val="clear" w:color="auto" w:fill="auto"/>
            <w:vAlign w:val="center"/>
          </w:tcPr>
          <w:p w14:paraId="7C804BC4" w14:textId="77777777" w:rsidR="00741190" w:rsidRPr="00741190" w:rsidRDefault="00741190" w:rsidP="009A3D1A">
            <w:pPr>
              <w:pStyle w:val="SymalTableBody"/>
              <w:spacing w:before="20" w:after="20"/>
              <w:rPr>
                <w:b/>
                <w:bCs/>
                <w:szCs w:val="18"/>
              </w:rPr>
            </w:pPr>
          </w:p>
        </w:tc>
        <w:tc>
          <w:tcPr>
            <w:tcW w:w="337" w:type="pct"/>
            <w:tcBorders>
              <w:top w:val="nil"/>
              <w:left w:val="nil"/>
              <w:bottom w:val="nil"/>
            </w:tcBorders>
            <w:shd w:val="clear" w:color="auto" w:fill="auto"/>
            <w:vAlign w:val="center"/>
          </w:tcPr>
          <w:p w14:paraId="60E7993C" w14:textId="77777777" w:rsidR="00741190" w:rsidRPr="00741190" w:rsidRDefault="00741190" w:rsidP="004D39F9">
            <w:pPr>
              <w:pStyle w:val="SymalTableBody"/>
              <w:spacing w:before="20" w:after="20"/>
              <w:jc w:val="center"/>
              <w:rPr>
                <w:b/>
                <w:bCs/>
                <w:szCs w:val="18"/>
              </w:rPr>
            </w:pPr>
          </w:p>
        </w:tc>
        <w:tc>
          <w:tcPr>
            <w:tcW w:w="1301" w:type="pct"/>
            <w:gridSpan w:val="5"/>
            <w:shd w:val="clear" w:color="auto" w:fill="F2F2F2" w:themeFill="background2" w:themeFillShade="F2"/>
            <w:vAlign w:val="center"/>
          </w:tcPr>
          <w:p w14:paraId="2FEE7687"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624" w:type="pct"/>
            <w:vMerge w:val="restart"/>
            <w:shd w:val="clear" w:color="auto" w:fill="F2F2F2" w:themeFill="background2" w:themeFillShade="F2"/>
            <w:vAlign w:val="center"/>
          </w:tcPr>
          <w:p w14:paraId="6A45E9D0" w14:textId="77777777" w:rsidR="00741190" w:rsidRPr="00741190" w:rsidRDefault="00741190" w:rsidP="00B47063">
            <w:pPr>
              <w:pStyle w:val="SymalTableBody"/>
              <w:spacing w:before="20" w:after="20"/>
              <w:rPr>
                <w:b/>
                <w:bCs/>
                <w:szCs w:val="18"/>
              </w:rPr>
            </w:pPr>
            <w:r w:rsidRPr="00741190">
              <w:rPr>
                <w:b/>
                <w:bCs/>
                <w:szCs w:val="18"/>
              </w:rPr>
              <w:t>Remarks/record (eg. Test frequency reports, certificates, checklist etc)</w:t>
            </w:r>
          </w:p>
        </w:tc>
      </w:tr>
      <w:tr w:rsidR="004D39F9" w:rsidRPr="00741190" w14:paraId="10E01DF2" w14:textId="77777777" w:rsidTr="001B3BCE">
        <w:trPr>
          <w:trHeight w:val="227"/>
          <w:tblHeader/>
        </w:trPr>
        <w:tc>
          <w:tcPr>
            <w:tcW w:w="239" w:type="pct"/>
            <w:tcBorders>
              <w:top w:val="nil"/>
              <w:left w:val="nil"/>
              <w:right w:val="nil"/>
            </w:tcBorders>
            <w:shd w:val="clear" w:color="auto" w:fill="auto"/>
            <w:vAlign w:val="center"/>
          </w:tcPr>
          <w:p w14:paraId="6C670D8C" w14:textId="77777777" w:rsidR="00741190" w:rsidRPr="00741190" w:rsidRDefault="00741190" w:rsidP="009A3D1A">
            <w:pPr>
              <w:pStyle w:val="SymalTableBody"/>
              <w:spacing w:before="20" w:after="20"/>
              <w:rPr>
                <w:b/>
                <w:bCs/>
                <w:szCs w:val="18"/>
              </w:rPr>
            </w:pPr>
          </w:p>
        </w:tc>
        <w:tc>
          <w:tcPr>
            <w:tcW w:w="955" w:type="pct"/>
            <w:tcBorders>
              <w:top w:val="nil"/>
              <w:left w:val="nil"/>
              <w:right w:val="nil"/>
            </w:tcBorders>
            <w:shd w:val="clear" w:color="auto" w:fill="auto"/>
            <w:vAlign w:val="center"/>
          </w:tcPr>
          <w:p w14:paraId="487FA17B" w14:textId="77777777" w:rsidR="00741190" w:rsidRPr="00741190" w:rsidRDefault="00741190" w:rsidP="009A3D1A">
            <w:pPr>
              <w:pStyle w:val="SymalTableBody"/>
              <w:spacing w:before="20" w:after="20"/>
              <w:rPr>
                <w:b/>
                <w:bCs/>
                <w:szCs w:val="18"/>
              </w:rPr>
            </w:pPr>
          </w:p>
        </w:tc>
        <w:tc>
          <w:tcPr>
            <w:tcW w:w="337" w:type="pct"/>
            <w:tcBorders>
              <w:top w:val="nil"/>
              <w:left w:val="nil"/>
              <w:right w:val="nil"/>
            </w:tcBorders>
            <w:shd w:val="clear" w:color="auto" w:fill="auto"/>
            <w:vAlign w:val="center"/>
          </w:tcPr>
          <w:p w14:paraId="6362BBA1" w14:textId="77777777" w:rsidR="00741190" w:rsidRPr="00741190" w:rsidRDefault="00741190" w:rsidP="004D39F9">
            <w:pPr>
              <w:pStyle w:val="SymalTableBody"/>
              <w:spacing w:before="20" w:after="20"/>
              <w:rPr>
                <w:b/>
                <w:bCs/>
                <w:szCs w:val="18"/>
              </w:rPr>
            </w:pPr>
          </w:p>
        </w:tc>
        <w:tc>
          <w:tcPr>
            <w:tcW w:w="1207" w:type="pct"/>
            <w:tcBorders>
              <w:top w:val="nil"/>
              <w:left w:val="nil"/>
              <w:right w:val="nil"/>
            </w:tcBorders>
            <w:shd w:val="clear" w:color="auto" w:fill="auto"/>
            <w:vAlign w:val="center"/>
          </w:tcPr>
          <w:p w14:paraId="5DC5086C" w14:textId="77777777" w:rsidR="00741190" w:rsidRPr="00741190" w:rsidRDefault="00741190" w:rsidP="009A3D1A">
            <w:pPr>
              <w:pStyle w:val="SymalTableBody"/>
              <w:spacing w:before="20" w:after="20"/>
              <w:rPr>
                <w:b/>
                <w:bCs/>
                <w:szCs w:val="18"/>
              </w:rPr>
            </w:pPr>
          </w:p>
        </w:tc>
        <w:tc>
          <w:tcPr>
            <w:tcW w:w="337" w:type="pct"/>
            <w:tcBorders>
              <w:top w:val="nil"/>
              <w:left w:val="nil"/>
            </w:tcBorders>
            <w:shd w:val="clear" w:color="auto" w:fill="auto"/>
            <w:vAlign w:val="center"/>
          </w:tcPr>
          <w:p w14:paraId="6AE0F784" w14:textId="77777777" w:rsidR="00741190" w:rsidRPr="00741190" w:rsidRDefault="00741190" w:rsidP="004D39F9">
            <w:pPr>
              <w:pStyle w:val="SymalTableBody"/>
              <w:spacing w:before="20" w:after="20"/>
              <w:jc w:val="center"/>
              <w:rPr>
                <w:b/>
                <w:bCs/>
                <w:szCs w:val="18"/>
              </w:rPr>
            </w:pPr>
          </w:p>
        </w:tc>
        <w:tc>
          <w:tcPr>
            <w:tcW w:w="771" w:type="pct"/>
            <w:gridSpan w:val="3"/>
            <w:shd w:val="clear" w:color="auto" w:fill="F2F2F2" w:themeFill="background2" w:themeFillShade="F2"/>
            <w:vAlign w:val="center"/>
          </w:tcPr>
          <w:p w14:paraId="53846C74"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0" w:type="pct"/>
            <w:gridSpan w:val="2"/>
            <w:shd w:val="clear" w:color="auto" w:fill="F2F2F2" w:themeFill="background2" w:themeFillShade="F2"/>
            <w:vAlign w:val="center"/>
          </w:tcPr>
          <w:p w14:paraId="1A416E64"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624" w:type="pct"/>
            <w:vMerge/>
            <w:shd w:val="clear" w:color="auto" w:fill="F2F2F2" w:themeFill="background2" w:themeFillShade="F2"/>
            <w:vAlign w:val="center"/>
          </w:tcPr>
          <w:p w14:paraId="5B34BA68" w14:textId="77777777" w:rsidR="00741190" w:rsidRPr="00741190" w:rsidRDefault="00741190" w:rsidP="00B47063">
            <w:pPr>
              <w:pStyle w:val="SymalTableBody"/>
              <w:spacing w:before="20" w:after="20"/>
              <w:rPr>
                <w:b/>
                <w:bCs/>
                <w:szCs w:val="18"/>
              </w:rPr>
            </w:pPr>
          </w:p>
        </w:tc>
      </w:tr>
      <w:tr w:rsidR="003C1E57" w:rsidRPr="00741190" w14:paraId="0EB50BC3" w14:textId="77777777" w:rsidTr="001B3BCE">
        <w:trPr>
          <w:trHeight w:val="227"/>
          <w:tblHeader/>
        </w:trPr>
        <w:tc>
          <w:tcPr>
            <w:tcW w:w="239" w:type="pct"/>
            <w:shd w:val="clear" w:color="auto" w:fill="F2F2F2" w:themeFill="background2" w:themeFillShade="F2"/>
            <w:vAlign w:val="center"/>
          </w:tcPr>
          <w:p w14:paraId="00E9918D" w14:textId="77777777" w:rsidR="00741190" w:rsidRPr="00741190" w:rsidRDefault="00741190" w:rsidP="00B47063">
            <w:pPr>
              <w:pStyle w:val="SymalTableBody"/>
              <w:spacing w:before="20" w:after="20"/>
              <w:rPr>
                <w:b/>
                <w:bCs/>
                <w:szCs w:val="18"/>
              </w:rPr>
            </w:pPr>
            <w:r w:rsidRPr="00741190">
              <w:rPr>
                <w:b/>
                <w:bCs/>
                <w:szCs w:val="18"/>
              </w:rPr>
              <w:t>Item no.</w:t>
            </w:r>
          </w:p>
        </w:tc>
        <w:tc>
          <w:tcPr>
            <w:tcW w:w="955" w:type="pct"/>
            <w:shd w:val="clear" w:color="auto" w:fill="F2F2F2" w:themeFill="background2" w:themeFillShade="F2"/>
            <w:vAlign w:val="center"/>
          </w:tcPr>
          <w:p w14:paraId="1B819063" w14:textId="77777777" w:rsidR="00741190" w:rsidRPr="00741190" w:rsidRDefault="00741190" w:rsidP="00B47063">
            <w:pPr>
              <w:pStyle w:val="SymalTableBody"/>
              <w:spacing w:before="20" w:after="20"/>
              <w:rPr>
                <w:b/>
                <w:bCs/>
                <w:szCs w:val="18"/>
              </w:rPr>
            </w:pPr>
            <w:r w:rsidRPr="00741190">
              <w:rPr>
                <w:b/>
                <w:bCs/>
                <w:szCs w:val="18"/>
              </w:rPr>
              <w:t>Activity</w:t>
            </w:r>
          </w:p>
        </w:tc>
        <w:tc>
          <w:tcPr>
            <w:tcW w:w="337" w:type="pct"/>
            <w:shd w:val="clear" w:color="auto" w:fill="F2F2F2" w:themeFill="background2" w:themeFillShade="F2"/>
            <w:vAlign w:val="center"/>
          </w:tcPr>
          <w:p w14:paraId="548CE85A" w14:textId="77777777" w:rsidR="00741190" w:rsidRPr="00741190" w:rsidRDefault="00741190" w:rsidP="004D39F9">
            <w:pPr>
              <w:pStyle w:val="SymalTableBody"/>
              <w:spacing w:before="20" w:after="20"/>
              <w:rPr>
                <w:b/>
                <w:bCs/>
                <w:szCs w:val="18"/>
              </w:rPr>
            </w:pPr>
            <w:r w:rsidRPr="00741190">
              <w:rPr>
                <w:b/>
                <w:bCs/>
                <w:szCs w:val="18"/>
              </w:rPr>
              <w:t>Ref docs</w:t>
            </w:r>
          </w:p>
        </w:tc>
        <w:tc>
          <w:tcPr>
            <w:tcW w:w="1207" w:type="pct"/>
            <w:shd w:val="clear" w:color="auto" w:fill="F2F2F2" w:themeFill="background2" w:themeFillShade="F2"/>
            <w:vAlign w:val="center"/>
          </w:tcPr>
          <w:p w14:paraId="3CBAA77D"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37" w:type="pct"/>
            <w:shd w:val="clear" w:color="auto" w:fill="F2F2F2" w:themeFill="background2" w:themeFillShade="F2"/>
            <w:vAlign w:val="center"/>
          </w:tcPr>
          <w:p w14:paraId="5FB84006"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88" w:type="pct"/>
            <w:shd w:val="clear" w:color="auto" w:fill="F2F2F2" w:themeFill="background2" w:themeFillShade="F2"/>
            <w:vAlign w:val="center"/>
          </w:tcPr>
          <w:p w14:paraId="3A7D094F"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0" w:type="pct"/>
            <w:shd w:val="clear" w:color="auto" w:fill="F2F2F2" w:themeFill="background2" w:themeFillShade="F2"/>
            <w:vAlign w:val="center"/>
          </w:tcPr>
          <w:p w14:paraId="69DB0173"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3" w:type="pct"/>
            <w:shd w:val="clear" w:color="auto" w:fill="F2F2F2" w:themeFill="background2" w:themeFillShade="F2"/>
            <w:vAlign w:val="center"/>
          </w:tcPr>
          <w:p w14:paraId="11D38C3F"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89" w:type="pct"/>
            <w:shd w:val="clear" w:color="auto" w:fill="F2F2F2" w:themeFill="background2" w:themeFillShade="F2"/>
            <w:vAlign w:val="center"/>
          </w:tcPr>
          <w:p w14:paraId="7BB7FCD6"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1" w:type="pct"/>
            <w:shd w:val="clear" w:color="auto" w:fill="F2F2F2" w:themeFill="background2" w:themeFillShade="F2"/>
            <w:vAlign w:val="center"/>
          </w:tcPr>
          <w:p w14:paraId="5C6BA789"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624" w:type="pct"/>
            <w:vMerge/>
            <w:shd w:val="clear" w:color="auto" w:fill="F2F2F2" w:themeFill="background2" w:themeFillShade="F2"/>
            <w:vAlign w:val="center"/>
          </w:tcPr>
          <w:p w14:paraId="29070E1C" w14:textId="77777777" w:rsidR="00741190" w:rsidRPr="00741190" w:rsidRDefault="00741190" w:rsidP="00B47063">
            <w:pPr>
              <w:pStyle w:val="SymalTableBody"/>
              <w:spacing w:before="20" w:after="20"/>
              <w:rPr>
                <w:b/>
                <w:bCs/>
                <w:szCs w:val="18"/>
              </w:rPr>
            </w:pPr>
          </w:p>
        </w:tc>
      </w:tr>
      <w:tr w:rsidR="003C1E57" w:rsidRPr="003C1E57" w14:paraId="1BB49EB4" w14:textId="77777777" w:rsidTr="00947C9D">
        <w:trPr>
          <w:trHeight w:val="227"/>
        </w:trPr>
        <w:tc>
          <w:tcPr>
            <w:tcW w:w="5000" w:type="pct"/>
            <w:gridSpan w:val="11"/>
            <w:shd w:val="clear" w:color="auto" w:fill="000000" w:themeFill="text2"/>
            <w:vAlign w:val="center"/>
          </w:tcPr>
          <w:p w14:paraId="5290E52C"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CF6BB3" w:rsidRPr="00741190" w14:paraId="6E7E4F7E" w14:textId="77777777" w:rsidTr="00970318">
        <w:trPr>
          <w:trHeight w:val="227"/>
        </w:trPr>
        <w:tc>
          <w:tcPr>
            <w:tcW w:w="239" w:type="pct"/>
            <w:shd w:val="clear" w:color="auto" w:fill="auto"/>
            <w:vAlign w:val="center"/>
          </w:tcPr>
          <w:p w14:paraId="569CDBB5" w14:textId="5352F434" w:rsidR="00CF6BB3" w:rsidRPr="00C81EB5" w:rsidRDefault="00CF6BB3" w:rsidP="00CF6BB3">
            <w:pPr>
              <w:pStyle w:val="SymalTableBody"/>
              <w:spacing w:before="20" w:after="20"/>
              <w:rPr>
                <w:b/>
                <w:bCs/>
                <w:sz w:val="16"/>
                <w:szCs w:val="16"/>
              </w:rPr>
            </w:pPr>
            <w:r w:rsidRPr="00C81EB5">
              <w:rPr>
                <w:b/>
                <w:bCs/>
                <w:sz w:val="16"/>
                <w:szCs w:val="16"/>
              </w:rPr>
              <w:t>1.</w:t>
            </w:r>
            <w:r>
              <w:rPr>
                <w:b/>
                <w:bCs/>
                <w:sz w:val="16"/>
                <w:szCs w:val="16"/>
              </w:rPr>
              <w:t>1</w:t>
            </w:r>
          </w:p>
        </w:tc>
        <w:tc>
          <w:tcPr>
            <w:tcW w:w="955" w:type="pct"/>
            <w:shd w:val="clear" w:color="auto" w:fill="auto"/>
            <w:vAlign w:val="center"/>
          </w:tcPr>
          <w:p w14:paraId="5AA57FD3" w14:textId="57546540" w:rsidR="00CF6BB3" w:rsidRPr="00872EFC" w:rsidRDefault="00CF6BB3" w:rsidP="00CF6BB3">
            <w:pPr>
              <w:pStyle w:val="SymalTableBody"/>
              <w:spacing w:before="20" w:after="20"/>
              <w:rPr>
                <w:b/>
                <w:bCs/>
                <w:sz w:val="14"/>
                <w:szCs w:val="14"/>
              </w:rPr>
            </w:pPr>
            <w:r w:rsidRPr="00872EFC">
              <w:rPr>
                <w:sz w:val="14"/>
                <w:szCs w:val="14"/>
              </w:rPr>
              <w:t>Check Survey Set-out</w:t>
            </w:r>
          </w:p>
        </w:tc>
        <w:tc>
          <w:tcPr>
            <w:tcW w:w="337" w:type="pct"/>
            <w:shd w:val="clear" w:color="auto" w:fill="auto"/>
            <w:vAlign w:val="center"/>
          </w:tcPr>
          <w:p w14:paraId="38F60365" w14:textId="77777777" w:rsidR="00CF6BB3" w:rsidRDefault="00CF6BB3" w:rsidP="00CF6BB3">
            <w:pPr>
              <w:pStyle w:val="SymalTableBody"/>
              <w:spacing w:before="20" w:after="20"/>
              <w:jc w:val="center"/>
              <w:rPr>
                <w:sz w:val="14"/>
                <w:szCs w:val="14"/>
              </w:rPr>
            </w:pPr>
            <w:r>
              <w:rPr>
                <w:sz w:val="14"/>
                <w:szCs w:val="14"/>
              </w:rPr>
              <w:t>IFC</w:t>
            </w:r>
          </w:p>
          <w:p w14:paraId="32DE9F03" w14:textId="5A203313" w:rsidR="00CF6BB3" w:rsidRPr="00872EFC" w:rsidRDefault="00CF6BB3" w:rsidP="00CF6BB3">
            <w:pPr>
              <w:pStyle w:val="SymalTableBody"/>
              <w:spacing w:before="20" w:after="20"/>
              <w:jc w:val="center"/>
              <w:rPr>
                <w:sz w:val="14"/>
                <w:szCs w:val="14"/>
              </w:rPr>
            </w:pPr>
            <w:r>
              <w:rPr>
                <w:sz w:val="14"/>
                <w:szCs w:val="14"/>
              </w:rPr>
              <w:t xml:space="preserve">Drawings </w:t>
            </w:r>
          </w:p>
        </w:tc>
        <w:tc>
          <w:tcPr>
            <w:tcW w:w="1207" w:type="pct"/>
            <w:shd w:val="clear" w:color="auto" w:fill="auto"/>
            <w:vAlign w:val="center"/>
          </w:tcPr>
          <w:p w14:paraId="5BDE8CAF" w14:textId="650CBA2B" w:rsidR="00CF6BB3" w:rsidRDefault="00CF6BB3" w:rsidP="00CF6BB3">
            <w:pPr>
              <w:pStyle w:val="SymalTableBody"/>
              <w:spacing w:before="20" w:after="20"/>
              <w:rPr>
                <w:sz w:val="14"/>
                <w:szCs w:val="14"/>
              </w:rPr>
            </w:pPr>
            <w:r>
              <w:rPr>
                <w:sz w:val="14"/>
                <w:szCs w:val="14"/>
              </w:rPr>
              <w:t>Ensure alignment setout has been completed and pegged.</w:t>
            </w:r>
          </w:p>
          <w:p w14:paraId="23DE8969" w14:textId="77777777" w:rsidR="00CF6BB3" w:rsidRDefault="00CF6BB3" w:rsidP="00CF6BB3">
            <w:pPr>
              <w:pStyle w:val="SymalTableBody"/>
              <w:spacing w:before="20" w:after="20"/>
              <w:rPr>
                <w:sz w:val="14"/>
                <w:szCs w:val="14"/>
              </w:rPr>
            </w:pPr>
          </w:p>
          <w:p w14:paraId="2867C056" w14:textId="77777777" w:rsidR="00CF6BB3" w:rsidRDefault="00CF6BB3" w:rsidP="00CF6BB3">
            <w:pPr>
              <w:pStyle w:val="SymalTableBody"/>
              <w:spacing w:before="20" w:after="20"/>
              <w:rPr>
                <w:b/>
                <w:bCs/>
                <w:sz w:val="14"/>
                <w:szCs w:val="14"/>
              </w:rPr>
            </w:pPr>
            <w:r>
              <w:rPr>
                <w:b/>
                <w:bCs/>
                <w:sz w:val="14"/>
                <w:szCs w:val="14"/>
              </w:rPr>
              <w:t xml:space="preserve">Has all of the above been completed? </w:t>
            </w:r>
          </w:p>
          <w:p w14:paraId="52EB8C9E" w14:textId="7E871E0F" w:rsidR="00CF6BB3" w:rsidRPr="00872EFC" w:rsidRDefault="00CF6BB3" w:rsidP="00DC240B">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37" w:type="pct"/>
            <w:shd w:val="clear" w:color="auto" w:fill="auto"/>
            <w:vAlign w:val="center"/>
          </w:tcPr>
          <w:p w14:paraId="317E75AC" w14:textId="746574BC" w:rsidR="00CF6BB3" w:rsidRPr="00872EFC" w:rsidRDefault="00CF6BB3" w:rsidP="00CF6BB3">
            <w:pPr>
              <w:pStyle w:val="SymalTableBody"/>
              <w:spacing w:before="20" w:after="20"/>
              <w:jc w:val="center"/>
              <w:rPr>
                <w:sz w:val="14"/>
                <w:szCs w:val="14"/>
              </w:rPr>
            </w:pPr>
            <w:r w:rsidRPr="00872EFC">
              <w:rPr>
                <w:sz w:val="14"/>
                <w:szCs w:val="14"/>
              </w:rPr>
              <w:t xml:space="preserve">Prior to start of </w:t>
            </w:r>
            <w:r>
              <w:rPr>
                <w:sz w:val="14"/>
                <w:szCs w:val="14"/>
              </w:rPr>
              <w:t>w</w:t>
            </w:r>
            <w:r w:rsidRPr="00872EFC">
              <w:rPr>
                <w:sz w:val="14"/>
                <w:szCs w:val="14"/>
              </w:rPr>
              <w:t>orks</w:t>
            </w:r>
          </w:p>
        </w:tc>
        <w:tc>
          <w:tcPr>
            <w:tcW w:w="288" w:type="pct"/>
            <w:shd w:val="clear" w:color="auto" w:fill="auto"/>
            <w:vAlign w:val="center"/>
          </w:tcPr>
          <w:p w14:paraId="5B750D04" w14:textId="77777777" w:rsidR="00CF6BB3" w:rsidRPr="00872EFC" w:rsidRDefault="00CF6BB3" w:rsidP="00DC240B">
            <w:pPr>
              <w:pStyle w:val="SymalTableBody"/>
              <w:spacing w:before="20" w:after="20"/>
              <w:jc w:val="center"/>
              <w:rPr>
                <w:sz w:val="14"/>
                <w:szCs w:val="14"/>
              </w:rPr>
            </w:pPr>
            <w:r w:rsidRPr="00872EFC">
              <w:rPr>
                <w:sz w:val="14"/>
                <w:szCs w:val="14"/>
              </w:rPr>
              <w:t>H</w:t>
            </w:r>
          </w:p>
        </w:tc>
        <w:tc>
          <w:tcPr>
            <w:tcW w:w="240" w:type="pct"/>
            <w:shd w:val="clear" w:color="auto" w:fill="auto"/>
            <w:vAlign w:val="center"/>
          </w:tcPr>
          <w:p w14:paraId="348141DF" w14:textId="1B75D3AD" w:rsidR="00CF6BB3" w:rsidRPr="00872EFC" w:rsidRDefault="00CF6BB3" w:rsidP="00970318">
            <w:pPr>
              <w:pStyle w:val="SymalTableBody"/>
              <w:spacing w:before="20" w:after="20"/>
              <w:jc w:val="center"/>
              <w:rPr>
                <w:sz w:val="14"/>
                <w:szCs w:val="14"/>
              </w:rPr>
            </w:pPr>
            <w:r w:rsidRPr="008239BF">
              <w:rPr>
                <w:sz w:val="14"/>
                <w:szCs w:val="14"/>
              </w:rPr>
              <w:t>SE/SS</w:t>
            </w:r>
          </w:p>
        </w:tc>
        <w:tc>
          <w:tcPr>
            <w:tcW w:w="243" w:type="pct"/>
            <w:shd w:val="clear" w:color="auto" w:fill="auto"/>
            <w:vAlign w:val="center"/>
          </w:tcPr>
          <w:p w14:paraId="5DC8E5AC" w14:textId="77777777" w:rsidR="00CF6BB3" w:rsidRPr="00741190" w:rsidRDefault="00CF6BB3" w:rsidP="00970318">
            <w:pPr>
              <w:pStyle w:val="SymalTableBody"/>
              <w:spacing w:before="20" w:after="20"/>
              <w:jc w:val="center"/>
              <w:rPr>
                <w:b/>
                <w:bCs/>
                <w:szCs w:val="18"/>
              </w:rPr>
            </w:pPr>
          </w:p>
        </w:tc>
        <w:tc>
          <w:tcPr>
            <w:tcW w:w="289" w:type="pct"/>
            <w:shd w:val="clear" w:color="auto" w:fill="auto"/>
            <w:vAlign w:val="center"/>
          </w:tcPr>
          <w:p w14:paraId="7F1FD345" w14:textId="77777777" w:rsidR="00CF6BB3" w:rsidRPr="00741190" w:rsidRDefault="00CF6BB3" w:rsidP="00970318">
            <w:pPr>
              <w:pStyle w:val="SymalTableBody"/>
              <w:spacing w:before="20" w:after="20"/>
              <w:jc w:val="center"/>
              <w:rPr>
                <w:b/>
                <w:bCs/>
                <w:szCs w:val="18"/>
              </w:rPr>
            </w:pPr>
          </w:p>
        </w:tc>
        <w:tc>
          <w:tcPr>
            <w:tcW w:w="241" w:type="pct"/>
            <w:shd w:val="clear" w:color="auto" w:fill="auto"/>
            <w:vAlign w:val="center"/>
          </w:tcPr>
          <w:p w14:paraId="02F8EB77" w14:textId="77777777" w:rsidR="00CF6BB3" w:rsidRPr="00741190" w:rsidRDefault="00CF6BB3" w:rsidP="00CF6BB3">
            <w:pPr>
              <w:pStyle w:val="SymalTableBody"/>
              <w:spacing w:before="20" w:after="20"/>
              <w:jc w:val="center"/>
              <w:rPr>
                <w:b/>
                <w:bCs/>
                <w:szCs w:val="18"/>
              </w:rPr>
            </w:pPr>
          </w:p>
        </w:tc>
        <w:tc>
          <w:tcPr>
            <w:tcW w:w="624" w:type="pct"/>
            <w:shd w:val="clear" w:color="auto" w:fill="auto"/>
            <w:vAlign w:val="center"/>
          </w:tcPr>
          <w:p w14:paraId="226DEF33" w14:textId="77777777" w:rsidR="00CF6BB3" w:rsidRPr="00741190" w:rsidRDefault="00CF6BB3" w:rsidP="00CF6BB3">
            <w:pPr>
              <w:pStyle w:val="SymalTableBody"/>
              <w:spacing w:before="20" w:after="20"/>
              <w:rPr>
                <w:b/>
                <w:bCs/>
                <w:szCs w:val="18"/>
              </w:rPr>
            </w:pPr>
          </w:p>
        </w:tc>
      </w:tr>
      <w:tr w:rsidR="008C3339" w:rsidRPr="00741190" w14:paraId="3C400C09" w14:textId="77777777" w:rsidTr="00970318">
        <w:trPr>
          <w:trHeight w:val="227"/>
        </w:trPr>
        <w:tc>
          <w:tcPr>
            <w:tcW w:w="239" w:type="pct"/>
            <w:shd w:val="clear" w:color="auto" w:fill="auto"/>
            <w:vAlign w:val="center"/>
          </w:tcPr>
          <w:p w14:paraId="26864909" w14:textId="3BF90CB9" w:rsidR="008C3339" w:rsidRPr="00C81EB5" w:rsidRDefault="008C3339" w:rsidP="008C3339">
            <w:pPr>
              <w:pStyle w:val="SymalTableBody"/>
              <w:spacing w:before="20" w:after="20"/>
              <w:rPr>
                <w:b/>
                <w:bCs/>
                <w:sz w:val="16"/>
                <w:szCs w:val="16"/>
              </w:rPr>
            </w:pPr>
            <w:r w:rsidRPr="00C81EB5">
              <w:rPr>
                <w:b/>
                <w:bCs/>
                <w:sz w:val="16"/>
                <w:szCs w:val="16"/>
              </w:rPr>
              <w:t>1.</w:t>
            </w:r>
            <w:r>
              <w:rPr>
                <w:b/>
                <w:bCs/>
                <w:sz w:val="16"/>
                <w:szCs w:val="16"/>
              </w:rPr>
              <w:t>2</w:t>
            </w:r>
          </w:p>
        </w:tc>
        <w:tc>
          <w:tcPr>
            <w:tcW w:w="955" w:type="pct"/>
            <w:shd w:val="clear" w:color="auto" w:fill="auto"/>
            <w:vAlign w:val="center"/>
          </w:tcPr>
          <w:p w14:paraId="08AC9C3D" w14:textId="5C69F39E" w:rsidR="008C3339" w:rsidRPr="00872EFC" w:rsidRDefault="008C3339" w:rsidP="008C3339">
            <w:pPr>
              <w:pStyle w:val="SymalTableBody"/>
              <w:spacing w:before="20" w:after="20"/>
              <w:rPr>
                <w:sz w:val="14"/>
                <w:szCs w:val="14"/>
              </w:rPr>
            </w:pPr>
            <w:r>
              <w:rPr>
                <w:rFonts w:asciiTheme="majorHAnsi" w:hAnsiTheme="majorHAnsi" w:cstheme="majorHAnsi"/>
                <w:sz w:val="14"/>
                <w:szCs w:val="14"/>
              </w:rPr>
              <w:t xml:space="preserve">Boring under Carriageways </w:t>
            </w:r>
          </w:p>
        </w:tc>
        <w:tc>
          <w:tcPr>
            <w:tcW w:w="337" w:type="pct"/>
            <w:shd w:val="clear" w:color="auto" w:fill="auto"/>
            <w:vAlign w:val="center"/>
          </w:tcPr>
          <w:p w14:paraId="67B3C924" w14:textId="77777777" w:rsidR="008C3339" w:rsidRDefault="008C3339" w:rsidP="008C3339">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 Clause 706.04</w:t>
            </w:r>
          </w:p>
          <w:p w14:paraId="773854A0" w14:textId="77777777" w:rsidR="008C3339" w:rsidRDefault="008C3339" w:rsidP="008C3339">
            <w:pPr>
              <w:pStyle w:val="SymalTableBody"/>
              <w:spacing w:before="20" w:after="20"/>
              <w:jc w:val="center"/>
              <w:rPr>
                <w:rFonts w:asciiTheme="majorHAnsi" w:hAnsiTheme="majorHAnsi" w:cstheme="majorHAnsi"/>
                <w:sz w:val="14"/>
                <w:szCs w:val="14"/>
              </w:rPr>
            </w:pPr>
          </w:p>
          <w:p w14:paraId="60F28BF4" w14:textId="77777777" w:rsidR="008C3339" w:rsidRDefault="008C3339" w:rsidP="008C3339">
            <w:pPr>
              <w:pStyle w:val="SymalTableBody"/>
              <w:spacing w:before="20" w:after="20"/>
              <w:jc w:val="center"/>
              <w:rPr>
                <w:sz w:val="14"/>
                <w:szCs w:val="14"/>
              </w:rPr>
            </w:pPr>
          </w:p>
        </w:tc>
        <w:tc>
          <w:tcPr>
            <w:tcW w:w="1207" w:type="pct"/>
            <w:shd w:val="clear" w:color="auto" w:fill="auto"/>
            <w:vAlign w:val="center"/>
          </w:tcPr>
          <w:p w14:paraId="47136334" w14:textId="77777777" w:rsidR="008C3339" w:rsidRDefault="008C3339" w:rsidP="008C3339">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 xml:space="preserve">Boring by water jet not permitted. </w:t>
            </w:r>
          </w:p>
          <w:p w14:paraId="4DD19D14" w14:textId="77777777" w:rsidR="008C3339" w:rsidRDefault="008C3339" w:rsidP="008C3339">
            <w:pPr>
              <w:pStyle w:val="SymalTableBody"/>
              <w:spacing w:before="20" w:after="20"/>
              <w:jc w:val="both"/>
              <w:rPr>
                <w:rFonts w:asciiTheme="majorHAnsi" w:hAnsiTheme="majorHAnsi" w:cstheme="majorHAnsi"/>
                <w:sz w:val="14"/>
                <w:szCs w:val="14"/>
              </w:rPr>
            </w:pPr>
          </w:p>
          <w:p w14:paraId="7D83E446" w14:textId="77777777" w:rsidR="008C3339" w:rsidRDefault="008C3339" w:rsidP="008C3339">
            <w:pPr>
              <w:pStyle w:val="SymalTableBody"/>
              <w:spacing w:before="20" w:after="20"/>
              <w:jc w:val="both"/>
              <w:rPr>
                <w:rFonts w:asciiTheme="majorHAnsi" w:hAnsiTheme="majorHAnsi" w:cstheme="majorHAnsi"/>
                <w:sz w:val="14"/>
                <w:szCs w:val="14"/>
              </w:rPr>
            </w:pPr>
            <w:r w:rsidRPr="00F25443">
              <w:rPr>
                <w:rFonts w:asciiTheme="majorHAnsi" w:hAnsiTheme="majorHAnsi" w:cstheme="majorHAnsi"/>
                <w:sz w:val="14"/>
                <w:szCs w:val="14"/>
              </w:rPr>
              <w:t>Detailed proposals for boring under carriageways shall be submitted to the superintendent for review two weeks prior to the programmed commencement of work.</w:t>
            </w:r>
          </w:p>
          <w:p w14:paraId="47D953BB" w14:textId="77777777" w:rsidR="008C3339" w:rsidRDefault="008C3339" w:rsidP="008C3339">
            <w:pPr>
              <w:pStyle w:val="SymalTableBody"/>
              <w:spacing w:before="20" w:after="20"/>
              <w:jc w:val="both"/>
              <w:rPr>
                <w:rFonts w:asciiTheme="majorHAnsi" w:hAnsiTheme="majorHAnsi" w:cstheme="majorHAnsi"/>
                <w:sz w:val="14"/>
                <w:szCs w:val="14"/>
              </w:rPr>
            </w:pPr>
          </w:p>
          <w:p w14:paraId="776E01F9" w14:textId="77777777" w:rsidR="008C3339" w:rsidRDefault="008C3339" w:rsidP="008C3339">
            <w:pPr>
              <w:pStyle w:val="SymalTableBody"/>
              <w:spacing w:before="20" w:after="20"/>
              <w:rPr>
                <w:b/>
                <w:bCs/>
                <w:sz w:val="14"/>
                <w:szCs w:val="14"/>
              </w:rPr>
            </w:pPr>
            <w:r>
              <w:rPr>
                <w:b/>
                <w:bCs/>
                <w:sz w:val="14"/>
                <w:szCs w:val="14"/>
              </w:rPr>
              <w:t xml:space="preserve">Approval to proceed? </w:t>
            </w:r>
          </w:p>
          <w:p w14:paraId="53EFE788" w14:textId="524EB3E1" w:rsidR="008C3339" w:rsidRDefault="008C3339" w:rsidP="008C3339">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b/>
                <w:bCs/>
                <w:sz w:val="14"/>
                <w:szCs w:val="14"/>
              </w:rPr>
              <w:t xml:space="preserve">        N/A      </w:t>
            </w:r>
            <w:r>
              <w:rPr>
                <w:b/>
                <w:bCs/>
                <w:sz w:val="24"/>
                <w:szCs w:val="24"/>
              </w:rPr>
              <w:t xml:space="preserve"> </w:t>
            </w:r>
            <w:r w:rsidRPr="00DE2166">
              <w:rPr>
                <w:rFonts w:ascii="Arial" w:hAnsi="Arial" w:cs="Arial"/>
                <w:b/>
                <w:bCs/>
                <w:sz w:val="28"/>
                <w:szCs w:val="28"/>
              </w:rPr>
              <w:t>□</w:t>
            </w:r>
          </w:p>
        </w:tc>
        <w:tc>
          <w:tcPr>
            <w:tcW w:w="337" w:type="pct"/>
            <w:shd w:val="clear" w:color="auto" w:fill="auto"/>
            <w:vAlign w:val="center"/>
          </w:tcPr>
          <w:p w14:paraId="359228B8" w14:textId="3057937C" w:rsidR="008C3339" w:rsidRPr="00872EFC" w:rsidRDefault="008C3339" w:rsidP="008C3339">
            <w:pPr>
              <w:pStyle w:val="SymalTableBody"/>
              <w:spacing w:before="20" w:after="20"/>
              <w:jc w:val="center"/>
              <w:rPr>
                <w:sz w:val="14"/>
                <w:szCs w:val="14"/>
              </w:rPr>
            </w:pPr>
            <w:r>
              <w:rPr>
                <w:sz w:val="14"/>
                <w:szCs w:val="14"/>
              </w:rPr>
              <w:t xml:space="preserve">Prior to start of works </w:t>
            </w:r>
          </w:p>
        </w:tc>
        <w:tc>
          <w:tcPr>
            <w:tcW w:w="288" w:type="pct"/>
            <w:shd w:val="clear" w:color="auto" w:fill="auto"/>
            <w:vAlign w:val="center"/>
          </w:tcPr>
          <w:p w14:paraId="4330EC4A" w14:textId="2AC1C03C" w:rsidR="008C3339" w:rsidRPr="00872EFC" w:rsidRDefault="008C3339" w:rsidP="008C3339">
            <w:pPr>
              <w:pStyle w:val="SymalTableBody"/>
              <w:spacing w:before="20" w:after="20"/>
              <w:jc w:val="center"/>
              <w:rPr>
                <w:sz w:val="14"/>
                <w:szCs w:val="14"/>
              </w:rPr>
            </w:pPr>
            <w:r>
              <w:rPr>
                <w:sz w:val="14"/>
                <w:szCs w:val="14"/>
              </w:rPr>
              <w:t>H</w:t>
            </w:r>
          </w:p>
        </w:tc>
        <w:tc>
          <w:tcPr>
            <w:tcW w:w="240" w:type="pct"/>
            <w:shd w:val="clear" w:color="auto" w:fill="auto"/>
            <w:vAlign w:val="center"/>
          </w:tcPr>
          <w:p w14:paraId="46E5BDBB" w14:textId="65F87C83" w:rsidR="008C3339" w:rsidRPr="008239BF" w:rsidRDefault="008C3339" w:rsidP="008C3339">
            <w:pPr>
              <w:pStyle w:val="SymalTableBody"/>
              <w:spacing w:before="20" w:after="20"/>
              <w:jc w:val="center"/>
              <w:rPr>
                <w:sz w:val="14"/>
                <w:szCs w:val="14"/>
              </w:rPr>
            </w:pPr>
            <w:r>
              <w:rPr>
                <w:sz w:val="14"/>
                <w:szCs w:val="14"/>
              </w:rPr>
              <w:t>SE</w:t>
            </w:r>
          </w:p>
        </w:tc>
        <w:tc>
          <w:tcPr>
            <w:tcW w:w="243" w:type="pct"/>
            <w:shd w:val="clear" w:color="auto" w:fill="auto"/>
            <w:vAlign w:val="center"/>
          </w:tcPr>
          <w:p w14:paraId="76AC8985" w14:textId="77777777" w:rsidR="008C3339" w:rsidRPr="00741190" w:rsidRDefault="008C3339" w:rsidP="008C3339">
            <w:pPr>
              <w:pStyle w:val="SymalTableBody"/>
              <w:spacing w:before="20" w:after="20"/>
              <w:jc w:val="center"/>
              <w:rPr>
                <w:b/>
                <w:bCs/>
                <w:szCs w:val="18"/>
              </w:rPr>
            </w:pPr>
          </w:p>
        </w:tc>
        <w:tc>
          <w:tcPr>
            <w:tcW w:w="289" w:type="pct"/>
            <w:shd w:val="clear" w:color="auto" w:fill="auto"/>
            <w:vAlign w:val="center"/>
          </w:tcPr>
          <w:p w14:paraId="5424A44F" w14:textId="08CD88B5" w:rsidR="008C3339" w:rsidRPr="00741190" w:rsidRDefault="008C3339" w:rsidP="008C3339">
            <w:pPr>
              <w:pStyle w:val="SymalTableBody"/>
              <w:spacing w:before="20" w:after="20"/>
              <w:jc w:val="center"/>
              <w:rPr>
                <w:b/>
                <w:bCs/>
                <w:szCs w:val="18"/>
              </w:rPr>
            </w:pPr>
            <w:r w:rsidRPr="0037642A">
              <w:rPr>
                <w:b/>
                <w:bCs/>
                <w:sz w:val="16"/>
                <w:szCs w:val="16"/>
                <w:u w:val="single"/>
              </w:rPr>
              <w:t>H</w:t>
            </w:r>
          </w:p>
        </w:tc>
        <w:tc>
          <w:tcPr>
            <w:tcW w:w="241" w:type="pct"/>
            <w:shd w:val="clear" w:color="auto" w:fill="auto"/>
            <w:vAlign w:val="center"/>
          </w:tcPr>
          <w:p w14:paraId="1CC0413E" w14:textId="77777777" w:rsidR="008C3339" w:rsidRPr="00741190" w:rsidRDefault="008C3339" w:rsidP="008C3339">
            <w:pPr>
              <w:pStyle w:val="SymalTableBody"/>
              <w:spacing w:before="20" w:after="20"/>
              <w:jc w:val="center"/>
              <w:rPr>
                <w:b/>
                <w:bCs/>
                <w:szCs w:val="18"/>
              </w:rPr>
            </w:pPr>
          </w:p>
        </w:tc>
        <w:tc>
          <w:tcPr>
            <w:tcW w:w="624" w:type="pct"/>
            <w:shd w:val="clear" w:color="auto" w:fill="auto"/>
            <w:vAlign w:val="center"/>
          </w:tcPr>
          <w:p w14:paraId="1693B97F" w14:textId="77777777" w:rsidR="008C3339" w:rsidRPr="00741190" w:rsidRDefault="008C3339" w:rsidP="008C3339">
            <w:pPr>
              <w:pStyle w:val="SymalTableBody"/>
              <w:spacing w:before="20" w:after="20"/>
              <w:rPr>
                <w:b/>
                <w:bCs/>
                <w:szCs w:val="18"/>
              </w:rPr>
            </w:pPr>
          </w:p>
        </w:tc>
      </w:tr>
      <w:tr w:rsidR="008C3339" w:rsidRPr="00741190" w14:paraId="6435CA93" w14:textId="77777777" w:rsidTr="00947C9D">
        <w:trPr>
          <w:trHeight w:val="227"/>
        </w:trPr>
        <w:tc>
          <w:tcPr>
            <w:tcW w:w="5000" w:type="pct"/>
            <w:gridSpan w:val="11"/>
            <w:shd w:val="clear" w:color="auto" w:fill="000000" w:themeFill="text1"/>
            <w:vAlign w:val="center"/>
          </w:tcPr>
          <w:p w14:paraId="7310BD29" w14:textId="36AE5B6F" w:rsidR="008C3339" w:rsidRPr="00741190" w:rsidRDefault="008C3339" w:rsidP="008C3339">
            <w:pPr>
              <w:pStyle w:val="SymalTableBody"/>
              <w:spacing w:before="20" w:after="20"/>
              <w:rPr>
                <w:b/>
                <w:bCs/>
                <w:szCs w:val="18"/>
              </w:rPr>
            </w:pPr>
            <w:r>
              <w:rPr>
                <w:b/>
                <w:bCs/>
                <w:sz w:val="20"/>
              </w:rPr>
              <w:t>2</w:t>
            </w:r>
            <w:r w:rsidRPr="000565D7">
              <w:rPr>
                <w:b/>
                <w:bCs/>
                <w:sz w:val="20"/>
              </w:rPr>
              <w:t>.0 Conduit Covers</w:t>
            </w:r>
          </w:p>
        </w:tc>
      </w:tr>
      <w:tr w:rsidR="008C3339" w:rsidRPr="00741190" w14:paraId="7BF5E704" w14:textId="77777777" w:rsidTr="00970318">
        <w:trPr>
          <w:trHeight w:val="227"/>
        </w:trPr>
        <w:tc>
          <w:tcPr>
            <w:tcW w:w="239" w:type="pct"/>
            <w:shd w:val="clear" w:color="auto" w:fill="auto"/>
            <w:vAlign w:val="center"/>
          </w:tcPr>
          <w:p w14:paraId="7EA94CD4" w14:textId="62511B69" w:rsidR="008C3339" w:rsidRPr="00C81EB5" w:rsidRDefault="008C3339" w:rsidP="008C3339">
            <w:pPr>
              <w:pStyle w:val="SymalTableBody"/>
              <w:spacing w:before="20" w:after="20"/>
              <w:rPr>
                <w:b/>
                <w:bCs/>
                <w:sz w:val="16"/>
                <w:szCs w:val="16"/>
              </w:rPr>
            </w:pPr>
            <w:r>
              <w:rPr>
                <w:rFonts w:asciiTheme="majorHAnsi" w:hAnsiTheme="majorHAnsi" w:cstheme="majorHAnsi"/>
                <w:b/>
                <w:bCs/>
                <w:sz w:val="16"/>
                <w:szCs w:val="16"/>
              </w:rPr>
              <w:t>2</w:t>
            </w:r>
            <w:r w:rsidRPr="00C81EB5">
              <w:rPr>
                <w:rFonts w:asciiTheme="majorHAnsi" w:hAnsiTheme="majorHAnsi" w:cstheme="majorHAnsi"/>
                <w:b/>
                <w:bCs/>
                <w:sz w:val="16"/>
                <w:szCs w:val="16"/>
              </w:rPr>
              <w:t>.1</w:t>
            </w:r>
          </w:p>
        </w:tc>
        <w:tc>
          <w:tcPr>
            <w:tcW w:w="955" w:type="pct"/>
            <w:shd w:val="clear" w:color="auto" w:fill="auto"/>
            <w:vAlign w:val="center"/>
          </w:tcPr>
          <w:p w14:paraId="3FF562A4" w14:textId="49020E24" w:rsidR="008C3339" w:rsidRPr="00D340C6" w:rsidRDefault="008C3339" w:rsidP="008C3339">
            <w:pPr>
              <w:pStyle w:val="SymalTableBody"/>
              <w:spacing w:before="20" w:after="20"/>
              <w:rPr>
                <w:b/>
                <w:bCs/>
                <w:sz w:val="16"/>
                <w:szCs w:val="16"/>
              </w:rPr>
            </w:pPr>
            <w:r>
              <w:rPr>
                <w:rFonts w:asciiTheme="majorHAnsi" w:hAnsiTheme="majorHAnsi" w:cstheme="majorHAnsi"/>
                <w:sz w:val="14"/>
                <w:szCs w:val="14"/>
              </w:rPr>
              <w:t>Excavation and Cover Requirements</w:t>
            </w:r>
          </w:p>
        </w:tc>
        <w:tc>
          <w:tcPr>
            <w:tcW w:w="337" w:type="pct"/>
            <w:shd w:val="clear" w:color="auto" w:fill="auto"/>
            <w:vAlign w:val="center"/>
          </w:tcPr>
          <w:p w14:paraId="43D610B5" w14:textId="32655E43" w:rsidR="008C3339" w:rsidRPr="005A6B13" w:rsidRDefault="008C3339" w:rsidP="008C3339">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 xml:space="preserve">VR Clause </w:t>
            </w:r>
            <w:r w:rsidRPr="00896BAE">
              <w:rPr>
                <w:rFonts w:asciiTheme="majorHAnsi" w:hAnsiTheme="majorHAnsi" w:cstheme="majorHAnsi"/>
                <w:sz w:val="14"/>
                <w:szCs w:val="14"/>
              </w:rPr>
              <w:t>706.03</w:t>
            </w:r>
          </w:p>
        </w:tc>
        <w:tc>
          <w:tcPr>
            <w:tcW w:w="1207" w:type="pct"/>
            <w:shd w:val="clear" w:color="auto" w:fill="auto"/>
            <w:vAlign w:val="center"/>
          </w:tcPr>
          <w:p w14:paraId="131C4B16" w14:textId="0E554447" w:rsidR="008C3339" w:rsidRDefault="008C3339" w:rsidP="008C3339">
            <w:pPr>
              <w:keepNext/>
              <w:spacing w:before="0" w:after="0"/>
              <w:rPr>
                <w:rFonts w:asciiTheme="majorHAnsi" w:eastAsia="Arial" w:hAnsiTheme="majorHAnsi" w:cstheme="majorHAnsi"/>
                <w:sz w:val="14"/>
                <w:szCs w:val="14"/>
              </w:rPr>
            </w:pPr>
            <w:r>
              <w:rPr>
                <w:rFonts w:asciiTheme="majorHAnsi" w:eastAsia="Arial" w:hAnsiTheme="majorHAnsi" w:cstheme="majorHAnsi"/>
                <w:sz w:val="14"/>
                <w:szCs w:val="14"/>
              </w:rPr>
              <w:t xml:space="preserve">Cover requirements for </w:t>
            </w:r>
            <w:r w:rsidR="00674D64">
              <w:rPr>
                <w:rFonts w:asciiTheme="majorHAnsi" w:eastAsia="Arial" w:hAnsiTheme="majorHAnsi" w:cstheme="majorHAnsi"/>
                <w:sz w:val="14"/>
                <w:szCs w:val="14"/>
              </w:rPr>
              <w:t>electrical</w:t>
            </w:r>
            <w:r>
              <w:rPr>
                <w:rFonts w:asciiTheme="majorHAnsi" w:eastAsia="Arial" w:hAnsiTheme="majorHAnsi" w:cstheme="majorHAnsi"/>
                <w:sz w:val="14"/>
                <w:szCs w:val="14"/>
              </w:rPr>
              <w:t xml:space="preserve"> assets shall be:</w:t>
            </w:r>
          </w:p>
          <w:p w14:paraId="3F79583E" w14:textId="02662F4D" w:rsidR="008C3339" w:rsidRDefault="008C3339" w:rsidP="008C3339">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Pavement surface to top of conduit minimum 1200 mm.</w:t>
            </w:r>
          </w:p>
          <w:p w14:paraId="2D3B26C7" w14:textId="0D1A6856" w:rsidR="008C3339" w:rsidRDefault="008C3339" w:rsidP="008C3339">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Invert of open drain to top of conduit minimum 750 mm.</w:t>
            </w:r>
          </w:p>
          <w:p w14:paraId="514B7B7B" w14:textId="05EE7C63" w:rsidR="008C3339" w:rsidRDefault="008C3339" w:rsidP="008C3339">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Unpaved areas to top of conduit minimum 600 mm.</w:t>
            </w:r>
          </w:p>
          <w:p w14:paraId="29269897" w14:textId="746896EC" w:rsidR="008C3339" w:rsidRDefault="008C3339" w:rsidP="008C3339">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As per asset authority requirement for cover to other assets</w:t>
            </w:r>
          </w:p>
          <w:p w14:paraId="4315157B" w14:textId="79F89985" w:rsidR="008C3339" w:rsidRDefault="008C3339" w:rsidP="008C3339">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Or else as specified on design drawings in accordance with asset owner requirements.</w:t>
            </w:r>
          </w:p>
          <w:p w14:paraId="28BC8CA7" w14:textId="646C9B89" w:rsidR="008C3339" w:rsidRDefault="008C3339" w:rsidP="008C3339">
            <w:pPr>
              <w:pStyle w:val="SymalTableBody"/>
              <w:spacing w:before="20" w:after="20"/>
              <w:rPr>
                <w:rFonts w:asciiTheme="majorHAnsi" w:eastAsia="Arial" w:hAnsiTheme="majorHAnsi" w:cstheme="majorHAnsi"/>
                <w:sz w:val="14"/>
                <w:szCs w:val="14"/>
              </w:rPr>
            </w:pPr>
          </w:p>
          <w:p w14:paraId="198EDEEC" w14:textId="77777777" w:rsidR="008C3339" w:rsidRDefault="008C3339" w:rsidP="008C3339">
            <w:pPr>
              <w:pStyle w:val="SymalTableBody"/>
              <w:spacing w:before="20" w:after="20"/>
              <w:rPr>
                <w:b/>
                <w:bCs/>
                <w:sz w:val="14"/>
                <w:szCs w:val="14"/>
              </w:rPr>
            </w:pPr>
            <w:r>
              <w:rPr>
                <w:b/>
                <w:bCs/>
                <w:sz w:val="14"/>
                <w:szCs w:val="14"/>
              </w:rPr>
              <w:lastRenderedPageBreak/>
              <w:t xml:space="preserve">Has all of the above been completed and approved? </w:t>
            </w:r>
          </w:p>
          <w:p w14:paraId="064BD583" w14:textId="4C030FFE" w:rsidR="008C3339" w:rsidRPr="00D133FA" w:rsidRDefault="008C3339" w:rsidP="008C3339">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DE2166">
              <w:rPr>
                <w:b/>
                <w:bCs/>
                <w:sz w:val="28"/>
                <w:szCs w:val="28"/>
              </w:rPr>
              <w:t xml:space="preserve"> </w:t>
            </w:r>
            <w:r w:rsidRPr="00DE2166">
              <w:rPr>
                <w:rFonts w:ascii="Arial" w:hAnsi="Arial" w:cs="Arial"/>
                <w:b/>
                <w:bCs/>
                <w:sz w:val="28"/>
                <w:szCs w:val="28"/>
              </w:rPr>
              <w:t>□</w:t>
            </w:r>
            <w:r>
              <w:rPr>
                <w:b/>
                <w:bCs/>
                <w:sz w:val="20"/>
              </w:rPr>
              <w:t xml:space="preserve">       </w:t>
            </w:r>
            <w:r>
              <w:rPr>
                <w:b/>
                <w:bCs/>
                <w:sz w:val="14"/>
                <w:szCs w:val="14"/>
              </w:rPr>
              <w:t xml:space="preserve">N/A     </w:t>
            </w:r>
            <w:r>
              <w:rPr>
                <w:b/>
                <w:bCs/>
                <w:sz w:val="24"/>
                <w:szCs w:val="24"/>
              </w:rPr>
              <w:t xml:space="preserve"> </w:t>
            </w:r>
            <w:r w:rsidRPr="00DE2166">
              <w:rPr>
                <w:rFonts w:ascii="Arial" w:hAnsi="Arial" w:cs="Arial"/>
                <w:b/>
                <w:bCs/>
                <w:sz w:val="28"/>
                <w:szCs w:val="28"/>
              </w:rPr>
              <w:t>□</w:t>
            </w:r>
          </w:p>
        </w:tc>
        <w:tc>
          <w:tcPr>
            <w:tcW w:w="337" w:type="pct"/>
            <w:shd w:val="clear" w:color="auto" w:fill="auto"/>
            <w:vAlign w:val="center"/>
          </w:tcPr>
          <w:p w14:paraId="525B8FFC" w14:textId="77777777" w:rsidR="008C3339" w:rsidRDefault="008C3339" w:rsidP="008C3339">
            <w:pPr>
              <w:pStyle w:val="SymalTableBody"/>
              <w:spacing w:before="20" w:after="20"/>
              <w:jc w:val="center"/>
              <w:rPr>
                <w:sz w:val="14"/>
                <w:szCs w:val="14"/>
              </w:rPr>
            </w:pPr>
            <w:r w:rsidRPr="000565D7">
              <w:rPr>
                <w:sz w:val="14"/>
                <w:szCs w:val="14"/>
              </w:rPr>
              <w:lastRenderedPageBreak/>
              <w:t>Each Lot</w:t>
            </w:r>
          </w:p>
          <w:p w14:paraId="723A8388" w14:textId="77777777" w:rsidR="008C3339" w:rsidRDefault="008C3339" w:rsidP="008C3339">
            <w:pPr>
              <w:pStyle w:val="SymalTableBody"/>
              <w:spacing w:before="20" w:after="20"/>
              <w:jc w:val="center"/>
              <w:rPr>
                <w:sz w:val="14"/>
                <w:szCs w:val="14"/>
              </w:rPr>
            </w:pPr>
          </w:p>
          <w:p w14:paraId="5695B238" w14:textId="1DAF897F" w:rsidR="008C3339" w:rsidRDefault="008C3339" w:rsidP="008C3339">
            <w:pPr>
              <w:pStyle w:val="SymalTableBody"/>
              <w:spacing w:before="20" w:after="20"/>
              <w:jc w:val="center"/>
              <w:rPr>
                <w:sz w:val="14"/>
                <w:szCs w:val="14"/>
              </w:rPr>
            </w:pPr>
            <w:r>
              <w:rPr>
                <w:sz w:val="14"/>
                <w:szCs w:val="14"/>
              </w:rPr>
              <w:t>&amp;</w:t>
            </w:r>
          </w:p>
          <w:p w14:paraId="47E2EF60" w14:textId="77777777" w:rsidR="008C3339" w:rsidRDefault="008C3339" w:rsidP="008C3339">
            <w:pPr>
              <w:pStyle w:val="SymalTableBody"/>
              <w:spacing w:before="20" w:after="20"/>
              <w:jc w:val="center"/>
              <w:rPr>
                <w:sz w:val="14"/>
                <w:szCs w:val="14"/>
              </w:rPr>
            </w:pPr>
          </w:p>
          <w:p w14:paraId="264AA954" w14:textId="6F14FE0A" w:rsidR="008C3339" w:rsidRPr="000565D7" w:rsidRDefault="008C3339" w:rsidP="008C3339">
            <w:pPr>
              <w:pStyle w:val="SymalTableBody"/>
              <w:spacing w:before="20" w:after="20"/>
              <w:jc w:val="center"/>
              <w:rPr>
                <w:sz w:val="14"/>
                <w:szCs w:val="14"/>
              </w:rPr>
            </w:pPr>
            <w:r>
              <w:rPr>
                <w:sz w:val="14"/>
                <w:szCs w:val="14"/>
              </w:rPr>
              <w:t>Each possession</w:t>
            </w:r>
          </w:p>
        </w:tc>
        <w:tc>
          <w:tcPr>
            <w:tcW w:w="288" w:type="pct"/>
            <w:shd w:val="clear" w:color="auto" w:fill="auto"/>
            <w:vAlign w:val="center"/>
          </w:tcPr>
          <w:p w14:paraId="194ED1D6" w14:textId="114E2D2C" w:rsidR="008C3339" w:rsidRPr="000565D7" w:rsidRDefault="008C3339" w:rsidP="008C3339">
            <w:pPr>
              <w:pStyle w:val="SymalTableBody"/>
              <w:spacing w:before="20" w:after="20"/>
              <w:jc w:val="center"/>
              <w:rPr>
                <w:sz w:val="14"/>
                <w:szCs w:val="14"/>
              </w:rPr>
            </w:pPr>
            <w:r>
              <w:rPr>
                <w:sz w:val="14"/>
                <w:szCs w:val="14"/>
              </w:rPr>
              <w:t>S</w:t>
            </w:r>
          </w:p>
        </w:tc>
        <w:tc>
          <w:tcPr>
            <w:tcW w:w="240" w:type="pct"/>
            <w:shd w:val="clear" w:color="auto" w:fill="auto"/>
            <w:vAlign w:val="center"/>
          </w:tcPr>
          <w:p w14:paraId="7FD4BBCE" w14:textId="3EDA50EA" w:rsidR="008C3339" w:rsidRPr="000565D7" w:rsidRDefault="008C3339" w:rsidP="008C3339">
            <w:pPr>
              <w:pStyle w:val="SymalTableBody"/>
              <w:spacing w:before="20" w:after="20"/>
              <w:jc w:val="center"/>
              <w:rPr>
                <w:sz w:val="14"/>
                <w:szCs w:val="14"/>
              </w:rPr>
            </w:pPr>
            <w:r w:rsidRPr="008239BF">
              <w:rPr>
                <w:sz w:val="14"/>
                <w:szCs w:val="14"/>
              </w:rPr>
              <w:t>SE/SS</w:t>
            </w:r>
          </w:p>
        </w:tc>
        <w:tc>
          <w:tcPr>
            <w:tcW w:w="243" w:type="pct"/>
            <w:shd w:val="clear" w:color="auto" w:fill="auto"/>
            <w:vAlign w:val="center"/>
          </w:tcPr>
          <w:p w14:paraId="1F35CF77" w14:textId="77777777" w:rsidR="008C3339" w:rsidRPr="00741190" w:rsidRDefault="008C3339" w:rsidP="008C3339">
            <w:pPr>
              <w:pStyle w:val="SymalTableBody"/>
              <w:spacing w:before="20" w:after="20"/>
              <w:jc w:val="center"/>
              <w:rPr>
                <w:b/>
                <w:bCs/>
                <w:szCs w:val="18"/>
              </w:rPr>
            </w:pPr>
          </w:p>
        </w:tc>
        <w:tc>
          <w:tcPr>
            <w:tcW w:w="289" w:type="pct"/>
            <w:shd w:val="clear" w:color="auto" w:fill="auto"/>
            <w:vAlign w:val="center"/>
          </w:tcPr>
          <w:p w14:paraId="6E64C4FF" w14:textId="77777777" w:rsidR="008C3339" w:rsidRPr="00741190" w:rsidRDefault="008C3339" w:rsidP="008C3339">
            <w:pPr>
              <w:pStyle w:val="SymalTableBody"/>
              <w:spacing w:before="20" w:after="20"/>
              <w:jc w:val="center"/>
              <w:rPr>
                <w:b/>
                <w:bCs/>
                <w:szCs w:val="18"/>
              </w:rPr>
            </w:pPr>
          </w:p>
        </w:tc>
        <w:tc>
          <w:tcPr>
            <w:tcW w:w="241" w:type="pct"/>
            <w:shd w:val="clear" w:color="auto" w:fill="auto"/>
            <w:vAlign w:val="center"/>
          </w:tcPr>
          <w:p w14:paraId="2AE65064" w14:textId="77777777" w:rsidR="008C3339" w:rsidRPr="00741190" w:rsidRDefault="008C3339" w:rsidP="008C3339">
            <w:pPr>
              <w:pStyle w:val="SymalTableBody"/>
              <w:spacing w:before="20" w:after="20"/>
              <w:jc w:val="center"/>
              <w:rPr>
                <w:b/>
                <w:bCs/>
                <w:szCs w:val="18"/>
              </w:rPr>
            </w:pPr>
          </w:p>
        </w:tc>
        <w:tc>
          <w:tcPr>
            <w:tcW w:w="624" w:type="pct"/>
            <w:shd w:val="clear" w:color="auto" w:fill="auto"/>
            <w:vAlign w:val="center"/>
          </w:tcPr>
          <w:p w14:paraId="60A6D994" w14:textId="1D8E0E1B" w:rsidR="008C3339" w:rsidRPr="00741190" w:rsidRDefault="008C3339" w:rsidP="008C3339">
            <w:pPr>
              <w:pStyle w:val="Tabletext"/>
              <w:jc w:val="center"/>
              <w:rPr>
                <w:b/>
                <w:bCs w:val="0"/>
                <w:szCs w:val="18"/>
              </w:rPr>
            </w:pPr>
          </w:p>
        </w:tc>
      </w:tr>
      <w:tr w:rsidR="008C3339" w:rsidRPr="00741190" w14:paraId="10D43F62" w14:textId="77777777" w:rsidTr="00396B4F">
        <w:trPr>
          <w:trHeight w:val="227"/>
        </w:trPr>
        <w:tc>
          <w:tcPr>
            <w:tcW w:w="5000" w:type="pct"/>
            <w:gridSpan w:val="11"/>
            <w:shd w:val="clear" w:color="auto" w:fill="000000" w:themeFill="text1"/>
            <w:vAlign w:val="center"/>
          </w:tcPr>
          <w:p w14:paraId="74558B77" w14:textId="7E5C876E" w:rsidR="008C3339" w:rsidRDefault="008C3339" w:rsidP="008C3339">
            <w:pPr>
              <w:pStyle w:val="Tabletext"/>
              <w:spacing w:before="0" w:after="0"/>
              <w:rPr>
                <w:rFonts w:asciiTheme="majorHAnsi" w:hAnsiTheme="majorHAnsi" w:cstheme="majorHAnsi"/>
                <w:sz w:val="14"/>
                <w:szCs w:val="14"/>
              </w:rPr>
            </w:pPr>
            <w:r>
              <w:rPr>
                <w:b/>
                <w:bCs w:val="0"/>
                <w:color w:val="FFFFFF" w:themeColor="background1"/>
                <w:sz w:val="20"/>
              </w:rPr>
              <w:t>3</w:t>
            </w:r>
            <w:r>
              <w:rPr>
                <w:b/>
                <w:color w:val="FFFFFF" w:themeColor="background1"/>
                <w:sz w:val="20"/>
              </w:rPr>
              <w:t xml:space="preserve">.0 </w:t>
            </w:r>
            <w:r>
              <w:rPr>
                <w:b/>
                <w:bCs w:val="0"/>
                <w:color w:val="FFFFFF" w:themeColor="background1"/>
                <w:sz w:val="20"/>
              </w:rPr>
              <w:t xml:space="preserve">Backfill and Compaction </w:t>
            </w:r>
          </w:p>
        </w:tc>
      </w:tr>
      <w:tr w:rsidR="008C3339" w:rsidRPr="00741190" w14:paraId="65773080" w14:textId="77777777" w:rsidTr="00DD3F2A">
        <w:trPr>
          <w:trHeight w:val="227"/>
        </w:trPr>
        <w:tc>
          <w:tcPr>
            <w:tcW w:w="239" w:type="pct"/>
            <w:shd w:val="clear" w:color="auto" w:fill="auto"/>
            <w:vAlign w:val="center"/>
          </w:tcPr>
          <w:p w14:paraId="49C6FD31" w14:textId="117A0AED" w:rsidR="008C3339" w:rsidRPr="00C81EB5" w:rsidRDefault="008C3339" w:rsidP="008C3339">
            <w:pPr>
              <w:pStyle w:val="SymalTableBody"/>
              <w:spacing w:before="20" w:after="20"/>
              <w:rPr>
                <w:b/>
                <w:bCs/>
                <w:sz w:val="16"/>
                <w:szCs w:val="16"/>
              </w:rPr>
            </w:pPr>
            <w:r>
              <w:rPr>
                <w:rFonts w:asciiTheme="majorHAnsi" w:hAnsiTheme="majorHAnsi" w:cstheme="majorHAnsi"/>
                <w:b/>
                <w:bCs/>
                <w:sz w:val="16"/>
                <w:szCs w:val="16"/>
              </w:rPr>
              <w:t>3</w:t>
            </w:r>
            <w:r w:rsidRPr="00C81EB5">
              <w:rPr>
                <w:rFonts w:asciiTheme="majorHAnsi" w:hAnsiTheme="majorHAnsi" w:cstheme="majorHAnsi"/>
                <w:b/>
                <w:bCs/>
                <w:sz w:val="16"/>
                <w:szCs w:val="16"/>
              </w:rPr>
              <w:t>.</w:t>
            </w:r>
            <w:r>
              <w:rPr>
                <w:rFonts w:asciiTheme="majorHAnsi" w:hAnsiTheme="majorHAnsi" w:cstheme="majorHAnsi"/>
                <w:b/>
                <w:bCs/>
                <w:sz w:val="16"/>
                <w:szCs w:val="16"/>
              </w:rPr>
              <w:t>1</w:t>
            </w:r>
          </w:p>
        </w:tc>
        <w:tc>
          <w:tcPr>
            <w:tcW w:w="955" w:type="pct"/>
            <w:shd w:val="clear" w:color="auto" w:fill="auto"/>
            <w:vAlign w:val="center"/>
          </w:tcPr>
          <w:p w14:paraId="71EC15C4" w14:textId="73070B81" w:rsidR="008C3339" w:rsidRPr="00D340C6" w:rsidRDefault="008C3339" w:rsidP="008C3339">
            <w:pPr>
              <w:pStyle w:val="SymalTableBody"/>
              <w:spacing w:before="20" w:after="20"/>
              <w:rPr>
                <w:b/>
                <w:bCs/>
                <w:sz w:val="16"/>
                <w:szCs w:val="16"/>
              </w:rPr>
            </w:pPr>
            <w:r>
              <w:rPr>
                <w:rFonts w:asciiTheme="majorHAnsi" w:hAnsiTheme="majorHAnsi" w:cstheme="majorHAnsi"/>
                <w:sz w:val="14"/>
                <w:szCs w:val="14"/>
              </w:rPr>
              <w:t>Backfilling/Compaction</w:t>
            </w:r>
            <w:r>
              <w:rPr>
                <w:rFonts w:asciiTheme="majorHAnsi" w:hAnsiTheme="majorHAnsi" w:cstheme="majorHAnsi"/>
                <w:sz w:val="14"/>
                <w:szCs w:val="14"/>
              </w:rPr>
              <w:br/>
            </w:r>
            <w:r w:rsidRPr="00356754">
              <w:rPr>
                <w:rFonts w:asciiTheme="majorHAnsi" w:hAnsiTheme="majorHAnsi" w:cstheme="majorHAnsi"/>
                <w:b/>
                <w:bCs/>
                <w:sz w:val="14"/>
                <w:szCs w:val="14"/>
              </w:rPr>
              <w:t>(Areas not being paved</w:t>
            </w:r>
            <w:r w:rsidRPr="001E0970">
              <w:rPr>
                <w:rFonts w:asciiTheme="majorHAnsi" w:hAnsiTheme="majorHAnsi" w:cstheme="majorHAnsi"/>
                <w:sz w:val="14"/>
                <w:szCs w:val="14"/>
              </w:rPr>
              <w:t>)</w:t>
            </w:r>
          </w:p>
        </w:tc>
        <w:tc>
          <w:tcPr>
            <w:tcW w:w="337" w:type="pct"/>
            <w:shd w:val="clear" w:color="auto" w:fill="auto"/>
            <w:vAlign w:val="center"/>
          </w:tcPr>
          <w:p w14:paraId="359E9A3D" w14:textId="2FA7A92B" w:rsidR="008C3339" w:rsidRDefault="008C3339" w:rsidP="008C3339">
            <w:pPr>
              <w:pStyle w:val="Tabletext"/>
              <w:spacing w:before="0" w:after="0"/>
              <w:jc w:val="center"/>
              <w:rPr>
                <w:rFonts w:asciiTheme="majorHAnsi" w:hAnsiTheme="majorHAnsi" w:cstheme="majorHAnsi"/>
                <w:sz w:val="14"/>
                <w:szCs w:val="14"/>
              </w:rPr>
            </w:pPr>
            <w:r w:rsidRPr="008C3339">
              <w:rPr>
                <w:rFonts w:asciiTheme="majorHAnsi" w:hAnsiTheme="majorHAnsi" w:cstheme="majorHAnsi"/>
                <w:sz w:val="14"/>
                <w:szCs w:val="14"/>
              </w:rPr>
              <w:t>Ausnet Tech Spec</w:t>
            </w:r>
          </w:p>
          <w:p w14:paraId="090BFFA9" w14:textId="7B251908" w:rsidR="008C3339" w:rsidRPr="007734E0" w:rsidRDefault="008C3339" w:rsidP="008C3339">
            <w:pPr>
              <w:pStyle w:val="Tabletext"/>
              <w:spacing w:before="0" w:after="0"/>
              <w:jc w:val="center"/>
              <w:rPr>
                <w:rFonts w:asciiTheme="majorHAnsi" w:hAnsiTheme="majorHAnsi" w:cstheme="majorHAnsi"/>
                <w:sz w:val="14"/>
                <w:szCs w:val="14"/>
              </w:rPr>
            </w:pPr>
          </w:p>
        </w:tc>
        <w:tc>
          <w:tcPr>
            <w:tcW w:w="1207" w:type="pct"/>
            <w:shd w:val="clear" w:color="auto" w:fill="auto"/>
            <w:vAlign w:val="center"/>
          </w:tcPr>
          <w:p w14:paraId="648A1031" w14:textId="77777777" w:rsidR="008C3339" w:rsidRPr="008C3339" w:rsidRDefault="008C3339" w:rsidP="008C3339">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sidRPr="008C3339">
              <w:rPr>
                <w:rFonts w:asciiTheme="majorHAnsi" w:eastAsia="Arial" w:hAnsiTheme="majorHAnsi" w:cstheme="majorHAnsi"/>
                <w:sz w:val="14"/>
                <w:szCs w:val="14"/>
              </w:rPr>
              <w:t>Works outside road: As per Power Authority</w:t>
            </w:r>
          </w:p>
          <w:p w14:paraId="2C5BA8D3" w14:textId="67FCB3C9" w:rsidR="008C3339" w:rsidRPr="00D340C6" w:rsidRDefault="008C3339" w:rsidP="008C3339">
            <w:pPr>
              <w:pStyle w:val="SymalTableBody"/>
              <w:spacing w:before="20" w:after="20"/>
              <w:rPr>
                <w:sz w:val="16"/>
                <w:szCs w:val="16"/>
              </w:rPr>
            </w:pPr>
          </w:p>
        </w:tc>
        <w:tc>
          <w:tcPr>
            <w:tcW w:w="337" w:type="pct"/>
            <w:shd w:val="clear" w:color="auto" w:fill="auto"/>
            <w:vAlign w:val="center"/>
          </w:tcPr>
          <w:p w14:paraId="5368637E" w14:textId="2DD08203" w:rsidR="008C3339" w:rsidRPr="000565D7" w:rsidRDefault="008C3339" w:rsidP="008C3339">
            <w:pPr>
              <w:pStyle w:val="SymalTableBody"/>
              <w:spacing w:before="20" w:after="20"/>
              <w:jc w:val="center"/>
              <w:rPr>
                <w:sz w:val="14"/>
                <w:szCs w:val="14"/>
              </w:rPr>
            </w:pPr>
            <w:r w:rsidRPr="000565D7">
              <w:rPr>
                <w:sz w:val="14"/>
                <w:szCs w:val="14"/>
              </w:rPr>
              <w:t>Each Lot</w:t>
            </w:r>
          </w:p>
        </w:tc>
        <w:tc>
          <w:tcPr>
            <w:tcW w:w="288" w:type="pct"/>
            <w:shd w:val="clear" w:color="auto" w:fill="auto"/>
            <w:vAlign w:val="center"/>
          </w:tcPr>
          <w:p w14:paraId="66BDC57E" w14:textId="10800FAB" w:rsidR="008C3339" w:rsidRPr="000565D7" w:rsidRDefault="008C3339" w:rsidP="008C3339">
            <w:pPr>
              <w:pStyle w:val="SymalTableBody"/>
              <w:spacing w:before="20" w:after="20"/>
              <w:jc w:val="center"/>
              <w:rPr>
                <w:sz w:val="14"/>
                <w:szCs w:val="14"/>
              </w:rPr>
            </w:pPr>
            <w:r w:rsidRPr="000565D7">
              <w:rPr>
                <w:sz w:val="14"/>
                <w:szCs w:val="14"/>
              </w:rPr>
              <w:t>R</w:t>
            </w:r>
          </w:p>
        </w:tc>
        <w:tc>
          <w:tcPr>
            <w:tcW w:w="240" w:type="pct"/>
            <w:shd w:val="clear" w:color="auto" w:fill="auto"/>
          </w:tcPr>
          <w:p w14:paraId="4B897BE9" w14:textId="77777777" w:rsidR="008C3339" w:rsidRDefault="008C3339" w:rsidP="008C3339">
            <w:pPr>
              <w:pStyle w:val="SymalTableBody"/>
              <w:spacing w:before="20" w:after="20"/>
              <w:jc w:val="center"/>
              <w:rPr>
                <w:sz w:val="14"/>
                <w:szCs w:val="14"/>
              </w:rPr>
            </w:pPr>
          </w:p>
          <w:p w14:paraId="194E621F" w14:textId="688B9A45" w:rsidR="008C3339" w:rsidRPr="000565D7" w:rsidRDefault="008C3339" w:rsidP="008C3339">
            <w:pPr>
              <w:pStyle w:val="SymalTableBody"/>
              <w:spacing w:before="20" w:after="20"/>
              <w:jc w:val="center"/>
              <w:rPr>
                <w:sz w:val="14"/>
                <w:szCs w:val="14"/>
              </w:rPr>
            </w:pPr>
            <w:r w:rsidRPr="008239BF">
              <w:rPr>
                <w:sz w:val="14"/>
                <w:szCs w:val="14"/>
              </w:rPr>
              <w:t>SE/SS</w:t>
            </w:r>
          </w:p>
        </w:tc>
        <w:tc>
          <w:tcPr>
            <w:tcW w:w="243" w:type="pct"/>
            <w:shd w:val="clear" w:color="auto" w:fill="auto"/>
            <w:vAlign w:val="center"/>
          </w:tcPr>
          <w:p w14:paraId="6F16EF97" w14:textId="77777777" w:rsidR="008C3339" w:rsidRPr="00741190" w:rsidRDefault="008C3339" w:rsidP="008C3339">
            <w:pPr>
              <w:pStyle w:val="SymalTableBody"/>
              <w:spacing w:before="20" w:after="20"/>
              <w:jc w:val="center"/>
              <w:rPr>
                <w:b/>
                <w:bCs/>
                <w:szCs w:val="18"/>
              </w:rPr>
            </w:pPr>
          </w:p>
        </w:tc>
        <w:tc>
          <w:tcPr>
            <w:tcW w:w="289" w:type="pct"/>
            <w:shd w:val="clear" w:color="auto" w:fill="auto"/>
            <w:vAlign w:val="center"/>
          </w:tcPr>
          <w:p w14:paraId="5DF253C3" w14:textId="77777777" w:rsidR="008C3339" w:rsidRPr="00741190" w:rsidRDefault="008C3339" w:rsidP="008C3339">
            <w:pPr>
              <w:pStyle w:val="SymalTableBody"/>
              <w:spacing w:before="20" w:after="20"/>
              <w:jc w:val="center"/>
              <w:rPr>
                <w:b/>
                <w:bCs/>
                <w:szCs w:val="18"/>
              </w:rPr>
            </w:pPr>
          </w:p>
        </w:tc>
        <w:tc>
          <w:tcPr>
            <w:tcW w:w="241" w:type="pct"/>
            <w:shd w:val="clear" w:color="auto" w:fill="auto"/>
            <w:vAlign w:val="center"/>
          </w:tcPr>
          <w:p w14:paraId="34844CDD" w14:textId="77777777" w:rsidR="008C3339" w:rsidRPr="00741190" w:rsidRDefault="008C3339" w:rsidP="008C3339">
            <w:pPr>
              <w:pStyle w:val="SymalTableBody"/>
              <w:spacing w:before="20" w:after="20"/>
              <w:jc w:val="center"/>
              <w:rPr>
                <w:b/>
                <w:bCs/>
                <w:szCs w:val="18"/>
              </w:rPr>
            </w:pPr>
          </w:p>
        </w:tc>
        <w:tc>
          <w:tcPr>
            <w:tcW w:w="624" w:type="pct"/>
            <w:shd w:val="clear" w:color="auto" w:fill="auto"/>
            <w:vAlign w:val="center"/>
          </w:tcPr>
          <w:p w14:paraId="5AE92EF6" w14:textId="77777777" w:rsidR="008C3339" w:rsidRDefault="008C3339" w:rsidP="008C3339">
            <w:pPr>
              <w:pStyle w:val="Tabletext"/>
              <w:spacing w:before="0" w:after="0"/>
              <w:rPr>
                <w:rFonts w:asciiTheme="majorHAnsi" w:hAnsiTheme="majorHAnsi" w:cstheme="majorHAnsi"/>
                <w:bCs w:val="0"/>
                <w:sz w:val="14"/>
                <w:szCs w:val="14"/>
              </w:rPr>
            </w:pPr>
          </w:p>
          <w:p w14:paraId="691B8E5E" w14:textId="77777777" w:rsidR="008C3339" w:rsidRDefault="008C3339" w:rsidP="008C3339">
            <w:pPr>
              <w:pStyle w:val="Tabletext"/>
              <w:spacing w:before="0" w:after="0"/>
              <w:rPr>
                <w:rFonts w:asciiTheme="majorHAnsi" w:hAnsiTheme="majorHAnsi" w:cstheme="majorHAnsi"/>
                <w:sz w:val="14"/>
                <w:szCs w:val="14"/>
              </w:rPr>
            </w:pPr>
          </w:p>
          <w:p w14:paraId="528578C6" w14:textId="7388A1A3" w:rsidR="008C3339" w:rsidRPr="00741190" w:rsidRDefault="008C3339" w:rsidP="008C3339">
            <w:pPr>
              <w:pStyle w:val="SymalTableBody"/>
              <w:spacing w:before="20" w:after="20"/>
              <w:rPr>
                <w:b/>
                <w:bCs/>
                <w:szCs w:val="18"/>
              </w:rPr>
            </w:pPr>
          </w:p>
        </w:tc>
      </w:tr>
      <w:tr w:rsidR="008C3339" w:rsidRPr="00741190" w14:paraId="7D61B880" w14:textId="77777777" w:rsidTr="00DD3F2A">
        <w:trPr>
          <w:trHeight w:val="227"/>
        </w:trPr>
        <w:tc>
          <w:tcPr>
            <w:tcW w:w="239" w:type="pct"/>
            <w:shd w:val="clear" w:color="auto" w:fill="auto"/>
            <w:vAlign w:val="center"/>
          </w:tcPr>
          <w:p w14:paraId="284C522A" w14:textId="6D048290" w:rsidR="008C3339" w:rsidRPr="00C81EB5" w:rsidRDefault="008C3339" w:rsidP="008C3339">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w:t>
            </w:r>
            <w:r w:rsidRPr="00C81EB5">
              <w:rPr>
                <w:rFonts w:asciiTheme="majorHAnsi" w:hAnsiTheme="majorHAnsi" w:cstheme="majorHAnsi"/>
                <w:b/>
                <w:bCs/>
                <w:sz w:val="16"/>
                <w:szCs w:val="16"/>
              </w:rPr>
              <w:t>.</w:t>
            </w:r>
            <w:r>
              <w:rPr>
                <w:rFonts w:asciiTheme="majorHAnsi" w:hAnsiTheme="majorHAnsi" w:cstheme="majorHAnsi"/>
                <w:b/>
                <w:bCs/>
                <w:sz w:val="16"/>
                <w:szCs w:val="16"/>
              </w:rPr>
              <w:t>2</w:t>
            </w:r>
          </w:p>
        </w:tc>
        <w:tc>
          <w:tcPr>
            <w:tcW w:w="955" w:type="pct"/>
            <w:shd w:val="clear" w:color="auto" w:fill="auto"/>
            <w:vAlign w:val="center"/>
          </w:tcPr>
          <w:p w14:paraId="12F8CD88" w14:textId="0827AD1F" w:rsidR="008C3339" w:rsidRDefault="008C3339" w:rsidP="008C333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Backfilling/Compaction </w:t>
            </w:r>
            <w:r>
              <w:rPr>
                <w:rFonts w:asciiTheme="majorHAnsi" w:hAnsiTheme="majorHAnsi" w:cstheme="majorHAnsi"/>
                <w:sz w:val="14"/>
                <w:szCs w:val="14"/>
              </w:rPr>
              <w:br/>
            </w:r>
            <w:r w:rsidRPr="001811B7">
              <w:rPr>
                <w:rFonts w:asciiTheme="majorHAnsi" w:hAnsiTheme="majorHAnsi" w:cstheme="majorHAnsi"/>
                <w:b/>
                <w:bCs/>
                <w:sz w:val="14"/>
                <w:szCs w:val="14"/>
              </w:rPr>
              <w:t>(</w:t>
            </w:r>
            <w:r>
              <w:rPr>
                <w:rFonts w:asciiTheme="majorHAnsi" w:hAnsiTheme="majorHAnsi" w:cstheme="majorHAnsi"/>
                <w:b/>
                <w:bCs/>
                <w:sz w:val="14"/>
                <w:szCs w:val="14"/>
              </w:rPr>
              <w:t>U</w:t>
            </w:r>
            <w:r w:rsidRPr="001811B7">
              <w:rPr>
                <w:rFonts w:asciiTheme="majorHAnsi" w:hAnsiTheme="majorHAnsi" w:cstheme="majorHAnsi"/>
                <w:b/>
                <w:bCs/>
                <w:sz w:val="14"/>
                <w:szCs w:val="14"/>
              </w:rPr>
              <w:t>nder areas to be paved</w:t>
            </w:r>
            <w:r w:rsidR="00820272">
              <w:rPr>
                <w:rFonts w:asciiTheme="majorHAnsi" w:hAnsiTheme="majorHAnsi" w:cstheme="majorHAnsi"/>
                <w:b/>
                <w:bCs/>
                <w:sz w:val="14"/>
                <w:szCs w:val="14"/>
              </w:rPr>
              <w:t xml:space="preserve"> included s</w:t>
            </w:r>
            <w:r w:rsidR="00820272" w:rsidRPr="00820272">
              <w:rPr>
                <w:rFonts w:asciiTheme="majorHAnsi" w:hAnsiTheme="majorHAnsi" w:cstheme="majorHAnsi"/>
                <w:b/>
                <w:bCs/>
                <w:sz w:val="14"/>
                <w:szCs w:val="14"/>
              </w:rPr>
              <w:t xml:space="preserve">houlders and </w:t>
            </w:r>
            <w:r w:rsidR="00820272">
              <w:rPr>
                <w:rFonts w:asciiTheme="majorHAnsi" w:hAnsiTheme="majorHAnsi" w:cstheme="majorHAnsi"/>
                <w:b/>
                <w:bCs/>
                <w:sz w:val="14"/>
                <w:szCs w:val="14"/>
              </w:rPr>
              <w:t>v</w:t>
            </w:r>
            <w:r w:rsidR="00820272" w:rsidRPr="00820272">
              <w:rPr>
                <w:rFonts w:asciiTheme="majorHAnsi" w:hAnsiTheme="majorHAnsi" w:cstheme="majorHAnsi"/>
                <w:b/>
                <w:bCs/>
                <w:sz w:val="14"/>
                <w:szCs w:val="14"/>
              </w:rPr>
              <w:t>erges</w:t>
            </w:r>
            <w:r w:rsidR="00820272">
              <w:rPr>
                <w:rFonts w:asciiTheme="majorHAnsi" w:hAnsiTheme="majorHAnsi" w:cstheme="majorHAnsi"/>
                <w:b/>
                <w:bCs/>
                <w:sz w:val="14"/>
                <w:szCs w:val="14"/>
              </w:rPr>
              <w:t>)</w:t>
            </w:r>
          </w:p>
        </w:tc>
        <w:tc>
          <w:tcPr>
            <w:tcW w:w="337" w:type="pct"/>
            <w:shd w:val="clear" w:color="auto" w:fill="auto"/>
            <w:vAlign w:val="center"/>
          </w:tcPr>
          <w:p w14:paraId="38D49DFD" w14:textId="77777777" w:rsidR="008C3339" w:rsidRDefault="008C3339" w:rsidP="008C3339">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706.08</w:t>
            </w:r>
          </w:p>
          <w:p w14:paraId="6DF19DB0" w14:textId="3E54BA81" w:rsidR="008C3339" w:rsidRDefault="008C3339" w:rsidP="008C3339">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706.09</w:t>
            </w:r>
          </w:p>
        </w:tc>
        <w:tc>
          <w:tcPr>
            <w:tcW w:w="1207" w:type="pct"/>
            <w:shd w:val="clear" w:color="auto" w:fill="auto"/>
            <w:vAlign w:val="center"/>
          </w:tcPr>
          <w:p w14:paraId="66D33D62" w14:textId="325BDECD" w:rsidR="008C3339" w:rsidRDefault="008C3339" w:rsidP="008C3339">
            <w:pPr>
              <w:keepNext/>
              <w:widowControl w:val="0"/>
              <w:spacing w:before="0" w:after="0"/>
              <w:rPr>
                <w:rFonts w:asciiTheme="majorHAnsi" w:eastAsia="Arial" w:hAnsiTheme="majorHAnsi" w:cstheme="majorHAnsi"/>
                <w:sz w:val="14"/>
                <w:szCs w:val="14"/>
              </w:rPr>
            </w:pPr>
            <w:r w:rsidRPr="00142506">
              <w:rPr>
                <w:rFonts w:asciiTheme="majorHAnsi" w:eastAsia="Arial" w:hAnsiTheme="majorHAnsi" w:cstheme="majorHAnsi"/>
                <w:sz w:val="14"/>
                <w:szCs w:val="14"/>
              </w:rPr>
              <w:t xml:space="preserve">Unless backfilling requirements are specified by the Asset Owner Authority, backfill material properties as per </w:t>
            </w:r>
            <w:r>
              <w:rPr>
                <w:rFonts w:asciiTheme="majorHAnsi" w:eastAsia="Arial" w:hAnsiTheme="majorHAnsi" w:cstheme="majorHAnsi"/>
                <w:sz w:val="14"/>
                <w:szCs w:val="14"/>
              </w:rPr>
              <w:t>VR</w:t>
            </w:r>
            <w:r w:rsidRPr="00142506">
              <w:rPr>
                <w:rFonts w:asciiTheme="majorHAnsi" w:eastAsia="Arial" w:hAnsiTheme="majorHAnsi" w:cstheme="majorHAnsi"/>
                <w:sz w:val="14"/>
                <w:szCs w:val="14"/>
              </w:rPr>
              <w:t>706.0</w:t>
            </w:r>
            <w:r>
              <w:rPr>
                <w:rFonts w:asciiTheme="majorHAnsi" w:eastAsia="Arial" w:hAnsiTheme="majorHAnsi" w:cstheme="majorHAnsi"/>
                <w:sz w:val="14"/>
                <w:szCs w:val="14"/>
              </w:rPr>
              <w:t>61</w:t>
            </w:r>
            <w:r w:rsidRPr="00142506">
              <w:rPr>
                <w:rFonts w:asciiTheme="majorHAnsi" w:eastAsia="Arial" w:hAnsiTheme="majorHAnsi" w:cstheme="majorHAnsi"/>
                <w:sz w:val="14"/>
                <w:szCs w:val="14"/>
              </w:rPr>
              <w:t>:</w:t>
            </w:r>
          </w:p>
          <w:p w14:paraId="74C91E28" w14:textId="7E7361D1" w:rsidR="008C3339" w:rsidRDefault="008C3339" w:rsidP="008C3339">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sidRPr="00142506">
              <w:rPr>
                <w:rFonts w:asciiTheme="majorHAnsi" w:eastAsia="Arial" w:hAnsiTheme="majorHAnsi" w:cstheme="majorHAnsi"/>
                <w:sz w:val="14"/>
                <w:szCs w:val="14"/>
              </w:rPr>
              <w:t>trench shall be backfilled up to the nominated or designed subgrade level with selected backfill material placed and compacted in layers not exceeding 150 mm loose thickness, and above that level with common backfill material.</w:t>
            </w:r>
          </w:p>
          <w:p w14:paraId="480CAB40" w14:textId="5BCEE042" w:rsidR="008C3339" w:rsidRDefault="008C3339" w:rsidP="008C3339">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sidRPr="00142506">
              <w:rPr>
                <w:rFonts w:asciiTheme="majorHAnsi" w:eastAsia="Arial" w:hAnsiTheme="majorHAnsi" w:cstheme="majorHAnsi"/>
                <w:sz w:val="14"/>
                <w:szCs w:val="14"/>
              </w:rPr>
              <w:t>The number of tests per lot shall be three.  Backfill, the whole of which passes the 37.5 mm AS sieve, shall be compacted to a mean value of density ratio of not less than 97%</w:t>
            </w:r>
            <w:r>
              <w:rPr>
                <w:rFonts w:asciiTheme="majorHAnsi" w:eastAsia="Arial" w:hAnsiTheme="majorHAnsi" w:cstheme="majorHAnsi"/>
                <w:sz w:val="14"/>
                <w:szCs w:val="14"/>
              </w:rPr>
              <w:t xml:space="preserve"> </w:t>
            </w:r>
            <w:r w:rsidRPr="00142506">
              <w:rPr>
                <w:rFonts w:asciiTheme="majorHAnsi" w:eastAsia="Arial" w:hAnsiTheme="majorHAnsi" w:cstheme="majorHAnsi"/>
                <w:sz w:val="14"/>
                <w:szCs w:val="14"/>
              </w:rPr>
              <w:t>based on Standard compactive effort.  A lot shall consist of a single layer of work.  A minimum of 20% of all lots constructed shall be tested.</w:t>
            </w:r>
          </w:p>
          <w:p w14:paraId="2A7E2E9A" w14:textId="216774AC" w:rsidR="008C3339" w:rsidRDefault="008C3339" w:rsidP="008C3339">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Pr>
                <w:rFonts w:asciiTheme="majorHAnsi" w:eastAsia="Arial" w:hAnsiTheme="majorHAnsi" w:cstheme="majorHAnsi"/>
                <w:sz w:val="14"/>
                <w:szCs w:val="14"/>
              </w:rPr>
              <w:t xml:space="preserve">Considerations to be made to allow for Asset Owner Authority working restrictions, including vibratory restrictions. </w:t>
            </w:r>
          </w:p>
          <w:p w14:paraId="0F2D7708" w14:textId="77777777" w:rsidR="008C3339" w:rsidRPr="00142506" w:rsidRDefault="008C3339" w:rsidP="008C3339">
            <w:pPr>
              <w:keepNext/>
              <w:widowControl w:val="0"/>
              <w:spacing w:before="0" w:after="0"/>
              <w:rPr>
                <w:rFonts w:asciiTheme="majorHAnsi" w:eastAsia="Arial" w:hAnsiTheme="majorHAnsi" w:cstheme="majorHAnsi"/>
                <w:sz w:val="14"/>
                <w:szCs w:val="14"/>
              </w:rPr>
            </w:pPr>
          </w:p>
          <w:p w14:paraId="29128AB2" w14:textId="77777777" w:rsidR="008C3339" w:rsidRDefault="008C3339" w:rsidP="008C3339">
            <w:pPr>
              <w:pStyle w:val="SymalTableBody"/>
              <w:spacing w:before="20" w:after="20"/>
              <w:rPr>
                <w:b/>
                <w:bCs/>
                <w:sz w:val="14"/>
                <w:szCs w:val="14"/>
              </w:rPr>
            </w:pPr>
            <w:r>
              <w:rPr>
                <w:b/>
                <w:bCs/>
                <w:sz w:val="14"/>
                <w:szCs w:val="14"/>
              </w:rPr>
              <w:t xml:space="preserve">Has all of the above been completed and approved by the relevant authority? </w:t>
            </w:r>
          </w:p>
          <w:p w14:paraId="6945885C" w14:textId="726F6200" w:rsidR="008C3339" w:rsidRDefault="008C3339" w:rsidP="008C3339">
            <w:pPr>
              <w:pStyle w:val="SymalTableBody"/>
              <w:spacing w:before="20" w:after="20"/>
              <w:rPr>
                <w:rFonts w:asciiTheme="majorHAnsi" w:eastAsia="Arial" w:hAnsiTheme="majorHAnsi" w:cstheme="majorHAnsi"/>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b/>
                <w:bCs/>
                <w:sz w:val="20"/>
              </w:rPr>
              <w:t xml:space="preserve">       </w:t>
            </w:r>
            <w:r>
              <w:rPr>
                <w:b/>
                <w:bCs/>
                <w:sz w:val="14"/>
                <w:szCs w:val="14"/>
              </w:rPr>
              <w:t xml:space="preserve">N/A     </w:t>
            </w:r>
            <w:r>
              <w:rPr>
                <w:b/>
                <w:bCs/>
                <w:sz w:val="24"/>
                <w:szCs w:val="24"/>
              </w:rPr>
              <w:t xml:space="preserve"> </w:t>
            </w:r>
            <w:r w:rsidRPr="00DE2166">
              <w:rPr>
                <w:rFonts w:ascii="Arial" w:hAnsi="Arial" w:cs="Arial"/>
                <w:b/>
                <w:bCs/>
                <w:sz w:val="28"/>
                <w:szCs w:val="28"/>
              </w:rPr>
              <w:t>□</w:t>
            </w:r>
          </w:p>
          <w:p w14:paraId="693B6D7C" w14:textId="10268BF8" w:rsidR="008C3339" w:rsidRDefault="008C3339" w:rsidP="008C3339">
            <w:pPr>
              <w:keepNext/>
              <w:widowControl w:val="0"/>
              <w:spacing w:before="0" w:after="0"/>
              <w:rPr>
                <w:rFonts w:asciiTheme="majorHAnsi" w:eastAsia="Arial" w:hAnsiTheme="majorHAnsi" w:cstheme="majorHAnsi"/>
                <w:sz w:val="14"/>
                <w:szCs w:val="14"/>
              </w:rPr>
            </w:pPr>
          </w:p>
        </w:tc>
        <w:tc>
          <w:tcPr>
            <w:tcW w:w="337" w:type="pct"/>
            <w:shd w:val="clear" w:color="auto" w:fill="auto"/>
            <w:vAlign w:val="center"/>
          </w:tcPr>
          <w:p w14:paraId="27E41453" w14:textId="3A23E1CE" w:rsidR="008C3339" w:rsidRPr="000565D7" w:rsidRDefault="008C3339" w:rsidP="008C3339">
            <w:pPr>
              <w:pStyle w:val="SymalTableBody"/>
              <w:spacing w:before="20" w:after="20"/>
              <w:jc w:val="center"/>
              <w:rPr>
                <w:sz w:val="14"/>
                <w:szCs w:val="14"/>
              </w:rPr>
            </w:pPr>
            <w:r w:rsidRPr="000565D7">
              <w:rPr>
                <w:sz w:val="14"/>
                <w:szCs w:val="14"/>
              </w:rPr>
              <w:t>Each Lot</w:t>
            </w:r>
          </w:p>
        </w:tc>
        <w:tc>
          <w:tcPr>
            <w:tcW w:w="288" w:type="pct"/>
            <w:shd w:val="clear" w:color="auto" w:fill="auto"/>
            <w:vAlign w:val="center"/>
          </w:tcPr>
          <w:p w14:paraId="73EC8BAA" w14:textId="0D9A7574" w:rsidR="008C3339" w:rsidRPr="000565D7" w:rsidRDefault="008C3339" w:rsidP="008C3339">
            <w:pPr>
              <w:pStyle w:val="SymalTableBody"/>
              <w:spacing w:before="20" w:after="20"/>
              <w:jc w:val="center"/>
              <w:rPr>
                <w:sz w:val="14"/>
                <w:szCs w:val="14"/>
              </w:rPr>
            </w:pPr>
            <w:r w:rsidRPr="000565D7">
              <w:rPr>
                <w:sz w:val="14"/>
                <w:szCs w:val="14"/>
              </w:rPr>
              <w:t>R</w:t>
            </w:r>
          </w:p>
        </w:tc>
        <w:tc>
          <w:tcPr>
            <w:tcW w:w="240" w:type="pct"/>
            <w:shd w:val="clear" w:color="auto" w:fill="auto"/>
          </w:tcPr>
          <w:p w14:paraId="1A38F1C8" w14:textId="77777777" w:rsidR="008C3339" w:rsidRDefault="008C3339" w:rsidP="008C3339">
            <w:pPr>
              <w:pStyle w:val="SymalTableBody"/>
              <w:tabs>
                <w:tab w:val="center" w:pos="262"/>
              </w:tabs>
              <w:spacing w:before="20" w:after="20"/>
              <w:rPr>
                <w:sz w:val="14"/>
                <w:szCs w:val="14"/>
              </w:rPr>
            </w:pPr>
          </w:p>
          <w:p w14:paraId="3E6C22A5" w14:textId="77777777" w:rsidR="008C3339" w:rsidRDefault="008C3339" w:rsidP="008C3339">
            <w:pPr>
              <w:pStyle w:val="SymalTableBody"/>
              <w:tabs>
                <w:tab w:val="center" w:pos="262"/>
              </w:tabs>
              <w:spacing w:before="20" w:after="20"/>
              <w:rPr>
                <w:sz w:val="14"/>
                <w:szCs w:val="14"/>
              </w:rPr>
            </w:pPr>
          </w:p>
          <w:p w14:paraId="419E2396" w14:textId="77777777" w:rsidR="008C3339" w:rsidRDefault="008C3339" w:rsidP="008C3339">
            <w:pPr>
              <w:pStyle w:val="SymalTableBody"/>
              <w:tabs>
                <w:tab w:val="center" w:pos="262"/>
              </w:tabs>
              <w:spacing w:before="20" w:after="20"/>
              <w:rPr>
                <w:sz w:val="14"/>
                <w:szCs w:val="14"/>
              </w:rPr>
            </w:pPr>
          </w:p>
          <w:p w14:paraId="1892801B" w14:textId="77777777" w:rsidR="008C3339" w:rsidRDefault="008C3339" w:rsidP="008C3339">
            <w:pPr>
              <w:pStyle w:val="SymalTableBody"/>
              <w:tabs>
                <w:tab w:val="center" w:pos="262"/>
              </w:tabs>
              <w:spacing w:before="20" w:after="20"/>
              <w:rPr>
                <w:sz w:val="14"/>
                <w:szCs w:val="14"/>
              </w:rPr>
            </w:pPr>
          </w:p>
          <w:p w14:paraId="5F053116" w14:textId="77777777" w:rsidR="008C3339" w:rsidRDefault="008C3339" w:rsidP="008C3339">
            <w:pPr>
              <w:pStyle w:val="SymalTableBody"/>
              <w:tabs>
                <w:tab w:val="center" w:pos="262"/>
              </w:tabs>
              <w:spacing w:before="20" w:after="20"/>
              <w:rPr>
                <w:sz w:val="14"/>
                <w:szCs w:val="14"/>
              </w:rPr>
            </w:pPr>
          </w:p>
          <w:p w14:paraId="59CAAD5F" w14:textId="77777777" w:rsidR="008C3339" w:rsidRDefault="008C3339" w:rsidP="008C3339">
            <w:pPr>
              <w:pStyle w:val="SymalTableBody"/>
              <w:tabs>
                <w:tab w:val="center" w:pos="262"/>
              </w:tabs>
              <w:spacing w:before="20" w:after="20"/>
              <w:rPr>
                <w:sz w:val="14"/>
                <w:szCs w:val="14"/>
              </w:rPr>
            </w:pPr>
          </w:p>
          <w:p w14:paraId="2E831C32" w14:textId="77777777" w:rsidR="008C3339" w:rsidRDefault="008C3339" w:rsidP="008C3339">
            <w:pPr>
              <w:pStyle w:val="SymalTableBody"/>
              <w:tabs>
                <w:tab w:val="center" w:pos="262"/>
              </w:tabs>
              <w:spacing w:before="20" w:after="20"/>
              <w:rPr>
                <w:sz w:val="14"/>
                <w:szCs w:val="14"/>
              </w:rPr>
            </w:pPr>
          </w:p>
          <w:p w14:paraId="2957C078" w14:textId="77777777" w:rsidR="008C3339" w:rsidRDefault="008C3339" w:rsidP="008C3339">
            <w:pPr>
              <w:pStyle w:val="SymalTableBody"/>
              <w:tabs>
                <w:tab w:val="center" w:pos="262"/>
              </w:tabs>
              <w:spacing w:before="20" w:after="20"/>
              <w:rPr>
                <w:sz w:val="14"/>
                <w:szCs w:val="14"/>
              </w:rPr>
            </w:pPr>
          </w:p>
          <w:p w14:paraId="5FF09AB6" w14:textId="77777777" w:rsidR="008C3339" w:rsidRDefault="008C3339" w:rsidP="008C3339">
            <w:pPr>
              <w:pStyle w:val="SymalTableBody"/>
              <w:tabs>
                <w:tab w:val="center" w:pos="262"/>
              </w:tabs>
              <w:spacing w:before="20" w:after="20"/>
              <w:rPr>
                <w:sz w:val="14"/>
                <w:szCs w:val="14"/>
              </w:rPr>
            </w:pPr>
          </w:p>
          <w:p w14:paraId="4BAB96A3" w14:textId="77777777" w:rsidR="008C3339" w:rsidRDefault="008C3339" w:rsidP="008C3339">
            <w:pPr>
              <w:pStyle w:val="SymalTableBody"/>
              <w:tabs>
                <w:tab w:val="center" w:pos="262"/>
              </w:tabs>
              <w:spacing w:before="20" w:after="20"/>
              <w:rPr>
                <w:sz w:val="14"/>
                <w:szCs w:val="14"/>
              </w:rPr>
            </w:pPr>
          </w:p>
          <w:p w14:paraId="54B6FEF4" w14:textId="47B27347" w:rsidR="008C3339" w:rsidRDefault="008C3339" w:rsidP="008C3339">
            <w:pPr>
              <w:pStyle w:val="SymalTableBody"/>
              <w:tabs>
                <w:tab w:val="center" w:pos="262"/>
              </w:tabs>
              <w:spacing w:before="20" w:after="20"/>
              <w:rPr>
                <w:sz w:val="14"/>
                <w:szCs w:val="14"/>
              </w:rPr>
            </w:pPr>
            <w:r>
              <w:rPr>
                <w:sz w:val="14"/>
                <w:szCs w:val="14"/>
              </w:rPr>
              <w:tab/>
            </w:r>
            <w:r w:rsidRPr="008239BF">
              <w:rPr>
                <w:sz w:val="14"/>
                <w:szCs w:val="14"/>
              </w:rPr>
              <w:t>SE/SS</w:t>
            </w:r>
          </w:p>
        </w:tc>
        <w:tc>
          <w:tcPr>
            <w:tcW w:w="243" w:type="pct"/>
            <w:shd w:val="clear" w:color="auto" w:fill="auto"/>
            <w:vAlign w:val="center"/>
          </w:tcPr>
          <w:p w14:paraId="0B5FBCC5" w14:textId="77777777" w:rsidR="008C3339" w:rsidRPr="00741190" w:rsidRDefault="008C3339" w:rsidP="008C3339">
            <w:pPr>
              <w:pStyle w:val="SymalTableBody"/>
              <w:spacing w:before="20" w:after="20"/>
              <w:jc w:val="center"/>
              <w:rPr>
                <w:b/>
                <w:bCs/>
                <w:szCs w:val="18"/>
              </w:rPr>
            </w:pPr>
          </w:p>
        </w:tc>
        <w:tc>
          <w:tcPr>
            <w:tcW w:w="289" w:type="pct"/>
            <w:shd w:val="clear" w:color="auto" w:fill="auto"/>
            <w:vAlign w:val="center"/>
          </w:tcPr>
          <w:p w14:paraId="72D99B25" w14:textId="77777777" w:rsidR="008C3339" w:rsidRPr="00741190" w:rsidRDefault="008C3339" w:rsidP="008C3339">
            <w:pPr>
              <w:pStyle w:val="SymalTableBody"/>
              <w:spacing w:before="20" w:after="20"/>
              <w:jc w:val="center"/>
              <w:rPr>
                <w:b/>
                <w:bCs/>
                <w:szCs w:val="18"/>
              </w:rPr>
            </w:pPr>
          </w:p>
        </w:tc>
        <w:tc>
          <w:tcPr>
            <w:tcW w:w="241" w:type="pct"/>
            <w:shd w:val="clear" w:color="auto" w:fill="auto"/>
            <w:vAlign w:val="center"/>
          </w:tcPr>
          <w:p w14:paraId="2121C285" w14:textId="77777777" w:rsidR="008C3339" w:rsidRPr="00741190" w:rsidRDefault="008C3339" w:rsidP="008C3339">
            <w:pPr>
              <w:pStyle w:val="SymalTableBody"/>
              <w:spacing w:before="20" w:after="20"/>
              <w:jc w:val="center"/>
              <w:rPr>
                <w:b/>
                <w:bCs/>
                <w:szCs w:val="18"/>
              </w:rPr>
            </w:pPr>
          </w:p>
        </w:tc>
        <w:tc>
          <w:tcPr>
            <w:tcW w:w="624" w:type="pct"/>
            <w:shd w:val="clear" w:color="auto" w:fill="auto"/>
            <w:vAlign w:val="center"/>
          </w:tcPr>
          <w:p w14:paraId="4FB8DD19" w14:textId="77777777" w:rsidR="008C3339" w:rsidRDefault="008C3339" w:rsidP="008C3339">
            <w:pPr>
              <w:pStyle w:val="Tabletext"/>
              <w:spacing w:before="0" w:after="0"/>
              <w:rPr>
                <w:rFonts w:asciiTheme="majorHAnsi" w:hAnsiTheme="majorHAnsi" w:cstheme="majorHAnsi"/>
                <w:bCs w:val="0"/>
                <w:sz w:val="14"/>
                <w:szCs w:val="14"/>
              </w:rPr>
            </w:pPr>
          </w:p>
          <w:p w14:paraId="0206DFFA" w14:textId="77777777" w:rsidR="008C3339" w:rsidRDefault="008C3339" w:rsidP="008C3339">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 xml:space="preserve">NATA Test Report </w:t>
            </w:r>
            <w:r w:rsidRPr="000565D7">
              <w:rPr>
                <w:rFonts w:asciiTheme="majorHAnsi" w:hAnsiTheme="majorHAnsi" w:cstheme="majorHAnsi"/>
                <w:bCs w:val="0"/>
                <w:sz w:val="14"/>
                <w:szCs w:val="14"/>
              </w:rPr>
              <w:t>(if applicable)</w:t>
            </w:r>
          </w:p>
          <w:p w14:paraId="1F3E0742" w14:textId="77777777" w:rsidR="008C3339" w:rsidRDefault="008C3339" w:rsidP="008C3339">
            <w:pPr>
              <w:pStyle w:val="Tabletext"/>
              <w:rPr>
                <w:rFonts w:asciiTheme="majorHAnsi" w:hAnsiTheme="majorHAnsi" w:cstheme="majorHAnsi"/>
                <w:sz w:val="14"/>
                <w:szCs w:val="14"/>
              </w:rPr>
            </w:pPr>
            <w:r>
              <w:rPr>
                <w:b/>
                <w:sz w:val="14"/>
                <w:szCs w:val="14"/>
              </w:rPr>
              <w:t>Yes</w:t>
            </w:r>
            <w:r>
              <w:rPr>
                <w:rFonts w:cstheme="minorHAnsi"/>
                <w:b/>
                <w:sz w:val="28"/>
                <w:szCs w:val="28"/>
              </w:rPr>
              <w:t>□</w:t>
            </w:r>
            <w:r>
              <w:rPr>
                <w:b/>
                <w:sz w:val="20"/>
              </w:rPr>
              <w:t xml:space="preserve">  </w:t>
            </w:r>
            <w:r>
              <w:rPr>
                <w:b/>
                <w:sz w:val="14"/>
                <w:szCs w:val="14"/>
              </w:rPr>
              <w:t>No</w:t>
            </w:r>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79F46A03" w14:textId="77777777" w:rsidR="008C3339" w:rsidRDefault="008C3339" w:rsidP="008C3339">
            <w:pPr>
              <w:pStyle w:val="Tabletext"/>
              <w:spacing w:before="0" w:after="0"/>
              <w:rPr>
                <w:rFonts w:asciiTheme="majorHAnsi" w:hAnsiTheme="majorHAnsi" w:cstheme="majorHAnsi"/>
                <w:bCs w:val="0"/>
                <w:sz w:val="14"/>
                <w:szCs w:val="14"/>
              </w:rPr>
            </w:pPr>
          </w:p>
          <w:p w14:paraId="3093F6F1" w14:textId="77777777" w:rsidR="008C3339" w:rsidRDefault="008C3339" w:rsidP="008C3339">
            <w:pPr>
              <w:pStyle w:val="Tabletext"/>
              <w:spacing w:before="0" w:after="0"/>
              <w:rPr>
                <w:rFonts w:asciiTheme="majorHAnsi" w:hAnsiTheme="majorHAnsi" w:cstheme="majorHAnsi"/>
                <w:sz w:val="14"/>
                <w:szCs w:val="14"/>
              </w:rPr>
            </w:pPr>
          </w:p>
          <w:p w14:paraId="27302755" w14:textId="77777777" w:rsidR="008C3339" w:rsidRDefault="008C3339" w:rsidP="008C3339">
            <w:pPr>
              <w:pStyle w:val="Tabletext"/>
              <w:spacing w:before="0" w:after="0"/>
              <w:rPr>
                <w:rFonts w:asciiTheme="majorHAnsi" w:hAnsiTheme="majorHAnsi" w:cstheme="majorHAnsi"/>
                <w:bCs w:val="0"/>
                <w:sz w:val="14"/>
                <w:szCs w:val="14"/>
              </w:rPr>
            </w:pPr>
          </w:p>
        </w:tc>
      </w:tr>
      <w:tr w:rsidR="008C3339" w:rsidRPr="00741190" w14:paraId="04B5917E" w14:textId="77777777" w:rsidTr="00947C9D">
        <w:trPr>
          <w:trHeight w:val="227"/>
        </w:trPr>
        <w:tc>
          <w:tcPr>
            <w:tcW w:w="5000" w:type="pct"/>
            <w:gridSpan w:val="11"/>
            <w:shd w:val="clear" w:color="auto" w:fill="000000" w:themeFill="text1"/>
            <w:vAlign w:val="center"/>
          </w:tcPr>
          <w:p w14:paraId="772294DB" w14:textId="258E7A00" w:rsidR="008C3339" w:rsidRPr="00741190" w:rsidRDefault="008C3339" w:rsidP="008C3339">
            <w:pPr>
              <w:pStyle w:val="SymalTableBody"/>
              <w:spacing w:before="20" w:after="20"/>
              <w:rPr>
                <w:b/>
                <w:bCs/>
                <w:szCs w:val="18"/>
              </w:rPr>
            </w:pPr>
            <w:r>
              <w:rPr>
                <w:b/>
                <w:bCs/>
                <w:sz w:val="20"/>
              </w:rPr>
              <w:t>4</w:t>
            </w:r>
            <w:r w:rsidRPr="00C81EB5">
              <w:rPr>
                <w:b/>
                <w:bCs/>
                <w:sz w:val="20"/>
              </w:rPr>
              <w:t xml:space="preserve">.0 Work Lot Close Out </w:t>
            </w:r>
          </w:p>
        </w:tc>
      </w:tr>
      <w:tr w:rsidR="008C3339" w:rsidRPr="00741190" w14:paraId="09260DD4" w14:textId="77777777" w:rsidTr="00DD3F2A">
        <w:trPr>
          <w:trHeight w:val="227"/>
        </w:trPr>
        <w:tc>
          <w:tcPr>
            <w:tcW w:w="239" w:type="pct"/>
            <w:shd w:val="clear" w:color="auto" w:fill="auto"/>
            <w:vAlign w:val="center"/>
          </w:tcPr>
          <w:p w14:paraId="449B5308" w14:textId="056BBD6B" w:rsidR="008C3339" w:rsidRPr="00C81EB5" w:rsidRDefault="008C3339" w:rsidP="008C3339">
            <w:pPr>
              <w:pStyle w:val="SymalTableBody"/>
              <w:spacing w:before="20" w:after="20"/>
              <w:rPr>
                <w:b/>
                <w:bCs/>
                <w:sz w:val="16"/>
                <w:szCs w:val="16"/>
              </w:rPr>
            </w:pPr>
            <w:r>
              <w:rPr>
                <w:rFonts w:asciiTheme="majorHAnsi" w:hAnsiTheme="majorHAnsi" w:cstheme="majorHAnsi"/>
                <w:b/>
                <w:bCs/>
                <w:sz w:val="16"/>
                <w:szCs w:val="16"/>
              </w:rPr>
              <w:t>4</w:t>
            </w:r>
            <w:r w:rsidRPr="00C81EB5">
              <w:rPr>
                <w:rFonts w:asciiTheme="majorHAnsi" w:hAnsiTheme="majorHAnsi" w:cstheme="majorHAnsi"/>
                <w:b/>
                <w:bCs/>
                <w:sz w:val="16"/>
                <w:szCs w:val="16"/>
              </w:rPr>
              <w:t>.1</w:t>
            </w:r>
          </w:p>
        </w:tc>
        <w:tc>
          <w:tcPr>
            <w:tcW w:w="955" w:type="pct"/>
            <w:shd w:val="clear" w:color="auto" w:fill="auto"/>
            <w:vAlign w:val="center"/>
          </w:tcPr>
          <w:p w14:paraId="15CD45F5" w14:textId="0777A274" w:rsidR="008C3339" w:rsidRPr="00D340C6" w:rsidRDefault="008C3339" w:rsidP="008C3339">
            <w:pPr>
              <w:pStyle w:val="SymalTableBody"/>
              <w:spacing w:before="20" w:after="20"/>
              <w:rPr>
                <w:b/>
                <w:bCs/>
                <w:sz w:val="16"/>
                <w:szCs w:val="16"/>
              </w:rPr>
            </w:pPr>
            <w:r>
              <w:rPr>
                <w:rFonts w:asciiTheme="majorHAnsi" w:hAnsiTheme="majorHAnsi" w:cstheme="majorHAnsi"/>
                <w:sz w:val="14"/>
                <w:szCs w:val="14"/>
              </w:rPr>
              <w:t xml:space="preserve">Test Reports </w:t>
            </w:r>
          </w:p>
        </w:tc>
        <w:tc>
          <w:tcPr>
            <w:tcW w:w="337" w:type="pct"/>
            <w:shd w:val="clear" w:color="auto" w:fill="auto"/>
            <w:vAlign w:val="center"/>
          </w:tcPr>
          <w:p w14:paraId="7F0178A1" w14:textId="548468D4" w:rsidR="008C3339" w:rsidRPr="00D340C6" w:rsidRDefault="008C3339" w:rsidP="008C3339">
            <w:pPr>
              <w:pStyle w:val="SymalTableBody"/>
              <w:spacing w:before="20" w:after="20"/>
              <w:rPr>
                <w:sz w:val="16"/>
                <w:szCs w:val="16"/>
              </w:rPr>
            </w:pPr>
            <w:r w:rsidRPr="00500190">
              <w:rPr>
                <w:rFonts w:asciiTheme="majorHAnsi" w:hAnsiTheme="majorHAnsi" w:cstheme="majorHAnsi"/>
                <w:sz w:val="14"/>
                <w:szCs w:val="14"/>
              </w:rPr>
              <w:t>VR706</w:t>
            </w:r>
          </w:p>
        </w:tc>
        <w:tc>
          <w:tcPr>
            <w:tcW w:w="1207" w:type="pct"/>
            <w:shd w:val="clear" w:color="auto" w:fill="auto"/>
            <w:vAlign w:val="center"/>
          </w:tcPr>
          <w:p w14:paraId="43563A5A" w14:textId="46DB8626" w:rsidR="008C3339" w:rsidRDefault="008C3339" w:rsidP="008C333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Test reports received and reviewed. </w:t>
            </w:r>
          </w:p>
          <w:p w14:paraId="6EB62BA1" w14:textId="77777777" w:rsidR="008C3339" w:rsidRDefault="008C3339" w:rsidP="008C3339">
            <w:pPr>
              <w:pStyle w:val="SymalTableBody"/>
              <w:spacing w:before="20" w:after="20"/>
              <w:rPr>
                <w:rFonts w:asciiTheme="majorHAnsi" w:hAnsiTheme="majorHAnsi" w:cstheme="majorHAnsi"/>
                <w:sz w:val="14"/>
                <w:szCs w:val="14"/>
              </w:rPr>
            </w:pPr>
          </w:p>
          <w:p w14:paraId="57FD4DB5" w14:textId="77777777" w:rsidR="008C3339" w:rsidRDefault="008C3339" w:rsidP="008C3339">
            <w:pPr>
              <w:pStyle w:val="SymalTableBody"/>
              <w:spacing w:before="20" w:after="20"/>
              <w:rPr>
                <w:b/>
                <w:bCs/>
                <w:sz w:val="14"/>
                <w:szCs w:val="14"/>
              </w:rPr>
            </w:pPr>
            <w:r>
              <w:rPr>
                <w:b/>
                <w:bCs/>
                <w:sz w:val="14"/>
                <w:szCs w:val="14"/>
              </w:rPr>
              <w:t xml:space="preserve">Has all of the above been proven to meet and/or exceed minimum tested requirements? </w:t>
            </w:r>
          </w:p>
          <w:p w14:paraId="2B9B0E18" w14:textId="77777777" w:rsidR="008C3339" w:rsidRDefault="008C3339" w:rsidP="008C3339">
            <w:pPr>
              <w:pStyle w:val="SymalTableBody"/>
              <w:spacing w:before="20" w:after="20"/>
              <w:rPr>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p>
          <w:p w14:paraId="767DB444" w14:textId="436636EF" w:rsidR="008C3339" w:rsidRPr="00D340C6" w:rsidRDefault="008C3339" w:rsidP="008C3339">
            <w:pPr>
              <w:pStyle w:val="SymalTableBody"/>
              <w:spacing w:before="20" w:after="20"/>
              <w:rPr>
                <w:sz w:val="16"/>
                <w:szCs w:val="16"/>
              </w:rPr>
            </w:pPr>
          </w:p>
        </w:tc>
        <w:tc>
          <w:tcPr>
            <w:tcW w:w="337" w:type="pct"/>
            <w:shd w:val="clear" w:color="auto" w:fill="auto"/>
            <w:vAlign w:val="center"/>
          </w:tcPr>
          <w:p w14:paraId="4F79979A" w14:textId="4F94F0DA" w:rsidR="008C3339" w:rsidRPr="000565D7" w:rsidRDefault="008C3339" w:rsidP="008C3339">
            <w:pPr>
              <w:pStyle w:val="SymalTableBody"/>
              <w:spacing w:before="20" w:after="20"/>
              <w:jc w:val="center"/>
              <w:rPr>
                <w:sz w:val="14"/>
                <w:szCs w:val="14"/>
              </w:rPr>
            </w:pPr>
            <w:r w:rsidRPr="000565D7">
              <w:rPr>
                <w:sz w:val="14"/>
                <w:szCs w:val="14"/>
              </w:rPr>
              <w:t>Each Lot</w:t>
            </w:r>
          </w:p>
        </w:tc>
        <w:tc>
          <w:tcPr>
            <w:tcW w:w="288" w:type="pct"/>
            <w:shd w:val="clear" w:color="auto" w:fill="auto"/>
            <w:vAlign w:val="center"/>
          </w:tcPr>
          <w:p w14:paraId="3A9D7682" w14:textId="77777777" w:rsidR="008C3339" w:rsidRPr="000565D7" w:rsidRDefault="008C3339" w:rsidP="008C3339">
            <w:pPr>
              <w:pStyle w:val="SymalTableBody"/>
              <w:spacing w:before="20" w:after="20"/>
              <w:jc w:val="center"/>
              <w:rPr>
                <w:sz w:val="14"/>
                <w:szCs w:val="14"/>
              </w:rPr>
            </w:pPr>
            <w:r w:rsidRPr="000565D7">
              <w:rPr>
                <w:sz w:val="14"/>
                <w:szCs w:val="14"/>
              </w:rPr>
              <w:t>R</w:t>
            </w:r>
          </w:p>
          <w:p w14:paraId="0E7FEF24" w14:textId="77777777" w:rsidR="008C3339" w:rsidRPr="000565D7" w:rsidRDefault="008C3339" w:rsidP="008C3339">
            <w:pPr>
              <w:pStyle w:val="SymalTableBody"/>
              <w:spacing w:before="20" w:after="20"/>
              <w:jc w:val="center"/>
              <w:rPr>
                <w:sz w:val="14"/>
                <w:szCs w:val="14"/>
              </w:rPr>
            </w:pPr>
          </w:p>
          <w:p w14:paraId="06B9D560" w14:textId="5D05EFF9" w:rsidR="008C3339" w:rsidRPr="000565D7" w:rsidRDefault="008C3339" w:rsidP="008C3339">
            <w:pPr>
              <w:pStyle w:val="SymalTableBody"/>
              <w:spacing w:before="20" w:after="20"/>
              <w:jc w:val="center"/>
              <w:rPr>
                <w:sz w:val="14"/>
                <w:szCs w:val="14"/>
              </w:rPr>
            </w:pPr>
            <w:r w:rsidRPr="000565D7">
              <w:rPr>
                <w:sz w:val="14"/>
                <w:szCs w:val="14"/>
              </w:rPr>
              <w:t>I</w:t>
            </w:r>
          </w:p>
        </w:tc>
        <w:tc>
          <w:tcPr>
            <w:tcW w:w="240" w:type="pct"/>
            <w:shd w:val="clear" w:color="auto" w:fill="auto"/>
          </w:tcPr>
          <w:p w14:paraId="71FCD758" w14:textId="77777777" w:rsidR="008C3339" w:rsidRDefault="008C3339" w:rsidP="008C3339">
            <w:pPr>
              <w:pStyle w:val="SymalTableBody"/>
              <w:spacing w:before="20" w:after="20"/>
              <w:rPr>
                <w:sz w:val="14"/>
                <w:szCs w:val="14"/>
              </w:rPr>
            </w:pPr>
          </w:p>
          <w:p w14:paraId="666771CD" w14:textId="77777777" w:rsidR="008C3339" w:rsidRDefault="008C3339" w:rsidP="008C3339">
            <w:pPr>
              <w:pStyle w:val="SymalTableBody"/>
              <w:spacing w:before="20" w:after="20"/>
              <w:rPr>
                <w:sz w:val="14"/>
                <w:szCs w:val="14"/>
              </w:rPr>
            </w:pPr>
          </w:p>
          <w:p w14:paraId="089096F8" w14:textId="77777777" w:rsidR="008C3339" w:rsidRDefault="008C3339" w:rsidP="008C3339">
            <w:pPr>
              <w:pStyle w:val="SymalTableBody"/>
              <w:spacing w:before="20" w:after="20"/>
              <w:rPr>
                <w:sz w:val="14"/>
                <w:szCs w:val="14"/>
              </w:rPr>
            </w:pPr>
          </w:p>
          <w:p w14:paraId="223B82F7" w14:textId="09ED574E" w:rsidR="008C3339" w:rsidRPr="000565D7" w:rsidRDefault="008C3339" w:rsidP="008C3339">
            <w:pPr>
              <w:pStyle w:val="SymalTableBody"/>
              <w:spacing w:before="20" w:after="20"/>
              <w:jc w:val="center"/>
              <w:rPr>
                <w:sz w:val="14"/>
                <w:szCs w:val="14"/>
              </w:rPr>
            </w:pPr>
            <w:r w:rsidRPr="008239BF">
              <w:rPr>
                <w:sz w:val="14"/>
                <w:szCs w:val="14"/>
              </w:rPr>
              <w:t>SE</w:t>
            </w:r>
          </w:p>
        </w:tc>
        <w:tc>
          <w:tcPr>
            <w:tcW w:w="243" w:type="pct"/>
            <w:shd w:val="clear" w:color="auto" w:fill="auto"/>
            <w:vAlign w:val="center"/>
          </w:tcPr>
          <w:p w14:paraId="601C1552" w14:textId="77777777" w:rsidR="008C3339" w:rsidRPr="00741190" w:rsidRDefault="008C3339" w:rsidP="008C3339">
            <w:pPr>
              <w:pStyle w:val="SymalTableBody"/>
              <w:spacing w:before="20" w:after="20"/>
              <w:rPr>
                <w:b/>
                <w:bCs/>
                <w:szCs w:val="18"/>
              </w:rPr>
            </w:pPr>
          </w:p>
        </w:tc>
        <w:tc>
          <w:tcPr>
            <w:tcW w:w="289" w:type="pct"/>
            <w:shd w:val="clear" w:color="auto" w:fill="auto"/>
            <w:vAlign w:val="center"/>
          </w:tcPr>
          <w:p w14:paraId="306AD198" w14:textId="77777777" w:rsidR="008C3339" w:rsidRPr="00741190" w:rsidRDefault="008C3339" w:rsidP="008C3339">
            <w:pPr>
              <w:pStyle w:val="SymalTableBody"/>
              <w:spacing w:before="20" w:after="20"/>
              <w:jc w:val="center"/>
              <w:rPr>
                <w:b/>
                <w:bCs/>
                <w:szCs w:val="18"/>
              </w:rPr>
            </w:pPr>
          </w:p>
        </w:tc>
        <w:tc>
          <w:tcPr>
            <w:tcW w:w="241" w:type="pct"/>
            <w:shd w:val="clear" w:color="auto" w:fill="auto"/>
            <w:vAlign w:val="center"/>
          </w:tcPr>
          <w:p w14:paraId="0CF76FCA" w14:textId="77777777" w:rsidR="008C3339" w:rsidRPr="00741190" w:rsidRDefault="008C3339" w:rsidP="008C3339">
            <w:pPr>
              <w:pStyle w:val="SymalTableBody"/>
              <w:spacing w:before="20" w:after="20"/>
              <w:jc w:val="center"/>
              <w:rPr>
                <w:b/>
                <w:bCs/>
                <w:szCs w:val="18"/>
              </w:rPr>
            </w:pPr>
          </w:p>
        </w:tc>
        <w:tc>
          <w:tcPr>
            <w:tcW w:w="624" w:type="pct"/>
            <w:shd w:val="clear" w:color="auto" w:fill="auto"/>
          </w:tcPr>
          <w:p w14:paraId="0B175B76" w14:textId="77777777" w:rsidR="008C3339" w:rsidRDefault="008C3339" w:rsidP="008C3339">
            <w:pPr>
              <w:pStyle w:val="Tabletext"/>
              <w:spacing w:before="0" w:after="0"/>
              <w:rPr>
                <w:rFonts w:asciiTheme="majorHAnsi" w:hAnsiTheme="majorHAnsi" w:cstheme="majorHAnsi"/>
                <w:sz w:val="14"/>
                <w:szCs w:val="14"/>
              </w:rPr>
            </w:pPr>
          </w:p>
          <w:p w14:paraId="4E52245E" w14:textId="77777777" w:rsidR="008C3339" w:rsidRDefault="008C3339" w:rsidP="008C3339">
            <w:pPr>
              <w:pStyle w:val="Tabletext"/>
              <w:spacing w:before="0" w:after="0"/>
              <w:rPr>
                <w:rFonts w:asciiTheme="majorHAnsi" w:hAnsiTheme="majorHAnsi" w:cstheme="majorHAnsi"/>
                <w:sz w:val="14"/>
                <w:szCs w:val="14"/>
              </w:rPr>
            </w:pPr>
          </w:p>
          <w:p w14:paraId="0B885B5F" w14:textId="77777777" w:rsidR="008C3339" w:rsidRPr="00741190" w:rsidRDefault="008C3339" w:rsidP="008C3339">
            <w:pPr>
              <w:pStyle w:val="Tabletext"/>
              <w:rPr>
                <w:b/>
                <w:bCs w:val="0"/>
                <w:szCs w:val="18"/>
              </w:rPr>
            </w:pPr>
          </w:p>
        </w:tc>
      </w:tr>
      <w:tr w:rsidR="008C3339" w:rsidRPr="00741190" w14:paraId="1279AE82" w14:textId="77777777" w:rsidTr="00947C9D">
        <w:trPr>
          <w:trHeight w:val="227"/>
        </w:trPr>
        <w:tc>
          <w:tcPr>
            <w:tcW w:w="239" w:type="pct"/>
            <w:shd w:val="clear" w:color="auto" w:fill="auto"/>
            <w:vAlign w:val="center"/>
          </w:tcPr>
          <w:p w14:paraId="305686EE" w14:textId="05E68C47" w:rsidR="008C3339" w:rsidRPr="00C81EB5" w:rsidRDefault="008C3339" w:rsidP="008C3339">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4.2</w:t>
            </w:r>
          </w:p>
        </w:tc>
        <w:tc>
          <w:tcPr>
            <w:tcW w:w="955" w:type="pct"/>
            <w:shd w:val="clear" w:color="auto" w:fill="auto"/>
            <w:vAlign w:val="center"/>
          </w:tcPr>
          <w:p w14:paraId="02832065" w14:textId="47CF5459" w:rsidR="008C3339" w:rsidRDefault="008C3339" w:rsidP="008C333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As-built Information</w:t>
            </w:r>
          </w:p>
        </w:tc>
        <w:tc>
          <w:tcPr>
            <w:tcW w:w="337" w:type="pct"/>
            <w:shd w:val="clear" w:color="auto" w:fill="auto"/>
            <w:vAlign w:val="center"/>
          </w:tcPr>
          <w:p w14:paraId="7B7E848D" w14:textId="1341CA86" w:rsidR="008C3339" w:rsidRDefault="008C3339" w:rsidP="008C3339">
            <w:pPr>
              <w:pStyle w:val="SymalTableBody"/>
              <w:spacing w:before="20" w:after="20"/>
              <w:jc w:val="center"/>
              <w:rPr>
                <w:rFonts w:asciiTheme="majorHAnsi" w:hAnsiTheme="majorHAnsi" w:cstheme="majorHAnsi"/>
                <w:sz w:val="14"/>
                <w:szCs w:val="14"/>
              </w:rPr>
            </w:pPr>
          </w:p>
        </w:tc>
        <w:tc>
          <w:tcPr>
            <w:tcW w:w="1207" w:type="pct"/>
            <w:shd w:val="clear" w:color="auto" w:fill="auto"/>
            <w:vAlign w:val="center"/>
          </w:tcPr>
          <w:p w14:paraId="786C4C28" w14:textId="23D18517" w:rsidR="008C3339" w:rsidRDefault="008C3339" w:rsidP="008C3339">
            <w:pPr>
              <w:pStyle w:val="Tabletext"/>
              <w:spacing w:before="0" w:after="0"/>
              <w:rPr>
                <w:rFonts w:asciiTheme="majorHAnsi" w:hAnsiTheme="majorHAnsi" w:cstheme="majorHAnsi"/>
                <w:sz w:val="14"/>
                <w:szCs w:val="14"/>
              </w:rPr>
            </w:pPr>
            <w:r>
              <w:rPr>
                <w:rFonts w:asciiTheme="majorHAnsi" w:hAnsiTheme="majorHAnsi" w:cstheme="majorHAnsi"/>
                <w:sz w:val="14"/>
                <w:szCs w:val="14"/>
              </w:rPr>
              <w:t>Where applicable, as built pickup or as constructed drawing been provided by authority.</w:t>
            </w:r>
          </w:p>
          <w:p w14:paraId="6DB2A12D" w14:textId="77777777" w:rsidR="008C3339" w:rsidRDefault="008C3339" w:rsidP="008C3339">
            <w:pPr>
              <w:pStyle w:val="SymalTableBody"/>
              <w:spacing w:before="20" w:after="20"/>
              <w:rPr>
                <w:rFonts w:asciiTheme="majorHAnsi" w:hAnsiTheme="majorHAnsi" w:cstheme="majorHAnsi"/>
                <w:sz w:val="14"/>
                <w:szCs w:val="14"/>
              </w:rPr>
            </w:pPr>
          </w:p>
          <w:p w14:paraId="78DE24EB" w14:textId="77777777" w:rsidR="008C3339" w:rsidRDefault="008C3339" w:rsidP="008C3339">
            <w:pPr>
              <w:pStyle w:val="SymalTableBody"/>
              <w:spacing w:before="20" w:after="20"/>
              <w:rPr>
                <w:b/>
                <w:bCs/>
                <w:sz w:val="14"/>
                <w:szCs w:val="14"/>
              </w:rPr>
            </w:pPr>
            <w:r>
              <w:rPr>
                <w:b/>
                <w:bCs/>
                <w:sz w:val="14"/>
                <w:szCs w:val="14"/>
              </w:rPr>
              <w:t>Has all of the above been completed correctly and to a high standard?</w:t>
            </w:r>
          </w:p>
          <w:p w14:paraId="7D3B4906" w14:textId="77777777" w:rsidR="008C3339" w:rsidRDefault="008C3339" w:rsidP="008C3339">
            <w:pPr>
              <w:pStyle w:val="SymalTableBody"/>
              <w:spacing w:before="20" w:after="20"/>
              <w:rPr>
                <w:rFonts w:ascii="Arial" w:hAnsi="Arial" w:cs="Arial"/>
                <w:b/>
                <w:bCs/>
                <w:sz w:val="28"/>
                <w:szCs w:val="28"/>
              </w:rPr>
            </w:pPr>
            <w:r>
              <w:rPr>
                <w:b/>
                <w:bCs/>
                <w:sz w:val="14"/>
                <w:szCs w:val="14"/>
              </w:rPr>
              <w:lastRenderedPageBreak/>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r>
              <w:rPr>
                <w:b/>
                <w:bCs/>
                <w:sz w:val="14"/>
                <w:szCs w:val="14"/>
              </w:rPr>
              <w:t xml:space="preserve">         N/A     </w:t>
            </w:r>
            <w:r>
              <w:rPr>
                <w:b/>
                <w:bCs/>
                <w:sz w:val="24"/>
                <w:szCs w:val="24"/>
              </w:rPr>
              <w:t xml:space="preserve"> </w:t>
            </w:r>
            <w:r w:rsidRPr="00E5466D">
              <w:rPr>
                <w:rFonts w:ascii="Arial" w:hAnsi="Arial" w:cs="Arial"/>
                <w:b/>
                <w:bCs/>
                <w:sz w:val="28"/>
                <w:szCs w:val="28"/>
              </w:rPr>
              <w:t>□</w:t>
            </w:r>
          </w:p>
          <w:p w14:paraId="3FB00877" w14:textId="77777777" w:rsidR="008C3339" w:rsidRDefault="008C3339" w:rsidP="008C3339">
            <w:pPr>
              <w:pStyle w:val="SymalTableBody"/>
              <w:spacing w:before="20" w:after="20"/>
              <w:rPr>
                <w:rFonts w:asciiTheme="majorHAnsi" w:hAnsiTheme="majorHAnsi" w:cstheme="majorHAnsi"/>
                <w:sz w:val="14"/>
                <w:szCs w:val="14"/>
              </w:rPr>
            </w:pPr>
          </w:p>
        </w:tc>
        <w:tc>
          <w:tcPr>
            <w:tcW w:w="337" w:type="pct"/>
            <w:shd w:val="clear" w:color="auto" w:fill="auto"/>
            <w:vAlign w:val="center"/>
          </w:tcPr>
          <w:p w14:paraId="5F4195B8" w14:textId="666D5C8B" w:rsidR="008C3339" w:rsidRPr="000565D7" w:rsidRDefault="008C3339" w:rsidP="008C3339">
            <w:pPr>
              <w:pStyle w:val="SymalTableBody"/>
              <w:spacing w:before="20" w:after="20"/>
              <w:jc w:val="center"/>
              <w:rPr>
                <w:sz w:val="14"/>
                <w:szCs w:val="14"/>
              </w:rPr>
            </w:pPr>
            <w:r w:rsidRPr="000565D7">
              <w:rPr>
                <w:sz w:val="14"/>
                <w:szCs w:val="14"/>
              </w:rPr>
              <w:lastRenderedPageBreak/>
              <w:t xml:space="preserve">Each Lot </w:t>
            </w:r>
          </w:p>
        </w:tc>
        <w:tc>
          <w:tcPr>
            <w:tcW w:w="288" w:type="pct"/>
            <w:shd w:val="clear" w:color="auto" w:fill="auto"/>
            <w:vAlign w:val="center"/>
          </w:tcPr>
          <w:p w14:paraId="7219A189" w14:textId="0C8439F5" w:rsidR="008C3339" w:rsidRPr="000565D7" w:rsidRDefault="008C3339" w:rsidP="008C3339">
            <w:pPr>
              <w:pStyle w:val="SymalTableBody"/>
              <w:spacing w:before="20" w:after="20"/>
              <w:jc w:val="center"/>
              <w:rPr>
                <w:sz w:val="14"/>
                <w:szCs w:val="14"/>
              </w:rPr>
            </w:pPr>
            <w:r w:rsidRPr="000565D7">
              <w:rPr>
                <w:sz w:val="14"/>
                <w:szCs w:val="14"/>
              </w:rPr>
              <w:t>R</w:t>
            </w:r>
          </w:p>
        </w:tc>
        <w:tc>
          <w:tcPr>
            <w:tcW w:w="240" w:type="pct"/>
            <w:shd w:val="clear" w:color="auto" w:fill="auto"/>
            <w:vAlign w:val="center"/>
          </w:tcPr>
          <w:p w14:paraId="5C5701F9" w14:textId="030C5674" w:rsidR="008C3339" w:rsidRPr="000565D7" w:rsidRDefault="008C3339" w:rsidP="008C3339">
            <w:pPr>
              <w:pStyle w:val="SymalTableBody"/>
              <w:spacing w:before="20" w:after="20"/>
              <w:jc w:val="center"/>
              <w:rPr>
                <w:sz w:val="14"/>
                <w:szCs w:val="14"/>
              </w:rPr>
            </w:pPr>
            <w:r w:rsidRPr="000565D7">
              <w:rPr>
                <w:sz w:val="14"/>
                <w:szCs w:val="14"/>
              </w:rPr>
              <w:t>SE</w:t>
            </w:r>
          </w:p>
        </w:tc>
        <w:tc>
          <w:tcPr>
            <w:tcW w:w="243" w:type="pct"/>
            <w:shd w:val="clear" w:color="auto" w:fill="auto"/>
            <w:vAlign w:val="center"/>
          </w:tcPr>
          <w:p w14:paraId="10F39B61" w14:textId="77777777" w:rsidR="008C3339" w:rsidRPr="00741190" w:rsidRDefault="008C3339" w:rsidP="008C3339">
            <w:pPr>
              <w:pStyle w:val="SymalTableBody"/>
              <w:spacing w:before="20" w:after="20"/>
              <w:rPr>
                <w:b/>
                <w:bCs/>
                <w:szCs w:val="18"/>
              </w:rPr>
            </w:pPr>
          </w:p>
        </w:tc>
        <w:tc>
          <w:tcPr>
            <w:tcW w:w="289" w:type="pct"/>
            <w:shd w:val="clear" w:color="auto" w:fill="auto"/>
            <w:vAlign w:val="center"/>
          </w:tcPr>
          <w:p w14:paraId="6C9C9D9F" w14:textId="77777777" w:rsidR="008C3339" w:rsidRPr="00741190" w:rsidRDefault="008C3339" w:rsidP="008C3339">
            <w:pPr>
              <w:pStyle w:val="SymalTableBody"/>
              <w:spacing w:before="20" w:after="20"/>
              <w:jc w:val="center"/>
              <w:rPr>
                <w:b/>
                <w:bCs/>
                <w:szCs w:val="18"/>
              </w:rPr>
            </w:pPr>
          </w:p>
        </w:tc>
        <w:tc>
          <w:tcPr>
            <w:tcW w:w="241" w:type="pct"/>
            <w:shd w:val="clear" w:color="auto" w:fill="auto"/>
            <w:vAlign w:val="center"/>
          </w:tcPr>
          <w:p w14:paraId="4F57BE3E" w14:textId="77777777" w:rsidR="008C3339" w:rsidRPr="00741190" w:rsidRDefault="008C3339" w:rsidP="008C3339">
            <w:pPr>
              <w:pStyle w:val="SymalTableBody"/>
              <w:spacing w:before="20" w:after="20"/>
              <w:jc w:val="center"/>
              <w:rPr>
                <w:b/>
                <w:bCs/>
                <w:szCs w:val="18"/>
              </w:rPr>
            </w:pPr>
          </w:p>
        </w:tc>
        <w:tc>
          <w:tcPr>
            <w:tcW w:w="624" w:type="pct"/>
            <w:shd w:val="clear" w:color="auto" w:fill="auto"/>
            <w:vAlign w:val="center"/>
          </w:tcPr>
          <w:p w14:paraId="742A367F" w14:textId="77777777" w:rsidR="008C3339" w:rsidRDefault="008C3339" w:rsidP="008C3339">
            <w:pPr>
              <w:pStyle w:val="Tabletext"/>
              <w:spacing w:before="0" w:after="0"/>
              <w:rPr>
                <w:rFonts w:asciiTheme="majorHAnsi" w:hAnsiTheme="majorHAnsi" w:cstheme="majorHAnsi"/>
                <w:sz w:val="14"/>
                <w:szCs w:val="14"/>
              </w:rPr>
            </w:pPr>
          </w:p>
        </w:tc>
      </w:tr>
      <w:tr w:rsidR="008C3339" w:rsidRPr="00741190" w14:paraId="3503C77D" w14:textId="77777777" w:rsidTr="00113656">
        <w:trPr>
          <w:trHeight w:val="227"/>
        </w:trPr>
        <w:tc>
          <w:tcPr>
            <w:tcW w:w="239" w:type="pct"/>
            <w:shd w:val="clear" w:color="auto" w:fill="auto"/>
            <w:vAlign w:val="center"/>
          </w:tcPr>
          <w:p w14:paraId="09328EAA" w14:textId="1C25D00B" w:rsidR="008C3339" w:rsidRDefault="008C3339" w:rsidP="008C3339">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4.3</w:t>
            </w:r>
          </w:p>
        </w:tc>
        <w:tc>
          <w:tcPr>
            <w:tcW w:w="955" w:type="pct"/>
            <w:shd w:val="clear" w:color="auto" w:fill="auto"/>
            <w:vAlign w:val="center"/>
          </w:tcPr>
          <w:p w14:paraId="7397C627" w14:textId="606F1502" w:rsidR="008C3339" w:rsidRDefault="008C3339" w:rsidP="008C3339">
            <w:pPr>
              <w:pStyle w:val="SymalTableBody"/>
              <w:spacing w:before="20" w:after="20"/>
              <w:rPr>
                <w:rFonts w:asciiTheme="majorHAnsi" w:hAnsiTheme="majorHAnsi" w:cstheme="majorHAnsi"/>
                <w:sz w:val="14"/>
                <w:szCs w:val="14"/>
              </w:rPr>
            </w:pPr>
            <w:r w:rsidRPr="00500190">
              <w:rPr>
                <w:rFonts w:asciiTheme="majorHAnsi" w:hAnsiTheme="majorHAnsi" w:cstheme="majorHAnsi"/>
                <w:sz w:val="14"/>
                <w:szCs w:val="14"/>
              </w:rPr>
              <w:t>Audits, checklists, and approvals</w:t>
            </w:r>
          </w:p>
        </w:tc>
        <w:tc>
          <w:tcPr>
            <w:tcW w:w="337" w:type="pct"/>
            <w:shd w:val="clear" w:color="auto" w:fill="auto"/>
            <w:vAlign w:val="center"/>
          </w:tcPr>
          <w:p w14:paraId="2099C16D" w14:textId="07358766" w:rsidR="008C3339" w:rsidRDefault="008C3339" w:rsidP="008C3339">
            <w:pPr>
              <w:pStyle w:val="SymalTableBody"/>
              <w:spacing w:before="20" w:after="20"/>
              <w:jc w:val="center"/>
              <w:rPr>
                <w:rFonts w:asciiTheme="majorHAnsi" w:hAnsiTheme="majorHAnsi" w:cstheme="majorHAnsi"/>
                <w:sz w:val="14"/>
                <w:szCs w:val="14"/>
              </w:rPr>
            </w:pPr>
            <w:r w:rsidRPr="008C3339">
              <w:rPr>
                <w:rFonts w:asciiTheme="majorHAnsi" w:hAnsiTheme="majorHAnsi" w:cstheme="majorHAnsi"/>
                <w:sz w:val="14"/>
                <w:szCs w:val="14"/>
              </w:rPr>
              <w:t>Ausnet Tech Spec</w:t>
            </w:r>
            <w:r w:rsidRPr="009E588D">
              <w:rPr>
                <w:sz w:val="16"/>
                <w:szCs w:val="16"/>
              </w:rPr>
              <w:br/>
            </w:r>
          </w:p>
        </w:tc>
        <w:tc>
          <w:tcPr>
            <w:tcW w:w="1207" w:type="pct"/>
            <w:shd w:val="clear" w:color="auto" w:fill="auto"/>
            <w:vAlign w:val="center"/>
          </w:tcPr>
          <w:p w14:paraId="6A3A1A7D" w14:textId="56E22848" w:rsidR="008C3339" w:rsidRPr="008C3339" w:rsidRDefault="008C3339" w:rsidP="008C3339">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sidRPr="008C3339">
              <w:rPr>
                <w:rFonts w:asciiTheme="majorHAnsi" w:eastAsia="Arial" w:hAnsiTheme="majorHAnsi" w:cstheme="majorHAnsi"/>
                <w:sz w:val="14"/>
                <w:szCs w:val="14"/>
              </w:rPr>
              <w:t>Civil Audits for all trenches</w:t>
            </w:r>
            <w:r w:rsidR="002C2250">
              <w:rPr>
                <w:rFonts w:asciiTheme="majorHAnsi" w:eastAsia="Arial" w:hAnsiTheme="majorHAnsi" w:cstheme="majorHAnsi"/>
                <w:sz w:val="14"/>
                <w:szCs w:val="14"/>
              </w:rPr>
              <w:t xml:space="preserve"> </w:t>
            </w:r>
            <w:r w:rsidR="005E205D">
              <w:rPr>
                <w:rFonts w:asciiTheme="majorHAnsi" w:eastAsia="Arial" w:hAnsiTheme="majorHAnsi" w:cstheme="majorHAnsi"/>
                <w:sz w:val="14"/>
                <w:szCs w:val="14"/>
              </w:rPr>
              <w:t>(If applicable)</w:t>
            </w:r>
            <w:r w:rsidR="002C2250">
              <w:rPr>
                <w:rFonts w:asciiTheme="majorHAnsi" w:eastAsia="Arial" w:hAnsiTheme="majorHAnsi" w:cstheme="majorHAnsi"/>
                <w:sz w:val="14"/>
                <w:szCs w:val="14"/>
              </w:rPr>
              <w:t>.</w:t>
            </w:r>
          </w:p>
          <w:p w14:paraId="52171C4E" w14:textId="7E2E2F1F" w:rsidR="008C3339" w:rsidRPr="005E205D" w:rsidRDefault="008C3339" w:rsidP="005E205D">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sidRPr="008C3339">
              <w:rPr>
                <w:rFonts w:asciiTheme="majorHAnsi" w:eastAsia="Arial" w:hAnsiTheme="majorHAnsi" w:cstheme="majorHAnsi"/>
                <w:sz w:val="14"/>
                <w:szCs w:val="14"/>
              </w:rPr>
              <w:t>Cable Hauling audits</w:t>
            </w:r>
            <w:r w:rsidR="005E205D">
              <w:rPr>
                <w:rFonts w:asciiTheme="majorHAnsi" w:eastAsia="Arial" w:hAnsiTheme="majorHAnsi" w:cstheme="majorHAnsi"/>
                <w:sz w:val="14"/>
                <w:szCs w:val="14"/>
              </w:rPr>
              <w:t xml:space="preserve"> (If applicable)</w:t>
            </w:r>
            <w:r w:rsidR="002C2250">
              <w:rPr>
                <w:rFonts w:asciiTheme="majorHAnsi" w:eastAsia="Arial" w:hAnsiTheme="majorHAnsi" w:cstheme="majorHAnsi"/>
                <w:sz w:val="14"/>
                <w:szCs w:val="14"/>
              </w:rPr>
              <w:t>.</w:t>
            </w:r>
          </w:p>
          <w:p w14:paraId="5BA5AF94" w14:textId="40EFE97E" w:rsidR="008C3339" w:rsidRPr="008C3339" w:rsidRDefault="008C3339" w:rsidP="008C3339">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sidRPr="008C3339">
              <w:rPr>
                <w:rFonts w:asciiTheme="majorHAnsi" w:eastAsia="Arial" w:hAnsiTheme="majorHAnsi" w:cstheme="majorHAnsi"/>
                <w:sz w:val="14"/>
                <w:szCs w:val="14"/>
              </w:rPr>
              <w:t>Trench inspection and detailing of all conduits and cables</w:t>
            </w:r>
            <w:r w:rsidR="004809A5">
              <w:rPr>
                <w:rFonts w:asciiTheme="majorHAnsi" w:eastAsia="Arial" w:hAnsiTheme="majorHAnsi" w:cstheme="majorHAnsi"/>
                <w:sz w:val="14"/>
                <w:szCs w:val="14"/>
              </w:rPr>
              <w:t xml:space="preserve"> (If applicable).</w:t>
            </w:r>
          </w:p>
          <w:p w14:paraId="459E44CB" w14:textId="4A68E57F" w:rsidR="008C3339" w:rsidRPr="002C2250" w:rsidRDefault="008C3339" w:rsidP="002C2250">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sidRPr="008C3339">
              <w:rPr>
                <w:rFonts w:asciiTheme="majorHAnsi" w:eastAsia="Arial" w:hAnsiTheme="majorHAnsi" w:cstheme="majorHAnsi"/>
                <w:sz w:val="14"/>
                <w:szCs w:val="14"/>
              </w:rPr>
              <w:t>Pre-commissioning audit with all non-conformances rectified</w:t>
            </w:r>
            <w:r w:rsidR="002C2250">
              <w:rPr>
                <w:rFonts w:asciiTheme="majorHAnsi" w:eastAsia="Arial" w:hAnsiTheme="majorHAnsi" w:cstheme="majorHAnsi"/>
                <w:sz w:val="14"/>
                <w:szCs w:val="14"/>
              </w:rPr>
              <w:t xml:space="preserve"> (If applicable).</w:t>
            </w:r>
          </w:p>
        </w:tc>
        <w:tc>
          <w:tcPr>
            <w:tcW w:w="337" w:type="pct"/>
            <w:shd w:val="clear" w:color="auto" w:fill="auto"/>
            <w:vAlign w:val="center"/>
          </w:tcPr>
          <w:p w14:paraId="63C2038C" w14:textId="379860B6" w:rsidR="008C3339" w:rsidRPr="000565D7" w:rsidRDefault="008C3339" w:rsidP="008C3339">
            <w:pPr>
              <w:pStyle w:val="SymalTableBody"/>
              <w:spacing w:before="20" w:after="20"/>
              <w:jc w:val="center"/>
              <w:rPr>
                <w:sz w:val="14"/>
                <w:szCs w:val="14"/>
              </w:rPr>
            </w:pPr>
            <w:r w:rsidRPr="008C3339">
              <w:rPr>
                <w:sz w:val="14"/>
                <w:szCs w:val="14"/>
              </w:rPr>
              <w:t>Each lot</w:t>
            </w:r>
          </w:p>
        </w:tc>
        <w:tc>
          <w:tcPr>
            <w:tcW w:w="288" w:type="pct"/>
            <w:shd w:val="clear" w:color="auto" w:fill="auto"/>
            <w:vAlign w:val="center"/>
          </w:tcPr>
          <w:p w14:paraId="250F0FF7" w14:textId="3B7BAD15" w:rsidR="008C3339" w:rsidRPr="000565D7" w:rsidRDefault="008C3339" w:rsidP="008C3339">
            <w:pPr>
              <w:pStyle w:val="SymalTableBody"/>
              <w:spacing w:before="20" w:after="20"/>
              <w:jc w:val="center"/>
              <w:rPr>
                <w:sz w:val="14"/>
                <w:szCs w:val="14"/>
              </w:rPr>
            </w:pPr>
            <w:r w:rsidRPr="000565D7">
              <w:rPr>
                <w:sz w:val="14"/>
                <w:szCs w:val="14"/>
              </w:rPr>
              <w:t>R</w:t>
            </w:r>
          </w:p>
        </w:tc>
        <w:tc>
          <w:tcPr>
            <w:tcW w:w="240" w:type="pct"/>
            <w:shd w:val="clear" w:color="auto" w:fill="auto"/>
            <w:vAlign w:val="center"/>
          </w:tcPr>
          <w:p w14:paraId="4DE4451B" w14:textId="6631BE8A" w:rsidR="008C3339" w:rsidRPr="000565D7" w:rsidRDefault="008C3339" w:rsidP="008C3339">
            <w:pPr>
              <w:pStyle w:val="SymalTableBody"/>
              <w:spacing w:before="20" w:after="20"/>
              <w:jc w:val="center"/>
              <w:rPr>
                <w:sz w:val="14"/>
                <w:szCs w:val="14"/>
              </w:rPr>
            </w:pPr>
            <w:r w:rsidRPr="000565D7">
              <w:rPr>
                <w:sz w:val="14"/>
                <w:szCs w:val="14"/>
              </w:rPr>
              <w:t>SE</w:t>
            </w:r>
          </w:p>
        </w:tc>
        <w:tc>
          <w:tcPr>
            <w:tcW w:w="243" w:type="pct"/>
            <w:shd w:val="clear" w:color="auto" w:fill="auto"/>
            <w:vAlign w:val="center"/>
          </w:tcPr>
          <w:p w14:paraId="493BF67F" w14:textId="77777777" w:rsidR="008C3339" w:rsidRPr="00741190" w:rsidRDefault="008C3339" w:rsidP="008C3339">
            <w:pPr>
              <w:pStyle w:val="SymalTableBody"/>
              <w:spacing w:before="20" w:after="20"/>
              <w:jc w:val="center"/>
              <w:rPr>
                <w:b/>
                <w:bCs/>
                <w:szCs w:val="18"/>
              </w:rPr>
            </w:pPr>
          </w:p>
        </w:tc>
        <w:tc>
          <w:tcPr>
            <w:tcW w:w="289" w:type="pct"/>
            <w:shd w:val="clear" w:color="auto" w:fill="auto"/>
            <w:vAlign w:val="center"/>
          </w:tcPr>
          <w:p w14:paraId="1C6C503D" w14:textId="77777777" w:rsidR="008C3339" w:rsidRPr="00741190" w:rsidRDefault="008C3339" w:rsidP="008C3339">
            <w:pPr>
              <w:pStyle w:val="SymalTableBody"/>
              <w:spacing w:before="20" w:after="20"/>
              <w:jc w:val="center"/>
              <w:rPr>
                <w:b/>
                <w:bCs/>
                <w:szCs w:val="18"/>
              </w:rPr>
            </w:pPr>
          </w:p>
        </w:tc>
        <w:tc>
          <w:tcPr>
            <w:tcW w:w="241" w:type="pct"/>
            <w:shd w:val="clear" w:color="auto" w:fill="auto"/>
            <w:vAlign w:val="center"/>
          </w:tcPr>
          <w:p w14:paraId="024EEF6F" w14:textId="77777777" w:rsidR="008C3339" w:rsidRPr="00741190" w:rsidRDefault="008C3339" w:rsidP="008C3339">
            <w:pPr>
              <w:pStyle w:val="SymalTableBody"/>
              <w:spacing w:before="20" w:after="20"/>
              <w:jc w:val="center"/>
              <w:rPr>
                <w:b/>
                <w:bCs/>
                <w:szCs w:val="18"/>
              </w:rPr>
            </w:pPr>
          </w:p>
        </w:tc>
        <w:tc>
          <w:tcPr>
            <w:tcW w:w="624" w:type="pct"/>
            <w:shd w:val="clear" w:color="auto" w:fill="auto"/>
            <w:vAlign w:val="center"/>
          </w:tcPr>
          <w:p w14:paraId="7891A553" w14:textId="77777777" w:rsidR="008C3339" w:rsidRPr="008C3339" w:rsidRDefault="008C3339" w:rsidP="008C3339">
            <w:pPr>
              <w:pStyle w:val="SymalTableBody"/>
              <w:spacing w:before="20" w:after="20"/>
              <w:rPr>
                <w:rFonts w:asciiTheme="majorHAnsi" w:hAnsiTheme="majorHAnsi" w:cstheme="majorHAnsi"/>
                <w:sz w:val="14"/>
                <w:szCs w:val="14"/>
              </w:rPr>
            </w:pPr>
            <w:r w:rsidRPr="008C3339">
              <w:rPr>
                <w:rFonts w:asciiTheme="majorHAnsi" w:hAnsiTheme="majorHAnsi" w:cstheme="majorHAnsi"/>
                <w:sz w:val="14"/>
                <w:szCs w:val="14"/>
              </w:rPr>
              <w:t xml:space="preserve">Conformance Report </w:t>
            </w:r>
          </w:p>
          <w:p w14:paraId="0680481C" w14:textId="77777777" w:rsidR="008C3339" w:rsidRPr="009E588D" w:rsidRDefault="008C3339" w:rsidP="008C3339">
            <w:pPr>
              <w:pStyle w:val="Tabletext"/>
              <w:rPr>
                <w:rFonts w:asciiTheme="majorHAnsi" w:hAnsiTheme="majorHAnsi" w:cstheme="majorHAnsi"/>
                <w:szCs w:val="16"/>
              </w:rPr>
            </w:pPr>
          </w:p>
          <w:p w14:paraId="699C6F09" w14:textId="77777777" w:rsidR="00F55D0B" w:rsidRDefault="00F55D0B" w:rsidP="00F55D0B">
            <w:pPr>
              <w:pStyle w:val="Tabletext"/>
              <w:rPr>
                <w:rFonts w:asciiTheme="majorHAnsi" w:hAnsiTheme="majorHAnsi" w:cstheme="majorHAnsi"/>
                <w:sz w:val="14"/>
                <w:szCs w:val="14"/>
              </w:rPr>
            </w:pPr>
            <w:r>
              <w:rPr>
                <w:b/>
                <w:sz w:val="14"/>
                <w:szCs w:val="14"/>
              </w:rPr>
              <w:t>Yes</w:t>
            </w:r>
            <w:r>
              <w:rPr>
                <w:rFonts w:cstheme="minorHAnsi"/>
                <w:b/>
                <w:sz w:val="28"/>
                <w:szCs w:val="28"/>
              </w:rPr>
              <w:t>□</w:t>
            </w:r>
            <w:r>
              <w:rPr>
                <w:b/>
                <w:sz w:val="20"/>
              </w:rPr>
              <w:t xml:space="preserve">  </w:t>
            </w:r>
            <w:r>
              <w:rPr>
                <w:b/>
                <w:sz w:val="14"/>
                <w:szCs w:val="14"/>
              </w:rPr>
              <w:t>No</w:t>
            </w:r>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29441C70" w14:textId="20EE1B5C" w:rsidR="008C3339" w:rsidRDefault="008C3339" w:rsidP="008C3339">
            <w:pPr>
              <w:pStyle w:val="Tabletext"/>
              <w:spacing w:before="0" w:after="0"/>
              <w:rPr>
                <w:rFonts w:asciiTheme="majorHAnsi" w:hAnsiTheme="majorHAnsi" w:cstheme="majorHAnsi"/>
                <w:sz w:val="14"/>
                <w:szCs w:val="14"/>
              </w:rPr>
            </w:pPr>
          </w:p>
        </w:tc>
      </w:tr>
      <w:tr w:rsidR="008C3339" w:rsidRPr="00741190" w14:paraId="340B3D24" w14:textId="77777777" w:rsidTr="00947C9D">
        <w:trPr>
          <w:trHeight w:val="227"/>
        </w:trPr>
        <w:tc>
          <w:tcPr>
            <w:tcW w:w="239" w:type="pct"/>
            <w:shd w:val="clear" w:color="auto" w:fill="auto"/>
            <w:vAlign w:val="center"/>
          </w:tcPr>
          <w:p w14:paraId="13ED27FA" w14:textId="4812F2DE" w:rsidR="008C3339" w:rsidRPr="00C81EB5" w:rsidRDefault="008C3339" w:rsidP="008C3339">
            <w:pPr>
              <w:pStyle w:val="SymalTableBody"/>
              <w:spacing w:before="20" w:after="20"/>
              <w:rPr>
                <w:b/>
                <w:bCs/>
                <w:sz w:val="16"/>
                <w:szCs w:val="16"/>
              </w:rPr>
            </w:pPr>
            <w:r>
              <w:rPr>
                <w:rFonts w:asciiTheme="majorHAnsi" w:hAnsiTheme="majorHAnsi" w:cstheme="majorHAnsi"/>
                <w:b/>
                <w:bCs/>
                <w:sz w:val="16"/>
                <w:szCs w:val="16"/>
              </w:rPr>
              <w:t>4</w:t>
            </w:r>
            <w:r w:rsidRPr="00C81EB5">
              <w:rPr>
                <w:rFonts w:asciiTheme="majorHAnsi" w:hAnsiTheme="majorHAnsi" w:cstheme="majorHAnsi"/>
                <w:b/>
                <w:bCs/>
                <w:sz w:val="16"/>
                <w:szCs w:val="16"/>
              </w:rPr>
              <w:t>.</w:t>
            </w:r>
            <w:r>
              <w:rPr>
                <w:rFonts w:asciiTheme="majorHAnsi" w:hAnsiTheme="majorHAnsi" w:cstheme="majorHAnsi"/>
                <w:b/>
                <w:bCs/>
                <w:sz w:val="16"/>
                <w:szCs w:val="16"/>
              </w:rPr>
              <w:t>4</w:t>
            </w:r>
          </w:p>
        </w:tc>
        <w:tc>
          <w:tcPr>
            <w:tcW w:w="955" w:type="pct"/>
            <w:shd w:val="clear" w:color="auto" w:fill="auto"/>
            <w:vAlign w:val="center"/>
          </w:tcPr>
          <w:p w14:paraId="0C2370E0" w14:textId="5CB4E6B3" w:rsidR="008C3339" w:rsidRPr="00D340C6" w:rsidRDefault="008C3339" w:rsidP="008C3339">
            <w:pPr>
              <w:pStyle w:val="SymalTableBody"/>
              <w:spacing w:before="20" w:after="20"/>
              <w:rPr>
                <w:b/>
                <w:bCs/>
                <w:sz w:val="16"/>
                <w:szCs w:val="16"/>
              </w:rPr>
            </w:pPr>
            <w:r>
              <w:rPr>
                <w:rFonts w:asciiTheme="majorHAnsi" w:hAnsiTheme="majorHAnsi" w:cstheme="majorHAnsi"/>
                <w:sz w:val="14"/>
                <w:szCs w:val="14"/>
              </w:rPr>
              <w:t>Product Non-Conformance</w:t>
            </w:r>
          </w:p>
        </w:tc>
        <w:tc>
          <w:tcPr>
            <w:tcW w:w="337" w:type="pct"/>
            <w:shd w:val="clear" w:color="auto" w:fill="auto"/>
            <w:vAlign w:val="center"/>
          </w:tcPr>
          <w:p w14:paraId="46ADE6B0" w14:textId="23034BE1" w:rsidR="008C3339" w:rsidRPr="00D340C6" w:rsidRDefault="008C3339" w:rsidP="008C3339">
            <w:pPr>
              <w:pStyle w:val="SymalTableBody"/>
              <w:spacing w:before="20" w:after="20"/>
              <w:jc w:val="center"/>
              <w:rPr>
                <w:sz w:val="16"/>
                <w:szCs w:val="16"/>
              </w:rPr>
            </w:pPr>
            <w:r>
              <w:rPr>
                <w:rFonts w:asciiTheme="majorHAnsi" w:hAnsiTheme="majorHAnsi" w:cstheme="majorHAnsi"/>
                <w:sz w:val="14"/>
                <w:szCs w:val="14"/>
              </w:rPr>
              <w:t>CQMP</w:t>
            </w:r>
          </w:p>
        </w:tc>
        <w:tc>
          <w:tcPr>
            <w:tcW w:w="1207" w:type="pct"/>
            <w:shd w:val="clear" w:color="auto" w:fill="auto"/>
            <w:vAlign w:val="center"/>
          </w:tcPr>
          <w:p w14:paraId="203073AD" w14:textId="5DB4B8CC" w:rsidR="008C3339" w:rsidRDefault="008C3339" w:rsidP="008C3339">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All Product Non-Conformance(s) recorded and closed (if applicable)</w:t>
            </w:r>
          </w:p>
          <w:p w14:paraId="792246F1" w14:textId="33088DC7" w:rsidR="008C3339" w:rsidRDefault="008C3339" w:rsidP="008C3339">
            <w:pPr>
              <w:pStyle w:val="SymalTableBody"/>
              <w:spacing w:before="20" w:after="20"/>
              <w:rPr>
                <w:rFonts w:asciiTheme="majorHAnsi" w:hAnsiTheme="majorHAnsi" w:cstheme="majorHAnsi"/>
                <w:sz w:val="14"/>
                <w:szCs w:val="14"/>
              </w:rPr>
            </w:pPr>
          </w:p>
          <w:p w14:paraId="595A1731" w14:textId="77777777" w:rsidR="008C3339" w:rsidRDefault="008C3339" w:rsidP="008C3339">
            <w:pPr>
              <w:pStyle w:val="SymalTableBody"/>
              <w:spacing w:before="20" w:after="20"/>
              <w:rPr>
                <w:b/>
                <w:bCs/>
                <w:sz w:val="14"/>
                <w:szCs w:val="14"/>
              </w:rPr>
            </w:pPr>
            <w:r>
              <w:rPr>
                <w:b/>
                <w:bCs/>
                <w:sz w:val="14"/>
                <w:szCs w:val="14"/>
              </w:rPr>
              <w:t xml:space="preserve">Has all of the above been proven to meet and/or exceed minimum tested requirements? </w:t>
            </w:r>
          </w:p>
          <w:p w14:paraId="1877D950" w14:textId="1E3281E5" w:rsidR="008C3339" w:rsidRPr="00D340C6" w:rsidRDefault="008C3339" w:rsidP="008C3339">
            <w:pPr>
              <w:pStyle w:val="SymalTableBody"/>
              <w:spacing w:before="20" w:after="20"/>
              <w:rPr>
                <w:sz w:val="16"/>
                <w:szCs w:val="16"/>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r>
              <w:rPr>
                <w:rFonts w:asciiTheme="majorHAnsi" w:hAnsiTheme="majorHAnsi" w:cstheme="majorHAnsi"/>
                <w:sz w:val="14"/>
                <w:szCs w:val="14"/>
              </w:rPr>
              <w:t xml:space="preserve"> </w:t>
            </w:r>
          </w:p>
        </w:tc>
        <w:tc>
          <w:tcPr>
            <w:tcW w:w="337" w:type="pct"/>
            <w:shd w:val="clear" w:color="auto" w:fill="auto"/>
            <w:vAlign w:val="center"/>
          </w:tcPr>
          <w:p w14:paraId="48D890B4" w14:textId="7D9E2ED7" w:rsidR="008C3339" w:rsidRPr="000565D7" w:rsidRDefault="008C3339" w:rsidP="008C3339">
            <w:pPr>
              <w:pStyle w:val="SymalTableBody"/>
              <w:spacing w:before="20" w:after="20"/>
              <w:jc w:val="center"/>
              <w:rPr>
                <w:sz w:val="14"/>
                <w:szCs w:val="14"/>
              </w:rPr>
            </w:pPr>
            <w:r w:rsidRPr="000565D7">
              <w:rPr>
                <w:sz w:val="14"/>
                <w:szCs w:val="14"/>
              </w:rPr>
              <w:t xml:space="preserve">Each Lot </w:t>
            </w:r>
          </w:p>
        </w:tc>
        <w:tc>
          <w:tcPr>
            <w:tcW w:w="288" w:type="pct"/>
            <w:shd w:val="clear" w:color="auto" w:fill="auto"/>
            <w:vAlign w:val="center"/>
          </w:tcPr>
          <w:p w14:paraId="37341D89" w14:textId="3877F0A2" w:rsidR="008C3339" w:rsidRPr="000565D7" w:rsidRDefault="008C3339" w:rsidP="008C3339">
            <w:pPr>
              <w:pStyle w:val="SymalTableBody"/>
              <w:spacing w:before="20" w:after="20"/>
              <w:jc w:val="center"/>
              <w:rPr>
                <w:sz w:val="14"/>
                <w:szCs w:val="14"/>
              </w:rPr>
            </w:pPr>
            <w:r w:rsidRPr="000565D7">
              <w:rPr>
                <w:sz w:val="14"/>
                <w:szCs w:val="14"/>
              </w:rPr>
              <w:t>R</w:t>
            </w:r>
          </w:p>
        </w:tc>
        <w:tc>
          <w:tcPr>
            <w:tcW w:w="240" w:type="pct"/>
            <w:shd w:val="clear" w:color="auto" w:fill="auto"/>
            <w:vAlign w:val="center"/>
          </w:tcPr>
          <w:p w14:paraId="655DE9EF" w14:textId="510B17DB" w:rsidR="008C3339" w:rsidRPr="000565D7" w:rsidRDefault="008C3339" w:rsidP="008C3339">
            <w:pPr>
              <w:pStyle w:val="SymalTableBody"/>
              <w:spacing w:before="20" w:after="20"/>
              <w:jc w:val="center"/>
              <w:rPr>
                <w:sz w:val="14"/>
                <w:szCs w:val="14"/>
              </w:rPr>
            </w:pPr>
            <w:r w:rsidRPr="000565D7">
              <w:rPr>
                <w:sz w:val="14"/>
                <w:szCs w:val="14"/>
              </w:rPr>
              <w:t>SE</w:t>
            </w:r>
          </w:p>
        </w:tc>
        <w:tc>
          <w:tcPr>
            <w:tcW w:w="243" w:type="pct"/>
            <w:shd w:val="clear" w:color="auto" w:fill="auto"/>
            <w:vAlign w:val="center"/>
          </w:tcPr>
          <w:p w14:paraId="5EE45582" w14:textId="77777777" w:rsidR="008C3339" w:rsidRPr="00741190" w:rsidRDefault="008C3339" w:rsidP="008C3339">
            <w:pPr>
              <w:pStyle w:val="SymalTableBody"/>
              <w:spacing w:before="20" w:after="20"/>
              <w:jc w:val="center"/>
              <w:rPr>
                <w:b/>
                <w:bCs/>
                <w:szCs w:val="18"/>
              </w:rPr>
            </w:pPr>
          </w:p>
        </w:tc>
        <w:tc>
          <w:tcPr>
            <w:tcW w:w="289" w:type="pct"/>
            <w:shd w:val="clear" w:color="auto" w:fill="auto"/>
            <w:vAlign w:val="center"/>
          </w:tcPr>
          <w:p w14:paraId="78B13457" w14:textId="77777777" w:rsidR="008C3339" w:rsidRPr="00741190" w:rsidRDefault="008C3339" w:rsidP="008C3339">
            <w:pPr>
              <w:pStyle w:val="SymalTableBody"/>
              <w:spacing w:before="20" w:after="20"/>
              <w:jc w:val="center"/>
              <w:rPr>
                <w:b/>
                <w:bCs/>
                <w:szCs w:val="18"/>
              </w:rPr>
            </w:pPr>
          </w:p>
        </w:tc>
        <w:tc>
          <w:tcPr>
            <w:tcW w:w="241" w:type="pct"/>
            <w:shd w:val="clear" w:color="auto" w:fill="auto"/>
            <w:vAlign w:val="center"/>
          </w:tcPr>
          <w:p w14:paraId="4131DED3" w14:textId="77777777" w:rsidR="008C3339" w:rsidRPr="00741190" w:rsidRDefault="008C3339" w:rsidP="008C3339">
            <w:pPr>
              <w:pStyle w:val="SymalTableBody"/>
              <w:spacing w:before="20" w:after="20"/>
              <w:jc w:val="center"/>
              <w:rPr>
                <w:b/>
                <w:bCs/>
                <w:szCs w:val="18"/>
              </w:rPr>
            </w:pPr>
          </w:p>
        </w:tc>
        <w:tc>
          <w:tcPr>
            <w:tcW w:w="624" w:type="pct"/>
            <w:shd w:val="clear" w:color="auto" w:fill="auto"/>
          </w:tcPr>
          <w:p w14:paraId="248C99AD" w14:textId="77777777" w:rsidR="008C3339" w:rsidRDefault="008C3339" w:rsidP="008C3339">
            <w:pPr>
              <w:pStyle w:val="Tabletext"/>
              <w:spacing w:before="0" w:after="0"/>
              <w:rPr>
                <w:rFonts w:asciiTheme="majorHAnsi" w:hAnsiTheme="majorHAnsi" w:cstheme="majorHAnsi"/>
                <w:sz w:val="14"/>
                <w:szCs w:val="14"/>
              </w:rPr>
            </w:pPr>
          </w:p>
          <w:p w14:paraId="1EB6B447" w14:textId="77777777" w:rsidR="008C3339" w:rsidRDefault="008C3339" w:rsidP="008C3339">
            <w:pPr>
              <w:pStyle w:val="Tabletext"/>
              <w:spacing w:before="0" w:after="0"/>
              <w:rPr>
                <w:rFonts w:asciiTheme="majorHAnsi" w:hAnsiTheme="majorHAnsi" w:cstheme="majorHAnsi"/>
                <w:sz w:val="14"/>
                <w:szCs w:val="14"/>
              </w:rPr>
            </w:pPr>
          </w:p>
          <w:p w14:paraId="622ECD8D" w14:textId="77777777" w:rsidR="008C3339" w:rsidRDefault="008C3339" w:rsidP="008C3339">
            <w:pPr>
              <w:pStyle w:val="Tabletext"/>
              <w:spacing w:before="0" w:after="0"/>
              <w:rPr>
                <w:rFonts w:asciiTheme="majorHAnsi" w:hAnsiTheme="majorHAnsi" w:cstheme="majorHAnsi"/>
                <w:sz w:val="14"/>
                <w:szCs w:val="14"/>
              </w:rPr>
            </w:pPr>
          </w:p>
          <w:p w14:paraId="5EB84F18" w14:textId="4CFCDCB6" w:rsidR="008C3339" w:rsidRDefault="008C3339" w:rsidP="008C3339">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707D3173" w14:textId="77777777" w:rsidR="008C3339" w:rsidRDefault="008C3339" w:rsidP="008C3339">
            <w:pPr>
              <w:pStyle w:val="Tabletext"/>
              <w:rPr>
                <w:rFonts w:asciiTheme="majorHAnsi" w:hAnsiTheme="majorHAnsi" w:cstheme="majorHAnsi"/>
                <w:sz w:val="14"/>
                <w:szCs w:val="14"/>
              </w:rPr>
            </w:pPr>
            <w:r>
              <w:rPr>
                <w:b/>
                <w:sz w:val="14"/>
                <w:szCs w:val="14"/>
              </w:rPr>
              <w:t>Yes</w:t>
            </w:r>
            <w:r>
              <w:rPr>
                <w:rFonts w:cstheme="minorHAnsi"/>
                <w:b/>
                <w:sz w:val="28"/>
                <w:szCs w:val="28"/>
              </w:rPr>
              <w:t>□</w:t>
            </w:r>
            <w:r>
              <w:rPr>
                <w:b/>
                <w:sz w:val="20"/>
              </w:rPr>
              <w:t xml:space="preserve">  </w:t>
            </w:r>
            <w:r>
              <w:rPr>
                <w:b/>
                <w:sz w:val="14"/>
                <w:szCs w:val="14"/>
              </w:rPr>
              <w:t>No</w:t>
            </w:r>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1BAC0DD5" w14:textId="77777777" w:rsidR="008C3339" w:rsidRDefault="008C3339" w:rsidP="008C3339">
            <w:pPr>
              <w:pStyle w:val="SymalTableBody"/>
              <w:spacing w:before="20" w:after="20"/>
              <w:rPr>
                <w:rFonts w:asciiTheme="majorHAnsi" w:hAnsiTheme="majorHAnsi" w:cstheme="majorHAnsi"/>
                <w:sz w:val="14"/>
                <w:szCs w:val="14"/>
              </w:rPr>
            </w:pPr>
          </w:p>
          <w:p w14:paraId="313E09D0" w14:textId="40F0534C" w:rsidR="008C3339" w:rsidRPr="00741190" w:rsidRDefault="008C3339" w:rsidP="008C3339">
            <w:pPr>
              <w:pStyle w:val="SymalTableBody"/>
              <w:spacing w:before="20" w:after="20"/>
              <w:rPr>
                <w:b/>
                <w:bCs/>
                <w:szCs w:val="18"/>
              </w:rPr>
            </w:pPr>
          </w:p>
        </w:tc>
      </w:tr>
    </w:tbl>
    <w:p w14:paraId="607CBCCF"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694"/>
        <w:gridCol w:w="1412"/>
        <w:gridCol w:w="1352"/>
        <w:gridCol w:w="354"/>
        <w:gridCol w:w="1413"/>
        <w:gridCol w:w="572"/>
        <w:gridCol w:w="987"/>
        <w:gridCol w:w="1701"/>
        <w:gridCol w:w="2410"/>
        <w:gridCol w:w="1670"/>
      </w:tblGrid>
      <w:tr w:rsidR="005056E3" w:rsidRPr="005056E3" w14:paraId="4885B4EE" w14:textId="77777777" w:rsidTr="00D133FA">
        <w:tc>
          <w:tcPr>
            <w:tcW w:w="2694" w:type="dxa"/>
            <w:tcBorders>
              <w:top w:val="nil"/>
              <w:left w:val="nil"/>
              <w:bottom w:val="nil"/>
              <w:right w:val="nil"/>
            </w:tcBorders>
            <w:tcMar>
              <w:left w:w="0" w:type="dxa"/>
              <w:right w:w="0" w:type="dxa"/>
            </w:tcMar>
            <w:vAlign w:val="bottom"/>
          </w:tcPr>
          <w:p w14:paraId="2C642D4A" w14:textId="3CB61421" w:rsidR="005056E3" w:rsidRPr="005056E3" w:rsidRDefault="00850BD3" w:rsidP="005056E3">
            <w:pPr>
              <w:pStyle w:val="SymalBodycopylvl1"/>
              <w:spacing w:before="120" w:after="0"/>
              <w:rPr>
                <w:b/>
                <w:bCs/>
                <w:sz w:val="18"/>
                <w:szCs w:val="18"/>
              </w:rPr>
            </w:pPr>
            <w:r>
              <w:br w:type="page"/>
            </w:r>
            <w:r w:rsidR="005056E3" w:rsidRPr="005056E3">
              <w:rPr>
                <w:b/>
                <w:bCs/>
                <w:sz w:val="18"/>
                <w:szCs w:val="18"/>
              </w:rPr>
              <w:t>Works complete (signer</w:t>
            </w:r>
            <w:r w:rsidR="00D133FA">
              <w:rPr>
                <w:b/>
                <w:bCs/>
                <w:sz w:val="18"/>
                <w:szCs w:val="18"/>
              </w:rPr>
              <w:t xml:space="preserve"> SE/</w:t>
            </w:r>
            <w:r w:rsidR="005056E3" w:rsidRPr="005056E3">
              <w:rPr>
                <w:b/>
                <w:bCs/>
                <w:sz w:val="18"/>
                <w:szCs w:val="18"/>
              </w:rPr>
              <w:t>SS)</w:t>
            </w:r>
          </w:p>
        </w:tc>
        <w:tc>
          <w:tcPr>
            <w:tcW w:w="3118" w:type="dxa"/>
            <w:gridSpan w:val="3"/>
            <w:tcBorders>
              <w:top w:val="nil"/>
              <w:left w:val="nil"/>
              <w:bottom w:val="single" w:sz="4" w:space="0" w:color="auto"/>
              <w:right w:val="nil"/>
            </w:tcBorders>
            <w:tcMar>
              <w:left w:w="0" w:type="dxa"/>
              <w:right w:w="0" w:type="dxa"/>
            </w:tcMar>
            <w:vAlign w:val="bottom"/>
          </w:tcPr>
          <w:p w14:paraId="1A2A2C6D"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EF72272"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49F148E1" w14:textId="77777777" w:rsidR="005056E3" w:rsidRPr="005056E3" w:rsidRDefault="005056E3" w:rsidP="005056E3">
            <w:pPr>
              <w:pStyle w:val="SymalBodycopylvl1"/>
              <w:spacing w:before="120" w:after="0"/>
              <w:rPr>
                <w:b/>
                <w:bCs/>
                <w:sz w:val="18"/>
                <w:szCs w:val="18"/>
              </w:rPr>
            </w:pPr>
          </w:p>
        </w:tc>
      </w:tr>
      <w:tr w:rsidR="005056E3" w:rsidRPr="005056E3" w14:paraId="6AC00C34" w14:textId="77777777" w:rsidTr="00D133FA">
        <w:trPr>
          <w:trHeight w:val="133"/>
        </w:trPr>
        <w:tc>
          <w:tcPr>
            <w:tcW w:w="2694" w:type="dxa"/>
            <w:tcBorders>
              <w:top w:val="nil"/>
              <w:left w:val="nil"/>
              <w:bottom w:val="nil"/>
              <w:right w:val="nil"/>
            </w:tcBorders>
            <w:tcMar>
              <w:left w:w="0" w:type="dxa"/>
              <w:right w:w="0" w:type="dxa"/>
            </w:tcMar>
            <w:vAlign w:val="bottom"/>
          </w:tcPr>
          <w:p w14:paraId="4C7AFC75"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412" w:type="dxa"/>
            <w:tcBorders>
              <w:top w:val="single" w:sz="4" w:space="0" w:color="auto"/>
              <w:left w:val="nil"/>
              <w:bottom w:val="single" w:sz="4" w:space="0" w:color="auto"/>
              <w:right w:val="nil"/>
            </w:tcBorders>
            <w:tcMar>
              <w:left w:w="0" w:type="dxa"/>
              <w:right w:w="0" w:type="dxa"/>
            </w:tcMar>
            <w:vAlign w:val="bottom"/>
          </w:tcPr>
          <w:p w14:paraId="2533E0DC"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52460EEB"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64B733A5"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63453ED2"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7287DE1F"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1613150"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70" w:type="dxa"/>
            <w:tcBorders>
              <w:top w:val="single" w:sz="4" w:space="0" w:color="auto"/>
              <w:left w:val="nil"/>
              <w:bottom w:val="single" w:sz="4" w:space="0" w:color="auto"/>
              <w:right w:val="nil"/>
            </w:tcBorders>
            <w:tcMar>
              <w:left w:w="0" w:type="dxa"/>
              <w:right w:w="0" w:type="dxa"/>
            </w:tcMar>
            <w:vAlign w:val="bottom"/>
          </w:tcPr>
          <w:p w14:paraId="68ADB32F" w14:textId="77777777" w:rsidR="005056E3" w:rsidRPr="005056E3" w:rsidRDefault="005056E3" w:rsidP="005056E3">
            <w:pPr>
              <w:pStyle w:val="SymalBodycopylvl1"/>
              <w:spacing w:before="120" w:after="0"/>
              <w:rPr>
                <w:b/>
                <w:bCs/>
                <w:sz w:val="18"/>
                <w:szCs w:val="18"/>
              </w:rPr>
            </w:pPr>
          </w:p>
        </w:tc>
      </w:tr>
    </w:tbl>
    <w:p w14:paraId="64A129F0" w14:textId="77777777" w:rsidR="005056E3" w:rsidRDefault="005056E3" w:rsidP="00B27F39">
      <w:pPr>
        <w:pStyle w:val="SymalBodycopylvl1"/>
        <w:spacing w:before="60" w:after="0"/>
      </w:pPr>
    </w:p>
    <w:p w14:paraId="15D2D07B" w14:textId="0B35495B"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sidR="00872EFC">
        <w:rPr>
          <w:rFonts w:ascii="Arial" w:hAnsi="Arial" w:cs="Arial"/>
          <w:sz w:val="18"/>
          <w:szCs w:val="18"/>
        </w:rPr>
        <w:t>,</w:t>
      </w:r>
    </w:p>
    <w:p w14:paraId="0E03FD90" w14:textId="75B867B5" w:rsidR="00872EFC" w:rsidRPr="005056E3" w:rsidRDefault="00872EFC" w:rsidP="005056E3">
      <w:pPr>
        <w:spacing w:before="120" w:after="120"/>
        <w:rPr>
          <w:rFonts w:ascii="Arial" w:hAnsi="Arial" w:cs="Arial"/>
          <w:b/>
          <w:sz w:val="18"/>
          <w:szCs w:val="18"/>
        </w:rPr>
      </w:pPr>
      <w:r w:rsidRPr="00872EFC">
        <w:rPr>
          <w:rFonts w:ascii="Arial" w:hAnsi="Arial" w:cs="Arial"/>
          <w:b/>
          <w:bCs/>
          <w:sz w:val="18"/>
          <w:szCs w:val="18"/>
        </w:rPr>
        <w:t>NA –</w:t>
      </w:r>
      <w:r>
        <w:rPr>
          <w:rFonts w:ascii="Arial" w:hAnsi="Arial" w:cs="Arial"/>
          <w:sz w:val="18"/>
          <w:szCs w:val="18"/>
        </w:rPr>
        <w:t xml:space="preserve"> Nominated Authority </w:t>
      </w:r>
    </w:p>
    <w:p w14:paraId="1C4F57EB" w14:textId="28AFB504" w:rsidR="009955BF"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872EFC" w:rsidRPr="005056E3">
        <w:rPr>
          <w:rFonts w:ascii="Arial" w:hAnsi="Arial" w:cs="Arial"/>
          <w:b/>
          <w:sz w:val="18"/>
          <w:szCs w:val="18"/>
        </w:rPr>
        <w:t>Key:</w:t>
      </w:r>
      <w:r w:rsidRPr="005056E3">
        <w:rPr>
          <w:rFonts w:ascii="Arial" w:hAnsi="Arial" w:cs="Arial"/>
          <w:b/>
          <w:sz w:val="18"/>
          <w:szCs w:val="18"/>
        </w:rPr>
        <w:t xml:space="preserve">  W – </w:t>
      </w:r>
      <w:r w:rsidR="000565D7" w:rsidRPr="005056E3">
        <w:rPr>
          <w:rFonts w:ascii="Arial" w:hAnsi="Arial" w:cs="Arial"/>
          <w:sz w:val="18"/>
          <w:szCs w:val="18"/>
        </w:rPr>
        <w:t xml:space="preserve">Witness, </w:t>
      </w:r>
      <w:r w:rsidR="000565D7" w:rsidRPr="00C81EB5">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872EFC">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872EFC">
        <w:rPr>
          <w:rFonts w:ascii="Arial" w:hAnsi="Arial" w:cs="Arial"/>
          <w:sz w:val="18"/>
          <w:szCs w:val="18"/>
        </w:rPr>
        <w:t xml:space="preserve">, </w:t>
      </w:r>
      <w:r w:rsidR="00872EFC" w:rsidRPr="00872EFC">
        <w:rPr>
          <w:rFonts w:ascii="Arial" w:hAnsi="Arial" w:cs="Arial"/>
          <w:b/>
          <w:bCs/>
          <w:sz w:val="18"/>
          <w:szCs w:val="18"/>
        </w:rPr>
        <w:t>I –</w:t>
      </w:r>
      <w:r w:rsidR="00872EFC">
        <w:rPr>
          <w:rFonts w:ascii="Arial" w:hAnsi="Arial" w:cs="Arial"/>
          <w:sz w:val="18"/>
          <w:szCs w:val="18"/>
        </w:rPr>
        <w:t xml:space="preserve"> Inspection</w:t>
      </w:r>
      <w:r w:rsidR="000565D7">
        <w:rPr>
          <w:rFonts w:ascii="Arial" w:hAnsi="Arial" w:cs="Arial"/>
          <w:sz w:val="18"/>
          <w:szCs w:val="18"/>
        </w:rPr>
        <w:t xml:space="preserve">, </w:t>
      </w:r>
      <w:r w:rsidR="000565D7" w:rsidRPr="000565D7">
        <w:rPr>
          <w:rFonts w:ascii="Arial" w:hAnsi="Arial" w:cs="Arial"/>
          <w:b/>
          <w:bCs/>
          <w:sz w:val="18"/>
          <w:szCs w:val="18"/>
        </w:rPr>
        <w:t>R –</w:t>
      </w:r>
      <w:r w:rsidR="000565D7">
        <w:rPr>
          <w:rFonts w:ascii="Arial" w:hAnsi="Arial" w:cs="Arial"/>
          <w:sz w:val="18"/>
          <w:szCs w:val="18"/>
        </w:rPr>
        <w:t xml:space="preserve"> Review Point </w:t>
      </w:r>
    </w:p>
    <w:sectPr w:rsidR="009955BF" w:rsidSect="00850BD3">
      <w:type w:val="continuous"/>
      <w:pgSz w:w="16838" w:h="11906" w:orient="landscape"/>
      <w:pgMar w:top="1418" w:right="1134" w:bottom="993"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ABA9" w14:textId="77777777" w:rsidR="00F15BEE" w:rsidRDefault="00F15BEE" w:rsidP="007617B0">
      <w:pPr>
        <w:spacing w:after="0"/>
      </w:pPr>
      <w:r>
        <w:separator/>
      </w:r>
    </w:p>
  </w:endnote>
  <w:endnote w:type="continuationSeparator" w:id="0">
    <w:p w14:paraId="32BEB50A" w14:textId="77777777" w:rsidR="00F15BEE" w:rsidRDefault="00F15BEE"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DBC51" w14:textId="77777777" w:rsidR="007F390F" w:rsidRDefault="007F3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4"/>
      <w:gridCol w:w="3430"/>
      <w:gridCol w:w="3643"/>
      <w:gridCol w:w="3643"/>
    </w:tblGrid>
    <w:tr w:rsidR="008E091B" w:rsidRPr="00AD0710" w14:paraId="4A851B0F" w14:textId="02D7182B" w:rsidTr="008E091B">
      <w:trPr>
        <w:trHeight w:val="285"/>
      </w:trPr>
      <w:tc>
        <w:tcPr>
          <w:tcW w:w="1323" w:type="pct"/>
          <w:tcMar>
            <w:left w:w="0" w:type="dxa"/>
            <w:right w:w="0" w:type="dxa"/>
          </w:tcMar>
        </w:tcPr>
        <w:p w14:paraId="1F05CF20" w14:textId="77777777" w:rsidR="008E091B" w:rsidRPr="00AD0710" w:rsidRDefault="008E091B" w:rsidP="00D340C6">
          <w:pPr>
            <w:pStyle w:val="Footer"/>
            <w:tabs>
              <w:tab w:val="clear" w:pos="9000"/>
            </w:tabs>
            <w:spacing w:before="0"/>
            <w:rPr>
              <w:szCs w:val="16"/>
            </w:rPr>
          </w:pPr>
          <w:r w:rsidRPr="00AD0710">
            <w:rPr>
              <w:szCs w:val="16"/>
            </w:rPr>
            <w:t>This document is uncontrolled when printed</w:t>
          </w:r>
        </w:p>
      </w:tc>
      <w:tc>
        <w:tcPr>
          <w:tcW w:w="1177" w:type="pct"/>
          <w:tcMar>
            <w:left w:w="0" w:type="dxa"/>
            <w:right w:w="0" w:type="dxa"/>
          </w:tcMar>
        </w:tcPr>
        <w:p w14:paraId="3CE7BFF7" w14:textId="0A7CCE90" w:rsidR="008E091B" w:rsidRPr="00AD0710" w:rsidRDefault="008E091B" w:rsidP="00D340C6">
          <w:pPr>
            <w:pStyle w:val="Footer"/>
            <w:tabs>
              <w:tab w:val="clear" w:pos="9000"/>
            </w:tabs>
            <w:spacing w:before="0"/>
            <w:jc w:val="center"/>
            <w:rPr>
              <w:szCs w:val="16"/>
            </w:rPr>
          </w:pPr>
          <w:r w:rsidRPr="00AD0710">
            <w:rPr>
              <w:szCs w:val="16"/>
            </w:rPr>
            <w:t xml:space="preserve">Issue </w:t>
          </w:r>
          <w:r>
            <w:rPr>
              <w:szCs w:val="16"/>
            </w:rPr>
            <w:t>00</w:t>
          </w:r>
          <w:r w:rsidRPr="00AD0710">
            <w:rPr>
              <w:szCs w:val="16"/>
            </w:rPr>
            <w:t xml:space="preserve">  Issue date </w:t>
          </w:r>
          <w:r>
            <w:rPr>
              <w:szCs w:val="16"/>
            </w:rPr>
            <w:t>15</w:t>
          </w:r>
          <w:r w:rsidRPr="00AD0710">
            <w:rPr>
              <w:szCs w:val="16"/>
            </w:rPr>
            <w:t>/</w:t>
          </w:r>
          <w:r>
            <w:rPr>
              <w:szCs w:val="16"/>
            </w:rPr>
            <w:t>12</w:t>
          </w:r>
          <w:r w:rsidRPr="00AD0710">
            <w:rPr>
              <w:szCs w:val="16"/>
            </w:rPr>
            <w:t>/202</w:t>
          </w:r>
          <w:r>
            <w:rPr>
              <w:szCs w:val="16"/>
            </w:rPr>
            <w:t>3</w:t>
          </w:r>
        </w:p>
      </w:tc>
      <w:tc>
        <w:tcPr>
          <w:tcW w:w="1250" w:type="pct"/>
          <w:tcMar>
            <w:left w:w="0" w:type="dxa"/>
            <w:right w:w="0" w:type="dxa"/>
          </w:tcMar>
        </w:tcPr>
        <w:p w14:paraId="21BC2932" w14:textId="77777777" w:rsidR="008E091B" w:rsidRPr="00AD0710" w:rsidRDefault="008E091B"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c>
        <w:tcPr>
          <w:tcW w:w="1250" w:type="pct"/>
        </w:tcPr>
        <w:p w14:paraId="10C6E8B7" w14:textId="77777777" w:rsidR="008E091B" w:rsidRPr="00AD0710" w:rsidRDefault="008E091B" w:rsidP="00D340C6">
          <w:pPr>
            <w:pStyle w:val="Footer"/>
            <w:tabs>
              <w:tab w:val="clear" w:pos="9000"/>
            </w:tabs>
            <w:spacing w:before="0"/>
            <w:jc w:val="right"/>
            <w:rPr>
              <w:szCs w:val="16"/>
            </w:rPr>
          </w:pPr>
        </w:p>
      </w:tc>
    </w:tr>
  </w:tbl>
  <w:p w14:paraId="6F6BFB9E" w14:textId="77777777" w:rsidR="00E00F9E" w:rsidRPr="00D340C6" w:rsidRDefault="00E00F9E" w:rsidP="0028562B">
    <w:pPr>
      <w:pStyle w:val="Footer"/>
      <w:tabs>
        <w:tab w:val="clear" w:pos="9000"/>
      </w:tabs>
      <w:spacing w:before="0"/>
      <w:jc w:val="both"/>
      <w:rPr>
        <w:b/>
        <w:bCs/>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C75F"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77F28347" w14:textId="77777777" w:rsidTr="0095774A">
      <w:trPr>
        <w:trHeight w:val="285"/>
      </w:trPr>
      <w:tc>
        <w:tcPr>
          <w:tcW w:w="1764" w:type="pct"/>
          <w:tcMar>
            <w:left w:w="0" w:type="dxa"/>
            <w:right w:w="0" w:type="dxa"/>
          </w:tcMar>
        </w:tcPr>
        <w:p w14:paraId="6B747F52"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F4557A2" w14:textId="52D1016F" w:rsidR="00D340C6" w:rsidRPr="00AD0710" w:rsidRDefault="00DC60D3" w:rsidP="00D340C6">
          <w:pPr>
            <w:pStyle w:val="Footer"/>
            <w:tabs>
              <w:tab w:val="clear" w:pos="9000"/>
            </w:tabs>
            <w:spacing w:before="0"/>
            <w:jc w:val="center"/>
            <w:rPr>
              <w:szCs w:val="16"/>
            </w:rPr>
          </w:pPr>
          <w:r w:rsidRPr="00AD0710">
            <w:rPr>
              <w:szCs w:val="16"/>
            </w:rPr>
            <w:t xml:space="preserve">Issue </w:t>
          </w:r>
          <w:r w:rsidR="008E091B">
            <w:rPr>
              <w:szCs w:val="16"/>
            </w:rPr>
            <w:t>00</w:t>
          </w:r>
          <w:r w:rsidR="00D340C6" w:rsidRPr="00AD0710">
            <w:rPr>
              <w:szCs w:val="16"/>
            </w:rPr>
            <w:t xml:space="preserve">  Issue date </w:t>
          </w:r>
          <w:r w:rsidR="007F390F">
            <w:rPr>
              <w:szCs w:val="16"/>
            </w:rPr>
            <w:t>1</w:t>
          </w:r>
          <w:r w:rsidR="008E091B">
            <w:rPr>
              <w:szCs w:val="16"/>
            </w:rPr>
            <w:t>5</w:t>
          </w:r>
          <w:r w:rsidR="00D340C6" w:rsidRPr="00AD0710">
            <w:rPr>
              <w:szCs w:val="16"/>
            </w:rPr>
            <w:t>/</w:t>
          </w:r>
          <w:r w:rsidR="007768B9">
            <w:rPr>
              <w:szCs w:val="16"/>
            </w:rPr>
            <w:t>1</w:t>
          </w:r>
          <w:r w:rsidR="007F390F">
            <w:rPr>
              <w:szCs w:val="16"/>
            </w:rPr>
            <w:t>2</w:t>
          </w:r>
          <w:r w:rsidR="00D340C6" w:rsidRPr="00AD0710">
            <w:rPr>
              <w:szCs w:val="16"/>
            </w:rPr>
            <w:t>/202</w:t>
          </w:r>
          <w:r w:rsidR="00D133FA">
            <w:rPr>
              <w:szCs w:val="16"/>
            </w:rPr>
            <w:t>3</w:t>
          </w:r>
        </w:p>
      </w:tc>
      <w:tc>
        <w:tcPr>
          <w:tcW w:w="1667" w:type="pct"/>
          <w:tcMar>
            <w:left w:w="0" w:type="dxa"/>
            <w:right w:w="0" w:type="dxa"/>
          </w:tcMar>
        </w:tcPr>
        <w:p w14:paraId="523FE2F4"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DA3366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DD931" w14:textId="77777777" w:rsidR="00F15BEE" w:rsidRDefault="00F15BEE" w:rsidP="007617B0">
      <w:pPr>
        <w:spacing w:after="0"/>
      </w:pPr>
      <w:r>
        <w:separator/>
      </w:r>
    </w:p>
  </w:footnote>
  <w:footnote w:type="continuationSeparator" w:id="0">
    <w:p w14:paraId="13919B6B" w14:textId="77777777" w:rsidR="00F15BEE" w:rsidRDefault="00F15BEE"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0675" w14:textId="77777777" w:rsidR="007F390F" w:rsidRDefault="007F3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75CE53DF" w14:textId="77777777" w:rsidR="00E00F9E" w:rsidRDefault="0012160E" w:rsidP="00D340C6">
        <w:pPr>
          <w:pStyle w:val="Header"/>
          <w:spacing w:before="0" w:after="120"/>
          <w:jc w:val="right"/>
        </w:pPr>
        <w:r>
          <w:rPr>
            <w:noProof/>
          </w:rPr>
          <w:drawing>
            <wp:inline distT="0" distB="0" distL="0" distR="0" wp14:anchorId="67FF51FE" wp14:editId="48F960C7">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Content>
      <w:p w14:paraId="603948C4" w14:textId="77777777" w:rsidR="00012FBA" w:rsidRPr="00830B96" w:rsidRDefault="00012FBA" w:rsidP="009B4AA8">
        <w:pPr>
          <w:pStyle w:val="SymalBodycopylvl1"/>
          <w:spacing w:before="360" w:after="0"/>
          <w:jc w:val="right"/>
        </w:pPr>
        <w:r>
          <w:rPr>
            <w:noProof/>
          </w:rPr>
          <w:drawing>
            <wp:inline distT="0" distB="0" distL="0" distR="0" wp14:anchorId="22029487" wp14:editId="5808B78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10A9695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8B5"/>
    <w:multiLevelType w:val="hybridMultilevel"/>
    <w:tmpl w:val="0E785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D1613"/>
    <w:multiLevelType w:val="hybridMultilevel"/>
    <w:tmpl w:val="F746CF08"/>
    <w:lvl w:ilvl="0" w:tplc="99909106">
      <w:start w:val="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80EEC"/>
    <w:multiLevelType w:val="hybridMultilevel"/>
    <w:tmpl w:val="46860C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5"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8"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9"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0"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1"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2" w15:restartNumberingAfterBreak="0">
    <w:nsid w:val="3A38404E"/>
    <w:multiLevelType w:val="hybridMultilevel"/>
    <w:tmpl w:val="79449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1215A98"/>
    <w:multiLevelType w:val="hybridMultilevel"/>
    <w:tmpl w:val="95A8D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543C5530"/>
    <w:multiLevelType w:val="hybridMultilevel"/>
    <w:tmpl w:val="9D64A2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6"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8"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4D51BEC"/>
    <w:multiLevelType w:val="hybridMultilevel"/>
    <w:tmpl w:val="8DAECC70"/>
    <w:lvl w:ilvl="0" w:tplc="BFB6579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2" w15:restartNumberingAfterBreak="0">
    <w:nsid w:val="6B19766E"/>
    <w:multiLevelType w:val="hybridMultilevel"/>
    <w:tmpl w:val="4EEAF5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4" w15:restartNumberingAfterBreak="0">
    <w:nsid w:val="7ADF7FE0"/>
    <w:multiLevelType w:val="hybridMultilevel"/>
    <w:tmpl w:val="31A0211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7EE3122B"/>
    <w:multiLevelType w:val="multilevel"/>
    <w:tmpl w:val="38B6FA6E"/>
    <w:numStyleLink w:val="CivLegal"/>
  </w:abstractNum>
  <w:num w:numId="1" w16cid:durableId="1886209593">
    <w:abstractNumId w:val="16"/>
  </w:num>
  <w:num w:numId="2" w16cid:durableId="376323108">
    <w:abstractNumId w:val="11"/>
  </w:num>
  <w:num w:numId="3" w16cid:durableId="1560096742">
    <w:abstractNumId w:val="21"/>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467821352">
    <w:abstractNumId w:val="5"/>
  </w:num>
  <w:num w:numId="5" w16cid:durableId="11299269">
    <w:abstractNumId w:val="17"/>
  </w:num>
  <w:num w:numId="6" w16cid:durableId="1436824255">
    <w:abstractNumId w:val="6"/>
  </w:num>
  <w:num w:numId="7" w16cid:durableId="1609392256">
    <w:abstractNumId w:val="7"/>
  </w:num>
  <w:num w:numId="8" w16cid:durableId="1819497962">
    <w:abstractNumId w:val="4"/>
  </w:num>
  <w:num w:numId="9" w16cid:durableId="435829114">
    <w:abstractNumId w:val="8"/>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5923952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685481">
    <w:abstractNumId w:val="15"/>
  </w:num>
  <w:num w:numId="12" w16cid:durableId="3660305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558209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123763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637773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08348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49212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68405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346694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85526633">
    <w:abstractNumId w:val="3"/>
  </w:num>
  <w:num w:numId="21" w16cid:durableId="2000452303">
    <w:abstractNumId w:val="10"/>
  </w:num>
  <w:num w:numId="22" w16cid:durableId="1840389300">
    <w:abstractNumId w:val="25"/>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323899787">
    <w:abstractNumId w:val="19"/>
  </w:num>
  <w:num w:numId="24" w16cid:durableId="337268445">
    <w:abstractNumId w:val="25"/>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2549021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93487289">
    <w:abstractNumId w:val="17"/>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474032628">
    <w:abstractNumId w:val="21"/>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413896180">
    <w:abstractNumId w:val="18"/>
  </w:num>
  <w:num w:numId="29" w16cid:durableId="577131179">
    <w:abstractNumId w:val="9"/>
  </w:num>
  <w:num w:numId="30" w16cid:durableId="1043136943">
    <w:abstractNumId w:val="8"/>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256985131">
    <w:abstractNumId w:val="23"/>
  </w:num>
  <w:num w:numId="32" w16cid:durableId="2048800099">
    <w:abstractNumId w:val="12"/>
  </w:num>
  <w:num w:numId="33" w16cid:durableId="1346052500">
    <w:abstractNumId w:val="14"/>
  </w:num>
  <w:num w:numId="34" w16cid:durableId="13896521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17189032">
    <w:abstractNumId w:val="13"/>
  </w:num>
  <w:num w:numId="36" w16cid:durableId="792092304">
    <w:abstractNumId w:val="22"/>
  </w:num>
  <w:num w:numId="37" w16cid:durableId="353384129">
    <w:abstractNumId w:val="2"/>
  </w:num>
  <w:num w:numId="38" w16cid:durableId="1013068248">
    <w:abstractNumId w:val="24"/>
  </w:num>
  <w:num w:numId="39" w16cid:durableId="1129855122">
    <w:abstractNumId w:val="1"/>
  </w:num>
  <w:num w:numId="40" w16cid:durableId="220672555">
    <w:abstractNumId w:val="20"/>
  </w:num>
  <w:num w:numId="41" w16cid:durableId="69195722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FC"/>
    <w:rsid w:val="00012F7D"/>
    <w:rsid w:val="00012FBA"/>
    <w:rsid w:val="00013E57"/>
    <w:rsid w:val="000158DC"/>
    <w:rsid w:val="00021F49"/>
    <w:rsid w:val="00022FC4"/>
    <w:rsid w:val="0003431C"/>
    <w:rsid w:val="000349F8"/>
    <w:rsid w:val="00035C95"/>
    <w:rsid w:val="00042A87"/>
    <w:rsid w:val="0004421D"/>
    <w:rsid w:val="00046F51"/>
    <w:rsid w:val="000565D7"/>
    <w:rsid w:val="000628FA"/>
    <w:rsid w:val="000759B7"/>
    <w:rsid w:val="000802C9"/>
    <w:rsid w:val="00080579"/>
    <w:rsid w:val="000820F9"/>
    <w:rsid w:val="00086B45"/>
    <w:rsid w:val="00091863"/>
    <w:rsid w:val="000918CF"/>
    <w:rsid w:val="00093092"/>
    <w:rsid w:val="00093207"/>
    <w:rsid w:val="0009555B"/>
    <w:rsid w:val="000A4756"/>
    <w:rsid w:val="000B15DB"/>
    <w:rsid w:val="000B33D3"/>
    <w:rsid w:val="000B695B"/>
    <w:rsid w:val="000C0562"/>
    <w:rsid w:val="000C28DA"/>
    <w:rsid w:val="000D0E97"/>
    <w:rsid w:val="000F6E06"/>
    <w:rsid w:val="00112853"/>
    <w:rsid w:val="001153A9"/>
    <w:rsid w:val="0012160E"/>
    <w:rsid w:val="00123A2C"/>
    <w:rsid w:val="001329E3"/>
    <w:rsid w:val="0013432E"/>
    <w:rsid w:val="00136359"/>
    <w:rsid w:val="001415D8"/>
    <w:rsid w:val="00142506"/>
    <w:rsid w:val="00145C21"/>
    <w:rsid w:val="00150E01"/>
    <w:rsid w:val="00152695"/>
    <w:rsid w:val="00152A1E"/>
    <w:rsid w:val="00164930"/>
    <w:rsid w:val="00164D07"/>
    <w:rsid w:val="00180E08"/>
    <w:rsid w:val="001811B7"/>
    <w:rsid w:val="001811DA"/>
    <w:rsid w:val="0018362E"/>
    <w:rsid w:val="00191711"/>
    <w:rsid w:val="00195C7E"/>
    <w:rsid w:val="001A7888"/>
    <w:rsid w:val="001B06FE"/>
    <w:rsid w:val="001B287A"/>
    <w:rsid w:val="001B3BCE"/>
    <w:rsid w:val="001B4060"/>
    <w:rsid w:val="001C2875"/>
    <w:rsid w:val="001D1A28"/>
    <w:rsid w:val="001D6AD5"/>
    <w:rsid w:val="001E02D6"/>
    <w:rsid w:val="001E0970"/>
    <w:rsid w:val="001E260A"/>
    <w:rsid w:val="001E5EB5"/>
    <w:rsid w:val="001F3ABC"/>
    <w:rsid w:val="001F4330"/>
    <w:rsid w:val="001F523A"/>
    <w:rsid w:val="001F55A7"/>
    <w:rsid w:val="001F5EAE"/>
    <w:rsid w:val="0020352B"/>
    <w:rsid w:val="00205F60"/>
    <w:rsid w:val="0021113C"/>
    <w:rsid w:val="002129DE"/>
    <w:rsid w:val="00213887"/>
    <w:rsid w:val="0022227C"/>
    <w:rsid w:val="00223360"/>
    <w:rsid w:val="00223EB4"/>
    <w:rsid w:val="0024627B"/>
    <w:rsid w:val="0025506A"/>
    <w:rsid w:val="002608E7"/>
    <w:rsid w:val="00264F3C"/>
    <w:rsid w:val="002651B1"/>
    <w:rsid w:val="00276E10"/>
    <w:rsid w:val="00280FAE"/>
    <w:rsid w:val="00281140"/>
    <w:rsid w:val="00282680"/>
    <w:rsid w:val="00282DB2"/>
    <w:rsid w:val="0028562B"/>
    <w:rsid w:val="0029709C"/>
    <w:rsid w:val="002B33D2"/>
    <w:rsid w:val="002B7C52"/>
    <w:rsid w:val="002C2250"/>
    <w:rsid w:val="002C40D8"/>
    <w:rsid w:val="002D08B8"/>
    <w:rsid w:val="002E08A0"/>
    <w:rsid w:val="002E1EBA"/>
    <w:rsid w:val="002E46E4"/>
    <w:rsid w:val="002F6E99"/>
    <w:rsid w:val="002F7E9F"/>
    <w:rsid w:val="00301828"/>
    <w:rsid w:val="00305257"/>
    <w:rsid w:val="00305A59"/>
    <w:rsid w:val="003114B3"/>
    <w:rsid w:val="00311B11"/>
    <w:rsid w:val="003141E2"/>
    <w:rsid w:val="0031420F"/>
    <w:rsid w:val="00325D2E"/>
    <w:rsid w:val="0033732E"/>
    <w:rsid w:val="00345D7B"/>
    <w:rsid w:val="00346FF0"/>
    <w:rsid w:val="00351D72"/>
    <w:rsid w:val="00351E66"/>
    <w:rsid w:val="00356754"/>
    <w:rsid w:val="0038648F"/>
    <w:rsid w:val="003868C5"/>
    <w:rsid w:val="00386D74"/>
    <w:rsid w:val="0039441E"/>
    <w:rsid w:val="00395F0F"/>
    <w:rsid w:val="00396B4F"/>
    <w:rsid w:val="003A1A4C"/>
    <w:rsid w:val="003A2DF5"/>
    <w:rsid w:val="003B1DA5"/>
    <w:rsid w:val="003B361E"/>
    <w:rsid w:val="003B3B14"/>
    <w:rsid w:val="003C1E57"/>
    <w:rsid w:val="003C2BA2"/>
    <w:rsid w:val="003D1728"/>
    <w:rsid w:val="003D2558"/>
    <w:rsid w:val="003E111A"/>
    <w:rsid w:val="003E2E17"/>
    <w:rsid w:val="003E4005"/>
    <w:rsid w:val="003F1AC6"/>
    <w:rsid w:val="003F22E3"/>
    <w:rsid w:val="003F396E"/>
    <w:rsid w:val="004110DC"/>
    <w:rsid w:val="004121D0"/>
    <w:rsid w:val="00414B29"/>
    <w:rsid w:val="00422652"/>
    <w:rsid w:val="00426CA1"/>
    <w:rsid w:val="004310D2"/>
    <w:rsid w:val="00433C34"/>
    <w:rsid w:val="00434660"/>
    <w:rsid w:val="0044465E"/>
    <w:rsid w:val="004446C0"/>
    <w:rsid w:val="00460ED2"/>
    <w:rsid w:val="00463EF2"/>
    <w:rsid w:val="00465C9A"/>
    <w:rsid w:val="004661B2"/>
    <w:rsid w:val="00475BB5"/>
    <w:rsid w:val="0047722B"/>
    <w:rsid w:val="004809A5"/>
    <w:rsid w:val="00481DBA"/>
    <w:rsid w:val="00482E78"/>
    <w:rsid w:val="00484408"/>
    <w:rsid w:val="004908DD"/>
    <w:rsid w:val="00492A2D"/>
    <w:rsid w:val="004A0E5D"/>
    <w:rsid w:val="004A405A"/>
    <w:rsid w:val="004A4EDE"/>
    <w:rsid w:val="004A7E34"/>
    <w:rsid w:val="004B7DF8"/>
    <w:rsid w:val="004C0251"/>
    <w:rsid w:val="004C0D19"/>
    <w:rsid w:val="004C160F"/>
    <w:rsid w:val="004C5B0F"/>
    <w:rsid w:val="004D1370"/>
    <w:rsid w:val="004D1AFB"/>
    <w:rsid w:val="004D39F9"/>
    <w:rsid w:val="004E1444"/>
    <w:rsid w:val="004E23FF"/>
    <w:rsid w:val="004F0428"/>
    <w:rsid w:val="004F4C75"/>
    <w:rsid w:val="004F7DCE"/>
    <w:rsid w:val="00500190"/>
    <w:rsid w:val="005009B9"/>
    <w:rsid w:val="0050180D"/>
    <w:rsid w:val="0050215F"/>
    <w:rsid w:val="00503292"/>
    <w:rsid w:val="00503AEB"/>
    <w:rsid w:val="00505206"/>
    <w:rsid w:val="005056E3"/>
    <w:rsid w:val="00505D2E"/>
    <w:rsid w:val="0051179E"/>
    <w:rsid w:val="0052741B"/>
    <w:rsid w:val="00527AFB"/>
    <w:rsid w:val="00534122"/>
    <w:rsid w:val="005371C9"/>
    <w:rsid w:val="00537E2F"/>
    <w:rsid w:val="00537E86"/>
    <w:rsid w:val="00541D39"/>
    <w:rsid w:val="00544906"/>
    <w:rsid w:val="005462B0"/>
    <w:rsid w:val="00552FA3"/>
    <w:rsid w:val="00567B07"/>
    <w:rsid w:val="0057088F"/>
    <w:rsid w:val="0057414C"/>
    <w:rsid w:val="00581148"/>
    <w:rsid w:val="0058363C"/>
    <w:rsid w:val="00587F35"/>
    <w:rsid w:val="0059509B"/>
    <w:rsid w:val="005A2DB2"/>
    <w:rsid w:val="005A6B13"/>
    <w:rsid w:val="005A70AF"/>
    <w:rsid w:val="005B7315"/>
    <w:rsid w:val="005C244C"/>
    <w:rsid w:val="005C7508"/>
    <w:rsid w:val="005D189C"/>
    <w:rsid w:val="005E1C0B"/>
    <w:rsid w:val="005E1E7C"/>
    <w:rsid w:val="005E1EEB"/>
    <w:rsid w:val="005E205D"/>
    <w:rsid w:val="005E2926"/>
    <w:rsid w:val="005E7C7F"/>
    <w:rsid w:val="005F20A8"/>
    <w:rsid w:val="00600E4F"/>
    <w:rsid w:val="00607B0C"/>
    <w:rsid w:val="00610344"/>
    <w:rsid w:val="00612627"/>
    <w:rsid w:val="00613248"/>
    <w:rsid w:val="006239C8"/>
    <w:rsid w:val="00624ADE"/>
    <w:rsid w:val="00626F76"/>
    <w:rsid w:val="00634E6D"/>
    <w:rsid w:val="00635B53"/>
    <w:rsid w:val="00640BAA"/>
    <w:rsid w:val="00644773"/>
    <w:rsid w:val="0065381A"/>
    <w:rsid w:val="00653EE2"/>
    <w:rsid w:val="00657AFA"/>
    <w:rsid w:val="006660B9"/>
    <w:rsid w:val="00671642"/>
    <w:rsid w:val="00674D64"/>
    <w:rsid w:val="00684AC4"/>
    <w:rsid w:val="00697598"/>
    <w:rsid w:val="006A0A3C"/>
    <w:rsid w:val="006A1684"/>
    <w:rsid w:val="006B7AF5"/>
    <w:rsid w:val="006B7EE7"/>
    <w:rsid w:val="006C0D75"/>
    <w:rsid w:val="006C1CE9"/>
    <w:rsid w:val="006C3220"/>
    <w:rsid w:val="006D5AF1"/>
    <w:rsid w:val="006D7DFD"/>
    <w:rsid w:val="006E29C0"/>
    <w:rsid w:val="006E50F4"/>
    <w:rsid w:val="006F6C26"/>
    <w:rsid w:val="006F7191"/>
    <w:rsid w:val="007020DA"/>
    <w:rsid w:val="00704D8C"/>
    <w:rsid w:val="00706B2D"/>
    <w:rsid w:val="007101DE"/>
    <w:rsid w:val="00713840"/>
    <w:rsid w:val="0071393C"/>
    <w:rsid w:val="0073041E"/>
    <w:rsid w:val="007332CD"/>
    <w:rsid w:val="00741190"/>
    <w:rsid w:val="007502EC"/>
    <w:rsid w:val="007511E2"/>
    <w:rsid w:val="007531BF"/>
    <w:rsid w:val="00753B1F"/>
    <w:rsid w:val="007617B0"/>
    <w:rsid w:val="0076280A"/>
    <w:rsid w:val="007660F2"/>
    <w:rsid w:val="00770D7E"/>
    <w:rsid w:val="007734E0"/>
    <w:rsid w:val="007768B9"/>
    <w:rsid w:val="00786D0D"/>
    <w:rsid w:val="00797266"/>
    <w:rsid w:val="007A1A9F"/>
    <w:rsid w:val="007A3D8B"/>
    <w:rsid w:val="007B477E"/>
    <w:rsid w:val="007B51B3"/>
    <w:rsid w:val="007C1826"/>
    <w:rsid w:val="007C18AE"/>
    <w:rsid w:val="007D1801"/>
    <w:rsid w:val="007D2294"/>
    <w:rsid w:val="007F390F"/>
    <w:rsid w:val="007F409D"/>
    <w:rsid w:val="007F5D0E"/>
    <w:rsid w:val="007F7B79"/>
    <w:rsid w:val="008042D6"/>
    <w:rsid w:val="00804B35"/>
    <w:rsid w:val="00807516"/>
    <w:rsid w:val="00812D80"/>
    <w:rsid w:val="00815CB5"/>
    <w:rsid w:val="00816132"/>
    <w:rsid w:val="00820272"/>
    <w:rsid w:val="00821D2A"/>
    <w:rsid w:val="00836163"/>
    <w:rsid w:val="008460EF"/>
    <w:rsid w:val="00846784"/>
    <w:rsid w:val="00846D58"/>
    <w:rsid w:val="00847B71"/>
    <w:rsid w:val="00850BD3"/>
    <w:rsid w:val="00854579"/>
    <w:rsid w:val="00857276"/>
    <w:rsid w:val="008658C5"/>
    <w:rsid w:val="00872D26"/>
    <w:rsid w:val="00872EFC"/>
    <w:rsid w:val="00890CE9"/>
    <w:rsid w:val="00892EDB"/>
    <w:rsid w:val="008969A1"/>
    <w:rsid w:val="00896BAE"/>
    <w:rsid w:val="008A6FA5"/>
    <w:rsid w:val="008A7E9A"/>
    <w:rsid w:val="008B3132"/>
    <w:rsid w:val="008B3A4E"/>
    <w:rsid w:val="008B44D5"/>
    <w:rsid w:val="008C3339"/>
    <w:rsid w:val="008C40D9"/>
    <w:rsid w:val="008D0815"/>
    <w:rsid w:val="008D7258"/>
    <w:rsid w:val="008E091B"/>
    <w:rsid w:val="008F52D6"/>
    <w:rsid w:val="008F658D"/>
    <w:rsid w:val="008F77FB"/>
    <w:rsid w:val="009015A8"/>
    <w:rsid w:val="00905271"/>
    <w:rsid w:val="009113FF"/>
    <w:rsid w:val="00911E7B"/>
    <w:rsid w:val="009122A5"/>
    <w:rsid w:val="009317A5"/>
    <w:rsid w:val="00934D59"/>
    <w:rsid w:val="00947C9D"/>
    <w:rsid w:val="00947D2E"/>
    <w:rsid w:val="009520DF"/>
    <w:rsid w:val="0095617A"/>
    <w:rsid w:val="00956461"/>
    <w:rsid w:val="0095774A"/>
    <w:rsid w:val="009612AB"/>
    <w:rsid w:val="00967143"/>
    <w:rsid w:val="00970318"/>
    <w:rsid w:val="009732C8"/>
    <w:rsid w:val="00976256"/>
    <w:rsid w:val="0097797F"/>
    <w:rsid w:val="009922C3"/>
    <w:rsid w:val="009955BF"/>
    <w:rsid w:val="0099656E"/>
    <w:rsid w:val="00997E2B"/>
    <w:rsid w:val="00997ED4"/>
    <w:rsid w:val="009A2F10"/>
    <w:rsid w:val="009A3D1A"/>
    <w:rsid w:val="009A4487"/>
    <w:rsid w:val="009B08F6"/>
    <w:rsid w:val="009B0F20"/>
    <w:rsid w:val="009B6FD8"/>
    <w:rsid w:val="009B7B58"/>
    <w:rsid w:val="009B7C00"/>
    <w:rsid w:val="009C6D48"/>
    <w:rsid w:val="009D2A75"/>
    <w:rsid w:val="009D67E4"/>
    <w:rsid w:val="009D71D2"/>
    <w:rsid w:val="009E61A6"/>
    <w:rsid w:val="00A037F8"/>
    <w:rsid w:val="00A230A9"/>
    <w:rsid w:val="00A263D2"/>
    <w:rsid w:val="00A265F2"/>
    <w:rsid w:val="00A300E1"/>
    <w:rsid w:val="00A37F27"/>
    <w:rsid w:val="00A41887"/>
    <w:rsid w:val="00A4264E"/>
    <w:rsid w:val="00A55A8E"/>
    <w:rsid w:val="00A62A1A"/>
    <w:rsid w:val="00A64F70"/>
    <w:rsid w:val="00A65C9F"/>
    <w:rsid w:val="00A71811"/>
    <w:rsid w:val="00A76AD2"/>
    <w:rsid w:val="00A82F0E"/>
    <w:rsid w:val="00A85D35"/>
    <w:rsid w:val="00A91551"/>
    <w:rsid w:val="00A91AD0"/>
    <w:rsid w:val="00A939A2"/>
    <w:rsid w:val="00A957C7"/>
    <w:rsid w:val="00AA52D9"/>
    <w:rsid w:val="00AB1CA0"/>
    <w:rsid w:val="00AB2FD2"/>
    <w:rsid w:val="00AC5039"/>
    <w:rsid w:val="00AC62FC"/>
    <w:rsid w:val="00AD4192"/>
    <w:rsid w:val="00AD4512"/>
    <w:rsid w:val="00AD4DCF"/>
    <w:rsid w:val="00AD6E38"/>
    <w:rsid w:val="00AE20B1"/>
    <w:rsid w:val="00AF0F69"/>
    <w:rsid w:val="00AF198A"/>
    <w:rsid w:val="00AF1ECC"/>
    <w:rsid w:val="00AF34EE"/>
    <w:rsid w:val="00B052DD"/>
    <w:rsid w:val="00B1720B"/>
    <w:rsid w:val="00B272DB"/>
    <w:rsid w:val="00B27F39"/>
    <w:rsid w:val="00B301A1"/>
    <w:rsid w:val="00B31797"/>
    <w:rsid w:val="00B324A8"/>
    <w:rsid w:val="00B409C1"/>
    <w:rsid w:val="00B53353"/>
    <w:rsid w:val="00B864E4"/>
    <w:rsid w:val="00B93AB1"/>
    <w:rsid w:val="00B950F8"/>
    <w:rsid w:val="00B96C42"/>
    <w:rsid w:val="00BA0363"/>
    <w:rsid w:val="00BA0FF7"/>
    <w:rsid w:val="00BB4E37"/>
    <w:rsid w:val="00BB508E"/>
    <w:rsid w:val="00BC5908"/>
    <w:rsid w:val="00BC6BA6"/>
    <w:rsid w:val="00BD00A2"/>
    <w:rsid w:val="00BD2956"/>
    <w:rsid w:val="00BD6AFB"/>
    <w:rsid w:val="00BE22A5"/>
    <w:rsid w:val="00BE3698"/>
    <w:rsid w:val="00BE62B0"/>
    <w:rsid w:val="00BE7AC7"/>
    <w:rsid w:val="00C0210A"/>
    <w:rsid w:val="00C0328A"/>
    <w:rsid w:val="00C10D9F"/>
    <w:rsid w:val="00C14D23"/>
    <w:rsid w:val="00C1631D"/>
    <w:rsid w:val="00C16F2F"/>
    <w:rsid w:val="00C17BFF"/>
    <w:rsid w:val="00C32626"/>
    <w:rsid w:val="00C35E2A"/>
    <w:rsid w:val="00C40179"/>
    <w:rsid w:val="00C44B21"/>
    <w:rsid w:val="00C5331B"/>
    <w:rsid w:val="00C54893"/>
    <w:rsid w:val="00C60631"/>
    <w:rsid w:val="00C6169C"/>
    <w:rsid w:val="00C64D7F"/>
    <w:rsid w:val="00C64D89"/>
    <w:rsid w:val="00C76539"/>
    <w:rsid w:val="00C81EB5"/>
    <w:rsid w:val="00C86A51"/>
    <w:rsid w:val="00C910F0"/>
    <w:rsid w:val="00CA14F8"/>
    <w:rsid w:val="00CA2371"/>
    <w:rsid w:val="00CA29FD"/>
    <w:rsid w:val="00CA47C1"/>
    <w:rsid w:val="00CB5C8B"/>
    <w:rsid w:val="00CC61F8"/>
    <w:rsid w:val="00CE09EE"/>
    <w:rsid w:val="00CE72C7"/>
    <w:rsid w:val="00CF6BB3"/>
    <w:rsid w:val="00D044E2"/>
    <w:rsid w:val="00D12376"/>
    <w:rsid w:val="00D133FA"/>
    <w:rsid w:val="00D156BC"/>
    <w:rsid w:val="00D15728"/>
    <w:rsid w:val="00D20314"/>
    <w:rsid w:val="00D2101B"/>
    <w:rsid w:val="00D2273E"/>
    <w:rsid w:val="00D340C6"/>
    <w:rsid w:val="00D3691D"/>
    <w:rsid w:val="00D409FE"/>
    <w:rsid w:val="00D44CD7"/>
    <w:rsid w:val="00D45F21"/>
    <w:rsid w:val="00D60E1B"/>
    <w:rsid w:val="00D61F79"/>
    <w:rsid w:val="00D640F0"/>
    <w:rsid w:val="00D65FB7"/>
    <w:rsid w:val="00D67B67"/>
    <w:rsid w:val="00D705C8"/>
    <w:rsid w:val="00D73579"/>
    <w:rsid w:val="00D750CC"/>
    <w:rsid w:val="00D769A3"/>
    <w:rsid w:val="00D81159"/>
    <w:rsid w:val="00D83E1A"/>
    <w:rsid w:val="00D91A8F"/>
    <w:rsid w:val="00DA2F1B"/>
    <w:rsid w:val="00DA696F"/>
    <w:rsid w:val="00DB03AF"/>
    <w:rsid w:val="00DB2E8D"/>
    <w:rsid w:val="00DC03D8"/>
    <w:rsid w:val="00DC0FBE"/>
    <w:rsid w:val="00DC240B"/>
    <w:rsid w:val="00DC33F4"/>
    <w:rsid w:val="00DC4011"/>
    <w:rsid w:val="00DC60D3"/>
    <w:rsid w:val="00DC6889"/>
    <w:rsid w:val="00DD15B7"/>
    <w:rsid w:val="00DD4E84"/>
    <w:rsid w:val="00DE2166"/>
    <w:rsid w:val="00DE21F2"/>
    <w:rsid w:val="00E00F9E"/>
    <w:rsid w:val="00E02F93"/>
    <w:rsid w:val="00E106BE"/>
    <w:rsid w:val="00E106CA"/>
    <w:rsid w:val="00E205A1"/>
    <w:rsid w:val="00E31A35"/>
    <w:rsid w:val="00E34823"/>
    <w:rsid w:val="00E36C70"/>
    <w:rsid w:val="00E42DEF"/>
    <w:rsid w:val="00E52B4F"/>
    <w:rsid w:val="00E5466D"/>
    <w:rsid w:val="00E57CDF"/>
    <w:rsid w:val="00E634AB"/>
    <w:rsid w:val="00E6382E"/>
    <w:rsid w:val="00E75CA8"/>
    <w:rsid w:val="00E81208"/>
    <w:rsid w:val="00E83298"/>
    <w:rsid w:val="00E85AF9"/>
    <w:rsid w:val="00E86D4E"/>
    <w:rsid w:val="00E9273C"/>
    <w:rsid w:val="00E93612"/>
    <w:rsid w:val="00EB086F"/>
    <w:rsid w:val="00EB240D"/>
    <w:rsid w:val="00EC0602"/>
    <w:rsid w:val="00ED07F6"/>
    <w:rsid w:val="00ED160E"/>
    <w:rsid w:val="00ED28AC"/>
    <w:rsid w:val="00EE2F54"/>
    <w:rsid w:val="00EE5319"/>
    <w:rsid w:val="00EF0267"/>
    <w:rsid w:val="00EF5FB1"/>
    <w:rsid w:val="00F0190C"/>
    <w:rsid w:val="00F10639"/>
    <w:rsid w:val="00F10C6A"/>
    <w:rsid w:val="00F15BEE"/>
    <w:rsid w:val="00F16A35"/>
    <w:rsid w:val="00F22A43"/>
    <w:rsid w:val="00F250EE"/>
    <w:rsid w:val="00F26607"/>
    <w:rsid w:val="00F2679E"/>
    <w:rsid w:val="00F3483A"/>
    <w:rsid w:val="00F3522A"/>
    <w:rsid w:val="00F3524C"/>
    <w:rsid w:val="00F47D83"/>
    <w:rsid w:val="00F52793"/>
    <w:rsid w:val="00F54238"/>
    <w:rsid w:val="00F55D0B"/>
    <w:rsid w:val="00F561DA"/>
    <w:rsid w:val="00F57852"/>
    <w:rsid w:val="00F62840"/>
    <w:rsid w:val="00F63AB4"/>
    <w:rsid w:val="00F66143"/>
    <w:rsid w:val="00F67E9F"/>
    <w:rsid w:val="00F71032"/>
    <w:rsid w:val="00F73206"/>
    <w:rsid w:val="00F90A08"/>
    <w:rsid w:val="00F96418"/>
    <w:rsid w:val="00FA0A1A"/>
    <w:rsid w:val="00FA1CAD"/>
    <w:rsid w:val="00FB1C3B"/>
    <w:rsid w:val="00FB57C8"/>
    <w:rsid w:val="00FB5955"/>
    <w:rsid w:val="00FC3608"/>
    <w:rsid w:val="00FD0603"/>
    <w:rsid w:val="00FE1A9D"/>
    <w:rsid w:val="00FE7A7B"/>
    <w:rsid w:val="00FF37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9EFA"/>
  <w15:chartTrackingRefBased/>
  <w15:docId w15:val="{7FA50D32-6542-4E19-BBAF-DAF37E67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0565D7"/>
    <w:pPr>
      <w:spacing w:before="60" w:after="60"/>
    </w:pPr>
    <w:rPr>
      <w:rFonts w:eastAsia="Times New Roman" w:cs="Times New Roman"/>
      <w:bCs/>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9660">
      <w:bodyDiv w:val="1"/>
      <w:marLeft w:val="0"/>
      <w:marRight w:val="0"/>
      <w:marTop w:val="0"/>
      <w:marBottom w:val="0"/>
      <w:divBdr>
        <w:top w:val="none" w:sz="0" w:space="0" w:color="auto"/>
        <w:left w:val="none" w:sz="0" w:space="0" w:color="auto"/>
        <w:bottom w:val="none" w:sz="0" w:space="0" w:color="auto"/>
        <w:right w:val="none" w:sz="0" w:space="0" w:color="auto"/>
      </w:divBdr>
    </w:div>
    <w:div w:id="258374949">
      <w:bodyDiv w:val="1"/>
      <w:marLeft w:val="0"/>
      <w:marRight w:val="0"/>
      <w:marTop w:val="0"/>
      <w:marBottom w:val="0"/>
      <w:divBdr>
        <w:top w:val="none" w:sz="0" w:space="0" w:color="auto"/>
        <w:left w:val="none" w:sz="0" w:space="0" w:color="auto"/>
        <w:bottom w:val="none" w:sz="0" w:space="0" w:color="auto"/>
        <w:right w:val="none" w:sz="0" w:space="0" w:color="auto"/>
      </w:divBdr>
    </w:div>
    <w:div w:id="279536586">
      <w:bodyDiv w:val="1"/>
      <w:marLeft w:val="0"/>
      <w:marRight w:val="0"/>
      <w:marTop w:val="0"/>
      <w:marBottom w:val="0"/>
      <w:divBdr>
        <w:top w:val="none" w:sz="0" w:space="0" w:color="auto"/>
        <w:left w:val="none" w:sz="0" w:space="0" w:color="auto"/>
        <w:bottom w:val="none" w:sz="0" w:space="0" w:color="auto"/>
        <w:right w:val="none" w:sz="0" w:space="0" w:color="auto"/>
      </w:divBdr>
    </w:div>
    <w:div w:id="312418868">
      <w:bodyDiv w:val="1"/>
      <w:marLeft w:val="0"/>
      <w:marRight w:val="0"/>
      <w:marTop w:val="0"/>
      <w:marBottom w:val="0"/>
      <w:divBdr>
        <w:top w:val="none" w:sz="0" w:space="0" w:color="auto"/>
        <w:left w:val="none" w:sz="0" w:space="0" w:color="auto"/>
        <w:bottom w:val="none" w:sz="0" w:space="0" w:color="auto"/>
        <w:right w:val="none" w:sz="0" w:space="0" w:color="auto"/>
      </w:divBdr>
    </w:div>
    <w:div w:id="330915056">
      <w:bodyDiv w:val="1"/>
      <w:marLeft w:val="0"/>
      <w:marRight w:val="0"/>
      <w:marTop w:val="0"/>
      <w:marBottom w:val="0"/>
      <w:divBdr>
        <w:top w:val="none" w:sz="0" w:space="0" w:color="auto"/>
        <w:left w:val="none" w:sz="0" w:space="0" w:color="auto"/>
        <w:bottom w:val="none" w:sz="0" w:space="0" w:color="auto"/>
        <w:right w:val="none" w:sz="0" w:space="0" w:color="auto"/>
      </w:divBdr>
    </w:div>
    <w:div w:id="410783152">
      <w:bodyDiv w:val="1"/>
      <w:marLeft w:val="0"/>
      <w:marRight w:val="0"/>
      <w:marTop w:val="0"/>
      <w:marBottom w:val="0"/>
      <w:divBdr>
        <w:top w:val="none" w:sz="0" w:space="0" w:color="auto"/>
        <w:left w:val="none" w:sz="0" w:space="0" w:color="auto"/>
        <w:bottom w:val="none" w:sz="0" w:space="0" w:color="auto"/>
        <w:right w:val="none" w:sz="0" w:space="0" w:color="auto"/>
      </w:divBdr>
    </w:div>
    <w:div w:id="450444833">
      <w:bodyDiv w:val="1"/>
      <w:marLeft w:val="0"/>
      <w:marRight w:val="0"/>
      <w:marTop w:val="0"/>
      <w:marBottom w:val="0"/>
      <w:divBdr>
        <w:top w:val="none" w:sz="0" w:space="0" w:color="auto"/>
        <w:left w:val="none" w:sz="0" w:space="0" w:color="auto"/>
        <w:bottom w:val="none" w:sz="0" w:space="0" w:color="auto"/>
        <w:right w:val="none" w:sz="0" w:space="0" w:color="auto"/>
      </w:divBdr>
    </w:div>
    <w:div w:id="475757398">
      <w:bodyDiv w:val="1"/>
      <w:marLeft w:val="0"/>
      <w:marRight w:val="0"/>
      <w:marTop w:val="0"/>
      <w:marBottom w:val="0"/>
      <w:divBdr>
        <w:top w:val="none" w:sz="0" w:space="0" w:color="auto"/>
        <w:left w:val="none" w:sz="0" w:space="0" w:color="auto"/>
        <w:bottom w:val="none" w:sz="0" w:space="0" w:color="auto"/>
        <w:right w:val="none" w:sz="0" w:space="0" w:color="auto"/>
      </w:divBdr>
    </w:div>
    <w:div w:id="49376194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5936836">
      <w:bodyDiv w:val="1"/>
      <w:marLeft w:val="0"/>
      <w:marRight w:val="0"/>
      <w:marTop w:val="0"/>
      <w:marBottom w:val="0"/>
      <w:divBdr>
        <w:top w:val="none" w:sz="0" w:space="0" w:color="auto"/>
        <w:left w:val="none" w:sz="0" w:space="0" w:color="auto"/>
        <w:bottom w:val="none" w:sz="0" w:space="0" w:color="auto"/>
        <w:right w:val="none" w:sz="0" w:space="0" w:color="auto"/>
      </w:divBdr>
    </w:div>
    <w:div w:id="608123210">
      <w:bodyDiv w:val="1"/>
      <w:marLeft w:val="0"/>
      <w:marRight w:val="0"/>
      <w:marTop w:val="0"/>
      <w:marBottom w:val="0"/>
      <w:divBdr>
        <w:top w:val="none" w:sz="0" w:space="0" w:color="auto"/>
        <w:left w:val="none" w:sz="0" w:space="0" w:color="auto"/>
        <w:bottom w:val="none" w:sz="0" w:space="0" w:color="auto"/>
        <w:right w:val="none" w:sz="0" w:space="0" w:color="auto"/>
      </w:divBdr>
    </w:div>
    <w:div w:id="703402627">
      <w:bodyDiv w:val="1"/>
      <w:marLeft w:val="0"/>
      <w:marRight w:val="0"/>
      <w:marTop w:val="0"/>
      <w:marBottom w:val="0"/>
      <w:divBdr>
        <w:top w:val="none" w:sz="0" w:space="0" w:color="auto"/>
        <w:left w:val="none" w:sz="0" w:space="0" w:color="auto"/>
        <w:bottom w:val="none" w:sz="0" w:space="0" w:color="auto"/>
        <w:right w:val="none" w:sz="0" w:space="0" w:color="auto"/>
      </w:divBdr>
    </w:div>
    <w:div w:id="766660666">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1386415">
      <w:bodyDiv w:val="1"/>
      <w:marLeft w:val="0"/>
      <w:marRight w:val="0"/>
      <w:marTop w:val="0"/>
      <w:marBottom w:val="0"/>
      <w:divBdr>
        <w:top w:val="none" w:sz="0" w:space="0" w:color="auto"/>
        <w:left w:val="none" w:sz="0" w:space="0" w:color="auto"/>
        <w:bottom w:val="none" w:sz="0" w:space="0" w:color="auto"/>
        <w:right w:val="none" w:sz="0" w:space="0" w:color="auto"/>
      </w:divBdr>
    </w:div>
    <w:div w:id="1084574257">
      <w:bodyDiv w:val="1"/>
      <w:marLeft w:val="0"/>
      <w:marRight w:val="0"/>
      <w:marTop w:val="0"/>
      <w:marBottom w:val="0"/>
      <w:divBdr>
        <w:top w:val="none" w:sz="0" w:space="0" w:color="auto"/>
        <w:left w:val="none" w:sz="0" w:space="0" w:color="auto"/>
        <w:bottom w:val="none" w:sz="0" w:space="0" w:color="auto"/>
        <w:right w:val="none" w:sz="0" w:space="0" w:color="auto"/>
      </w:divBdr>
    </w:div>
    <w:div w:id="1106584214">
      <w:bodyDiv w:val="1"/>
      <w:marLeft w:val="0"/>
      <w:marRight w:val="0"/>
      <w:marTop w:val="0"/>
      <w:marBottom w:val="0"/>
      <w:divBdr>
        <w:top w:val="none" w:sz="0" w:space="0" w:color="auto"/>
        <w:left w:val="none" w:sz="0" w:space="0" w:color="auto"/>
        <w:bottom w:val="none" w:sz="0" w:space="0" w:color="auto"/>
        <w:right w:val="none" w:sz="0" w:space="0" w:color="auto"/>
      </w:divBdr>
    </w:div>
    <w:div w:id="1231428207">
      <w:bodyDiv w:val="1"/>
      <w:marLeft w:val="0"/>
      <w:marRight w:val="0"/>
      <w:marTop w:val="0"/>
      <w:marBottom w:val="0"/>
      <w:divBdr>
        <w:top w:val="none" w:sz="0" w:space="0" w:color="auto"/>
        <w:left w:val="none" w:sz="0" w:space="0" w:color="auto"/>
        <w:bottom w:val="none" w:sz="0" w:space="0" w:color="auto"/>
        <w:right w:val="none" w:sz="0" w:space="0" w:color="auto"/>
      </w:divBdr>
    </w:div>
    <w:div w:id="1491599702">
      <w:bodyDiv w:val="1"/>
      <w:marLeft w:val="0"/>
      <w:marRight w:val="0"/>
      <w:marTop w:val="0"/>
      <w:marBottom w:val="0"/>
      <w:divBdr>
        <w:top w:val="none" w:sz="0" w:space="0" w:color="auto"/>
        <w:left w:val="none" w:sz="0" w:space="0" w:color="auto"/>
        <w:bottom w:val="none" w:sz="0" w:space="0" w:color="auto"/>
        <w:right w:val="none" w:sz="0" w:space="0" w:color="auto"/>
      </w:divBdr>
    </w:div>
    <w:div w:id="1556432513">
      <w:bodyDiv w:val="1"/>
      <w:marLeft w:val="0"/>
      <w:marRight w:val="0"/>
      <w:marTop w:val="0"/>
      <w:marBottom w:val="0"/>
      <w:divBdr>
        <w:top w:val="none" w:sz="0" w:space="0" w:color="auto"/>
        <w:left w:val="none" w:sz="0" w:space="0" w:color="auto"/>
        <w:bottom w:val="none" w:sz="0" w:space="0" w:color="auto"/>
        <w:right w:val="none" w:sz="0" w:space="0" w:color="auto"/>
      </w:divBdr>
    </w:div>
    <w:div w:id="1664817046">
      <w:bodyDiv w:val="1"/>
      <w:marLeft w:val="0"/>
      <w:marRight w:val="0"/>
      <w:marTop w:val="0"/>
      <w:marBottom w:val="0"/>
      <w:divBdr>
        <w:top w:val="none" w:sz="0" w:space="0" w:color="auto"/>
        <w:left w:val="none" w:sz="0" w:space="0" w:color="auto"/>
        <w:bottom w:val="none" w:sz="0" w:space="0" w:color="auto"/>
        <w:right w:val="none" w:sz="0" w:space="0" w:color="auto"/>
      </w:divBdr>
    </w:div>
    <w:div w:id="1689719072">
      <w:bodyDiv w:val="1"/>
      <w:marLeft w:val="0"/>
      <w:marRight w:val="0"/>
      <w:marTop w:val="0"/>
      <w:marBottom w:val="0"/>
      <w:divBdr>
        <w:top w:val="none" w:sz="0" w:space="0" w:color="auto"/>
        <w:left w:val="none" w:sz="0" w:space="0" w:color="auto"/>
        <w:bottom w:val="none" w:sz="0" w:space="0" w:color="auto"/>
        <w:right w:val="none" w:sz="0" w:space="0" w:color="auto"/>
      </w:divBdr>
    </w:div>
    <w:div w:id="1694069532">
      <w:bodyDiv w:val="1"/>
      <w:marLeft w:val="0"/>
      <w:marRight w:val="0"/>
      <w:marTop w:val="0"/>
      <w:marBottom w:val="0"/>
      <w:divBdr>
        <w:top w:val="none" w:sz="0" w:space="0" w:color="auto"/>
        <w:left w:val="none" w:sz="0" w:space="0" w:color="auto"/>
        <w:bottom w:val="none" w:sz="0" w:space="0" w:color="auto"/>
        <w:right w:val="none" w:sz="0" w:space="0" w:color="auto"/>
      </w:divBdr>
    </w:div>
    <w:div w:id="1895502232">
      <w:bodyDiv w:val="1"/>
      <w:marLeft w:val="0"/>
      <w:marRight w:val="0"/>
      <w:marTop w:val="0"/>
      <w:marBottom w:val="0"/>
      <w:divBdr>
        <w:top w:val="none" w:sz="0" w:space="0" w:color="auto"/>
        <w:left w:val="none" w:sz="0" w:space="0" w:color="auto"/>
        <w:bottom w:val="none" w:sz="0" w:space="0" w:color="auto"/>
        <w:right w:val="none" w:sz="0" w:space="0" w:color="auto"/>
      </w:divBdr>
    </w:div>
    <w:div w:id="1916695260">
      <w:bodyDiv w:val="1"/>
      <w:marLeft w:val="0"/>
      <w:marRight w:val="0"/>
      <w:marTop w:val="0"/>
      <w:marBottom w:val="0"/>
      <w:divBdr>
        <w:top w:val="none" w:sz="0" w:space="0" w:color="auto"/>
        <w:left w:val="none" w:sz="0" w:space="0" w:color="auto"/>
        <w:bottom w:val="none" w:sz="0" w:space="0" w:color="auto"/>
        <w:right w:val="none" w:sz="0" w:space="0" w:color="auto"/>
      </w:divBdr>
    </w:div>
    <w:div w:id="1920410347">
      <w:bodyDiv w:val="1"/>
      <w:marLeft w:val="0"/>
      <w:marRight w:val="0"/>
      <w:marTop w:val="0"/>
      <w:marBottom w:val="0"/>
      <w:divBdr>
        <w:top w:val="none" w:sz="0" w:space="0" w:color="auto"/>
        <w:left w:val="none" w:sz="0" w:space="0" w:color="auto"/>
        <w:bottom w:val="none" w:sz="0" w:space="0" w:color="auto"/>
        <w:right w:val="none" w:sz="0" w:space="0" w:color="auto"/>
      </w:divBdr>
    </w:div>
    <w:div w:id="1933707119">
      <w:bodyDiv w:val="1"/>
      <w:marLeft w:val="0"/>
      <w:marRight w:val="0"/>
      <w:marTop w:val="0"/>
      <w:marBottom w:val="0"/>
      <w:divBdr>
        <w:top w:val="none" w:sz="0" w:space="0" w:color="auto"/>
        <w:left w:val="none" w:sz="0" w:space="0" w:color="auto"/>
        <w:bottom w:val="none" w:sz="0" w:space="0" w:color="auto"/>
        <w:right w:val="none" w:sz="0" w:space="0" w:color="auto"/>
      </w:divBdr>
    </w:div>
    <w:div w:id="2042585871">
      <w:bodyDiv w:val="1"/>
      <w:marLeft w:val="0"/>
      <w:marRight w:val="0"/>
      <w:marTop w:val="0"/>
      <w:marBottom w:val="0"/>
      <w:divBdr>
        <w:top w:val="none" w:sz="0" w:space="0" w:color="auto"/>
        <w:left w:val="none" w:sz="0" w:space="0" w:color="auto"/>
        <w:bottom w:val="none" w:sz="0" w:space="0" w:color="auto"/>
        <w:right w:val="none" w:sz="0" w:space="0" w:color="auto"/>
      </w:divBdr>
    </w:div>
    <w:div w:id="20802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3" ma:contentTypeDescription="Create a new document." ma:contentTypeScope="" ma:versionID="91de9e90e756871a8be86f6a755196c4">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0b2e6cf5bb616d3190b5abc242a0e340"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root>
  <Title/>
  <Subtitle/>
  <Date/>
</root>
</file>

<file path=customXml/item4.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2.xml><?xml version="1.0" encoding="utf-8"?>
<ds:datastoreItem xmlns:ds="http://schemas.openxmlformats.org/officeDocument/2006/customXml" ds:itemID="{42AD2E39-BE74-4846-8314-C0CF61410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475032-7D3B-464E-9442-7D5434A3E770}">
  <ds:schemaRefs/>
</ds:datastoreItem>
</file>

<file path=customXml/itemProps4.xml><?xml version="1.0" encoding="utf-8"?>
<ds:datastoreItem xmlns:ds="http://schemas.openxmlformats.org/officeDocument/2006/customXml" ds:itemID="{25899190-6622-4408-94B0-87F7ED85FD88}">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5.xml><?xml version="1.0" encoding="utf-8"?>
<ds:datastoreItem xmlns:ds="http://schemas.openxmlformats.org/officeDocument/2006/customXml" ds:itemID="{E8681633-B9C3-43B2-AEF2-93EB7D0613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 ITP Template</Template>
  <TotalTime>0</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Jessica  Farenzena</dc:creator>
  <cp:keywords/>
  <dc:description/>
  <cp:lastModifiedBy>Jessica Farenzena</cp:lastModifiedBy>
  <cp:revision>2</cp:revision>
  <cp:lastPrinted>2023-11-21T00:41:00Z</cp:lastPrinted>
  <dcterms:created xsi:type="dcterms:W3CDTF">2023-12-18T22:47:00Z</dcterms:created>
  <dcterms:modified xsi:type="dcterms:W3CDTF">2023-12-18T22:47:00Z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ies>
</file>