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DA0C" w14:textId="05995877" w:rsidR="005C244C" w:rsidRPr="005C244C" w:rsidRDefault="00876F99"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r>
        <w:rPr>
          <w:b/>
          <w:bCs/>
          <w:sz w:val="2"/>
          <w:szCs w:val="2"/>
        </w:rPr>
        <w:t>F</w:t>
      </w:r>
    </w:p>
    <w:p w14:paraId="3827B522" w14:textId="0D9BBF09" w:rsidR="00C6169C" w:rsidRPr="00BB3A03" w:rsidRDefault="005C244C" w:rsidP="009A3D1A">
      <w:pPr>
        <w:pStyle w:val="SymalBodycopylvl1"/>
        <w:spacing w:before="0"/>
        <w:rPr>
          <w:b/>
          <w:bCs/>
          <w:sz w:val="40"/>
          <w:szCs w:val="40"/>
        </w:rPr>
      </w:pPr>
      <w:r w:rsidRPr="00BB3A03">
        <w:rPr>
          <w:b/>
          <w:bCs/>
          <w:sz w:val="40"/>
          <w:szCs w:val="40"/>
        </w:rPr>
        <w:t>Inspection</w:t>
      </w:r>
      <w:r w:rsidR="006E50F4" w:rsidRPr="00BB3A03">
        <w:rPr>
          <w:b/>
          <w:bCs/>
          <w:sz w:val="40"/>
          <w:szCs w:val="40"/>
        </w:rPr>
        <w:t xml:space="preserve"> </w:t>
      </w:r>
      <w:r w:rsidRPr="00BB3A03">
        <w:rPr>
          <w:b/>
          <w:bCs/>
          <w:sz w:val="40"/>
          <w:szCs w:val="40"/>
        </w:rPr>
        <w:t xml:space="preserve">and </w:t>
      </w:r>
      <w:r w:rsidR="002C020C">
        <w:rPr>
          <w:b/>
          <w:bCs/>
          <w:sz w:val="40"/>
          <w:szCs w:val="40"/>
        </w:rPr>
        <w:t>T</w:t>
      </w:r>
      <w:r w:rsidRPr="00BB3A03">
        <w:rPr>
          <w:b/>
          <w:bCs/>
          <w:sz w:val="40"/>
          <w:szCs w:val="40"/>
        </w:rPr>
        <w:t xml:space="preserve">est </w:t>
      </w:r>
      <w:r w:rsidR="002C020C">
        <w:rPr>
          <w:b/>
          <w:bCs/>
          <w:sz w:val="40"/>
          <w:szCs w:val="40"/>
        </w:rPr>
        <w:t>P</w:t>
      </w:r>
      <w:r w:rsidRPr="00BB3A03">
        <w:rPr>
          <w:b/>
          <w:bCs/>
          <w:sz w:val="40"/>
          <w:szCs w:val="40"/>
        </w:rPr>
        <w:t>lan –</w:t>
      </w:r>
      <w:r w:rsidR="006E50F4" w:rsidRPr="00BB3A03">
        <w:rPr>
          <w:b/>
          <w:bCs/>
          <w:sz w:val="40"/>
          <w:szCs w:val="40"/>
        </w:rPr>
        <w:t xml:space="preserve"> </w:t>
      </w:r>
      <w:r w:rsidR="007E30AF">
        <w:rPr>
          <w:b/>
          <w:bCs/>
          <w:sz w:val="40"/>
          <w:szCs w:val="40"/>
        </w:rPr>
        <w:t>Stormwater</w:t>
      </w:r>
      <w:r w:rsidR="00465924">
        <w:rPr>
          <w:b/>
          <w:bCs/>
          <w:sz w:val="40"/>
          <w:szCs w:val="40"/>
        </w:rPr>
        <w:t xml:space="preserve"> Drainage </w:t>
      </w:r>
      <w:r w:rsidR="007E30AF">
        <w:rPr>
          <w:b/>
          <w:bCs/>
          <w:sz w:val="40"/>
          <w:szCs w:val="40"/>
        </w:rPr>
        <w:t>Installation</w:t>
      </w:r>
      <w:r w:rsidR="00465924">
        <w:rPr>
          <w:b/>
          <w:bCs/>
          <w:sz w:val="40"/>
          <w:szCs w:val="40"/>
        </w:rPr>
        <w:t xml:space="preserve"> </w:t>
      </w:r>
    </w:p>
    <w:tbl>
      <w:tblPr>
        <w:tblStyle w:val="TableGridLight"/>
        <w:tblW w:w="15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131"/>
        <w:gridCol w:w="1560"/>
        <w:gridCol w:w="1701"/>
        <w:gridCol w:w="1417"/>
        <w:gridCol w:w="709"/>
        <w:gridCol w:w="709"/>
        <w:gridCol w:w="855"/>
        <w:gridCol w:w="1559"/>
        <w:gridCol w:w="3220"/>
      </w:tblGrid>
      <w:tr w:rsidR="005C244C" w14:paraId="7F905F15" w14:textId="77777777" w:rsidTr="007E30AF">
        <w:tc>
          <w:tcPr>
            <w:tcW w:w="1271" w:type="dxa"/>
            <w:gridSpan w:val="2"/>
            <w:tcMar>
              <w:left w:w="0" w:type="dxa"/>
            </w:tcMar>
          </w:tcPr>
          <w:p w14:paraId="665CAAB9" w14:textId="77777777" w:rsidR="005C244C" w:rsidRDefault="005C244C" w:rsidP="00B27F39">
            <w:pPr>
              <w:pStyle w:val="SymalBodycopylvl1"/>
              <w:spacing w:before="60" w:after="0"/>
              <w:rPr>
                <w:b/>
                <w:bCs/>
              </w:rPr>
            </w:pPr>
            <w:r>
              <w:rPr>
                <w:b/>
                <w:bCs/>
              </w:rPr>
              <w:t>Project no.</w:t>
            </w:r>
          </w:p>
        </w:tc>
        <w:tc>
          <w:tcPr>
            <w:tcW w:w="2131" w:type="dxa"/>
            <w:tcBorders>
              <w:bottom w:val="single" w:sz="4" w:space="0" w:color="auto"/>
            </w:tcBorders>
          </w:tcPr>
          <w:p w14:paraId="0C0E5F17" w14:textId="56B2EB59" w:rsidR="005C244C" w:rsidRDefault="00EA0774" w:rsidP="00B27F39">
            <w:pPr>
              <w:pStyle w:val="SymalBodycopylvl1"/>
              <w:spacing w:before="60" w:after="0"/>
              <w:rPr>
                <w:b/>
                <w:bCs/>
              </w:rPr>
            </w:pPr>
            <w:r>
              <w:rPr>
                <w:b/>
                <w:bCs/>
              </w:rPr>
              <w:t>CC-03</w:t>
            </w:r>
            <w:r w:rsidR="0040297C">
              <w:rPr>
                <w:b/>
                <w:bCs/>
              </w:rPr>
              <w:t>74</w:t>
            </w:r>
          </w:p>
        </w:tc>
        <w:tc>
          <w:tcPr>
            <w:tcW w:w="1560" w:type="dxa"/>
          </w:tcPr>
          <w:p w14:paraId="1E62ADB4"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4AAE9CA5" w14:textId="6ACEDB56" w:rsidR="005C244C" w:rsidRPr="00B27F39" w:rsidRDefault="0040297C" w:rsidP="00EA0774">
            <w:pPr>
              <w:pStyle w:val="SymalBodycopylvl1"/>
              <w:spacing w:before="60" w:after="0"/>
              <w:jc w:val="center"/>
            </w:pPr>
            <w:r>
              <w:t>Pakenham Roads Upgrade</w:t>
            </w:r>
          </w:p>
        </w:tc>
        <w:tc>
          <w:tcPr>
            <w:tcW w:w="709" w:type="dxa"/>
          </w:tcPr>
          <w:p w14:paraId="27BC4002"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7BF04CF0" w14:textId="2B0887FB" w:rsidR="005C244C" w:rsidRDefault="005C244C" w:rsidP="006E50F4">
            <w:pPr>
              <w:pStyle w:val="SymalBodycopylvl1"/>
              <w:spacing w:before="60" w:after="0"/>
              <w:jc w:val="center"/>
              <w:rPr>
                <w:b/>
                <w:bCs/>
              </w:rPr>
            </w:pPr>
          </w:p>
        </w:tc>
        <w:tc>
          <w:tcPr>
            <w:tcW w:w="1559" w:type="dxa"/>
          </w:tcPr>
          <w:p w14:paraId="4CC4869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2A6BAB1E" w14:textId="7035946D" w:rsidR="005C244C" w:rsidRPr="00B27F39" w:rsidRDefault="00904571" w:rsidP="00B27F39">
            <w:pPr>
              <w:pStyle w:val="SymalBodycopylvl1"/>
              <w:spacing w:before="60" w:after="0"/>
            </w:pPr>
            <w:r>
              <w:t>Damian Hagebols</w:t>
            </w:r>
          </w:p>
        </w:tc>
      </w:tr>
      <w:tr w:rsidR="00B27F39" w14:paraId="5C362654" w14:textId="77777777" w:rsidTr="007E30AF">
        <w:tc>
          <w:tcPr>
            <w:tcW w:w="851" w:type="dxa"/>
            <w:tcMar>
              <w:left w:w="0" w:type="dxa"/>
            </w:tcMar>
          </w:tcPr>
          <w:p w14:paraId="609CA9E1" w14:textId="77777777" w:rsidR="005C244C" w:rsidRDefault="005C244C" w:rsidP="00B27F39">
            <w:pPr>
              <w:pStyle w:val="SymalBodycopylvl1"/>
              <w:spacing w:before="60" w:after="0"/>
              <w:rPr>
                <w:b/>
                <w:bCs/>
              </w:rPr>
            </w:pPr>
            <w:r>
              <w:rPr>
                <w:b/>
                <w:bCs/>
              </w:rPr>
              <w:t>ITP no.</w:t>
            </w:r>
          </w:p>
        </w:tc>
        <w:tc>
          <w:tcPr>
            <w:tcW w:w="2551" w:type="dxa"/>
            <w:gridSpan w:val="2"/>
            <w:tcBorders>
              <w:bottom w:val="single" w:sz="4" w:space="0" w:color="auto"/>
            </w:tcBorders>
          </w:tcPr>
          <w:p w14:paraId="752E0350" w14:textId="5834F9A7" w:rsidR="005C244C" w:rsidRPr="009113FF" w:rsidRDefault="0040297C" w:rsidP="00B27F39">
            <w:pPr>
              <w:pStyle w:val="SymalBodycopylvl1"/>
              <w:spacing w:before="60" w:after="0"/>
            </w:pPr>
            <w:r>
              <w:rPr>
                <w:sz w:val="16"/>
                <w:szCs w:val="16"/>
              </w:rPr>
              <w:t>1630-P200-SYM-QAC-ITP</w:t>
            </w:r>
            <w:r w:rsidR="009F2F7F">
              <w:rPr>
                <w:sz w:val="16"/>
                <w:szCs w:val="16"/>
              </w:rPr>
              <w:t>-0011</w:t>
            </w:r>
          </w:p>
        </w:tc>
        <w:tc>
          <w:tcPr>
            <w:tcW w:w="1560" w:type="dxa"/>
          </w:tcPr>
          <w:p w14:paraId="01420775"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A1156C2" w14:textId="77777777" w:rsidR="005D4700" w:rsidRDefault="005D4700" w:rsidP="00B27F39">
            <w:pPr>
              <w:pStyle w:val="SymalBodycopylvl1"/>
              <w:spacing w:before="60" w:after="0"/>
            </w:pPr>
            <w:r>
              <w:t>Rev 01</w:t>
            </w:r>
          </w:p>
          <w:p w14:paraId="5D24BC7D" w14:textId="4BDA8AF3" w:rsidR="005C244C" w:rsidRDefault="00584594" w:rsidP="00B27F39">
            <w:pPr>
              <w:pStyle w:val="SymalBodycopylvl1"/>
              <w:spacing w:before="60" w:after="0"/>
              <w:rPr>
                <w:b/>
                <w:bCs/>
              </w:rPr>
            </w:pPr>
            <w:r>
              <w:t>15</w:t>
            </w:r>
            <w:r w:rsidR="00CE7217">
              <w:t>/</w:t>
            </w:r>
            <w:r>
              <w:t>11</w:t>
            </w:r>
            <w:r w:rsidR="00CE7217">
              <w:t>/202</w:t>
            </w:r>
            <w:r w:rsidR="00BC767A">
              <w:t>3</w:t>
            </w:r>
          </w:p>
        </w:tc>
        <w:tc>
          <w:tcPr>
            <w:tcW w:w="2835" w:type="dxa"/>
            <w:gridSpan w:val="3"/>
          </w:tcPr>
          <w:p w14:paraId="655FEEF6"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2C5F39B9" w14:textId="77777777" w:rsidR="005C244C" w:rsidRDefault="005C244C" w:rsidP="00B27F39">
            <w:pPr>
              <w:pStyle w:val="SymalBodycopylvl1"/>
              <w:spacing w:before="60" w:after="0"/>
              <w:rPr>
                <w:b/>
                <w:bCs/>
              </w:rPr>
            </w:pPr>
          </w:p>
        </w:tc>
      </w:tr>
      <w:tr w:rsidR="005C244C" w14:paraId="58F19BF5" w14:textId="77777777" w:rsidTr="007E30AF">
        <w:tc>
          <w:tcPr>
            <w:tcW w:w="851" w:type="dxa"/>
            <w:tcMar>
              <w:left w:w="0" w:type="dxa"/>
            </w:tcMar>
          </w:tcPr>
          <w:p w14:paraId="2469403B" w14:textId="77777777" w:rsidR="005C244C" w:rsidRDefault="005C244C" w:rsidP="00B27F39">
            <w:pPr>
              <w:pStyle w:val="SymalBodycopylvl1"/>
              <w:spacing w:before="60" w:after="0"/>
              <w:rPr>
                <w:b/>
                <w:bCs/>
              </w:rPr>
            </w:pPr>
            <w:r>
              <w:rPr>
                <w:b/>
                <w:bCs/>
              </w:rPr>
              <w:t>Lot no.</w:t>
            </w:r>
          </w:p>
        </w:tc>
        <w:tc>
          <w:tcPr>
            <w:tcW w:w="2551" w:type="dxa"/>
            <w:gridSpan w:val="2"/>
            <w:tcBorders>
              <w:top w:val="single" w:sz="4" w:space="0" w:color="auto"/>
              <w:bottom w:val="single" w:sz="4" w:space="0" w:color="auto"/>
            </w:tcBorders>
          </w:tcPr>
          <w:p w14:paraId="74D1D77F" w14:textId="77777777" w:rsidR="005C244C" w:rsidRDefault="005C244C" w:rsidP="00B27F39">
            <w:pPr>
              <w:pStyle w:val="SymalBodycopylvl1"/>
              <w:spacing w:before="60" w:after="0"/>
              <w:rPr>
                <w:b/>
                <w:bCs/>
              </w:rPr>
            </w:pPr>
          </w:p>
        </w:tc>
        <w:tc>
          <w:tcPr>
            <w:tcW w:w="6096" w:type="dxa"/>
            <w:gridSpan w:val="5"/>
          </w:tcPr>
          <w:p w14:paraId="31450897"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40676099" w14:textId="77777777" w:rsidR="005C244C" w:rsidRDefault="005C244C" w:rsidP="00B27F39">
            <w:pPr>
              <w:pStyle w:val="SymalBodycopylvl1"/>
              <w:spacing w:before="60" w:after="0"/>
              <w:rPr>
                <w:b/>
                <w:bCs/>
              </w:rPr>
            </w:pPr>
          </w:p>
        </w:tc>
      </w:tr>
    </w:tbl>
    <w:p w14:paraId="47F8DFB1" w14:textId="77777777" w:rsidR="00B27F39" w:rsidRDefault="00B27F39" w:rsidP="009A3D1A">
      <w:pPr>
        <w:pStyle w:val="SymalBodycopylvl1"/>
        <w:spacing w:before="120" w:after="120"/>
      </w:pPr>
      <w:r w:rsidRPr="00B27F39">
        <w:t>Attach Dockets, Certificates and QA Documents to ITP</w:t>
      </w:r>
    </w:p>
    <w:tbl>
      <w:tblPr>
        <w:tblW w:w="1530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559"/>
        <w:gridCol w:w="2231"/>
        <w:gridCol w:w="786"/>
        <w:gridCol w:w="4221"/>
        <w:gridCol w:w="992"/>
        <w:gridCol w:w="850"/>
        <w:gridCol w:w="851"/>
        <w:gridCol w:w="850"/>
        <w:gridCol w:w="851"/>
        <w:gridCol w:w="850"/>
        <w:gridCol w:w="2268"/>
      </w:tblGrid>
      <w:tr w:rsidR="0040297C" w:rsidRPr="00741190" w14:paraId="050DAE6A" w14:textId="77777777" w:rsidTr="028E53E9">
        <w:trPr>
          <w:trHeight w:val="227"/>
          <w:tblHeader/>
        </w:trPr>
        <w:tc>
          <w:tcPr>
            <w:tcW w:w="559" w:type="dxa"/>
            <w:tcBorders>
              <w:top w:val="nil"/>
              <w:left w:val="nil"/>
              <w:bottom w:val="nil"/>
              <w:right w:val="nil"/>
            </w:tcBorders>
            <w:shd w:val="clear" w:color="auto" w:fill="auto"/>
            <w:vAlign w:val="center"/>
          </w:tcPr>
          <w:p w14:paraId="31AA7367" w14:textId="77777777" w:rsidR="0040297C" w:rsidRPr="00741190" w:rsidRDefault="0040297C" w:rsidP="009A3D1A">
            <w:pPr>
              <w:pStyle w:val="SymalTableBody"/>
              <w:spacing w:before="20" w:after="20"/>
              <w:rPr>
                <w:b/>
                <w:bCs/>
                <w:szCs w:val="18"/>
              </w:rPr>
            </w:pPr>
          </w:p>
        </w:tc>
        <w:tc>
          <w:tcPr>
            <w:tcW w:w="2231" w:type="dxa"/>
            <w:tcBorders>
              <w:top w:val="nil"/>
              <w:left w:val="nil"/>
              <w:bottom w:val="nil"/>
              <w:right w:val="nil"/>
            </w:tcBorders>
            <w:shd w:val="clear" w:color="auto" w:fill="auto"/>
            <w:vAlign w:val="center"/>
          </w:tcPr>
          <w:p w14:paraId="7319F1AF" w14:textId="77777777" w:rsidR="0040297C" w:rsidRPr="00741190" w:rsidRDefault="0040297C" w:rsidP="009A3D1A">
            <w:pPr>
              <w:pStyle w:val="SymalTableBody"/>
              <w:spacing w:before="20" w:after="20"/>
              <w:rPr>
                <w:b/>
                <w:bCs/>
                <w:szCs w:val="18"/>
              </w:rPr>
            </w:pPr>
          </w:p>
        </w:tc>
        <w:tc>
          <w:tcPr>
            <w:tcW w:w="786" w:type="dxa"/>
            <w:tcBorders>
              <w:top w:val="nil"/>
              <w:left w:val="nil"/>
              <w:bottom w:val="nil"/>
              <w:right w:val="nil"/>
            </w:tcBorders>
            <w:shd w:val="clear" w:color="auto" w:fill="auto"/>
            <w:vAlign w:val="center"/>
          </w:tcPr>
          <w:p w14:paraId="4559BA6A" w14:textId="77777777" w:rsidR="0040297C" w:rsidRPr="00741190" w:rsidRDefault="0040297C" w:rsidP="004D39F9">
            <w:pPr>
              <w:pStyle w:val="SymalTableBody"/>
              <w:spacing w:before="20" w:after="20"/>
              <w:rPr>
                <w:b/>
                <w:bCs/>
                <w:szCs w:val="18"/>
              </w:rPr>
            </w:pPr>
          </w:p>
        </w:tc>
        <w:tc>
          <w:tcPr>
            <w:tcW w:w="4221" w:type="dxa"/>
            <w:tcBorders>
              <w:top w:val="nil"/>
              <w:left w:val="nil"/>
              <w:bottom w:val="nil"/>
              <w:right w:val="nil"/>
            </w:tcBorders>
            <w:shd w:val="clear" w:color="auto" w:fill="auto"/>
            <w:vAlign w:val="center"/>
          </w:tcPr>
          <w:p w14:paraId="1E514775" w14:textId="77777777" w:rsidR="0040297C" w:rsidRPr="00741190" w:rsidRDefault="0040297C" w:rsidP="009A3D1A">
            <w:pPr>
              <w:pStyle w:val="SymalTableBody"/>
              <w:spacing w:before="20" w:after="20"/>
              <w:rPr>
                <w:b/>
                <w:bCs/>
                <w:szCs w:val="18"/>
              </w:rPr>
            </w:pPr>
          </w:p>
        </w:tc>
        <w:tc>
          <w:tcPr>
            <w:tcW w:w="992" w:type="dxa"/>
            <w:tcBorders>
              <w:top w:val="nil"/>
              <w:left w:val="nil"/>
              <w:bottom w:val="nil"/>
            </w:tcBorders>
            <w:shd w:val="clear" w:color="auto" w:fill="auto"/>
            <w:vAlign w:val="center"/>
          </w:tcPr>
          <w:p w14:paraId="2F2F09E7" w14:textId="77777777" w:rsidR="0040297C" w:rsidRPr="00741190" w:rsidRDefault="0040297C" w:rsidP="004D39F9">
            <w:pPr>
              <w:pStyle w:val="SymalTableBody"/>
              <w:spacing w:before="20" w:after="20"/>
              <w:jc w:val="center"/>
              <w:rPr>
                <w:b/>
                <w:bCs/>
                <w:szCs w:val="18"/>
              </w:rPr>
            </w:pPr>
          </w:p>
        </w:tc>
        <w:tc>
          <w:tcPr>
            <w:tcW w:w="4252" w:type="dxa"/>
            <w:gridSpan w:val="5"/>
            <w:shd w:val="clear" w:color="auto" w:fill="auto"/>
            <w:vAlign w:val="center"/>
          </w:tcPr>
          <w:p w14:paraId="3A9BB7D0" w14:textId="230BD9E5" w:rsidR="0040297C" w:rsidRPr="00741190" w:rsidRDefault="0040297C" w:rsidP="00741190">
            <w:pPr>
              <w:pStyle w:val="SymalTableBody"/>
              <w:spacing w:before="20" w:after="20"/>
              <w:jc w:val="center"/>
              <w:rPr>
                <w:b/>
                <w:bCs/>
                <w:szCs w:val="18"/>
              </w:rPr>
            </w:pPr>
            <w:r w:rsidRPr="00741190">
              <w:rPr>
                <w:b/>
                <w:bCs/>
                <w:szCs w:val="18"/>
              </w:rPr>
              <w:t>Verification of acceptance by</w:t>
            </w:r>
          </w:p>
        </w:tc>
        <w:tc>
          <w:tcPr>
            <w:tcW w:w="2268" w:type="dxa"/>
            <w:vMerge w:val="restart"/>
            <w:shd w:val="clear" w:color="auto" w:fill="auto"/>
            <w:vAlign w:val="center"/>
          </w:tcPr>
          <w:p w14:paraId="02E778B0" w14:textId="77777777" w:rsidR="0040297C" w:rsidRPr="00741190" w:rsidRDefault="0040297C" w:rsidP="00C1751B">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0297C" w:rsidRPr="00741190" w14:paraId="77640C7A" w14:textId="77777777" w:rsidTr="028E53E9">
        <w:trPr>
          <w:trHeight w:val="227"/>
          <w:tblHeader/>
        </w:trPr>
        <w:tc>
          <w:tcPr>
            <w:tcW w:w="559" w:type="dxa"/>
            <w:tcBorders>
              <w:top w:val="nil"/>
              <w:left w:val="nil"/>
              <w:right w:val="nil"/>
            </w:tcBorders>
            <w:shd w:val="clear" w:color="auto" w:fill="auto"/>
            <w:vAlign w:val="center"/>
          </w:tcPr>
          <w:p w14:paraId="78E8CE01" w14:textId="77777777" w:rsidR="0040297C" w:rsidRPr="00741190" w:rsidRDefault="0040297C" w:rsidP="009A3D1A">
            <w:pPr>
              <w:pStyle w:val="SymalTableBody"/>
              <w:spacing w:before="20" w:after="20"/>
              <w:rPr>
                <w:b/>
                <w:bCs/>
                <w:szCs w:val="18"/>
              </w:rPr>
            </w:pPr>
          </w:p>
        </w:tc>
        <w:tc>
          <w:tcPr>
            <w:tcW w:w="2231" w:type="dxa"/>
            <w:tcBorders>
              <w:top w:val="nil"/>
              <w:left w:val="nil"/>
              <w:right w:val="nil"/>
            </w:tcBorders>
            <w:shd w:val="clear" w:color="auto" w:fill="auto"/>
            <w:vAlign w:val="center"/>
          </w:tcPr>
          <w:p w14:paraId="163407B9" w14:textId="77777777" w:rsidR="0040297C" w:rsidRPr="00741190" w:rsidRDefault="0040297C" w:rsidP="009A3D1A">
            <w:pPr>
              <w:pStyle w:val="SymalTableBody"/>
              <w:spacing w:before="20" w:after="20"/>
              <w:rPr>
                <w:b/>
                <w:bCs/>
                <w:szCs w:val="18"/>
              </w:rPr>
            </w:pPr>
          </w:p>
        </w:tc>
        <w:tc>
          <w:tcPr>
            <w:tcW w:w="786" w:type="dxa"/>
            <w:tcBorders>
              <w:top w:val="nil"/>
              <w:left w:val="nil"/>
              <w:right w:val="nil"/>
            </w:tcBorders>
            <w:shd w:val="clear" w:color="auto" w:fill="auto"/>
            <w:vAlign w:val="center"/>
          </w:tcPr>
          <w:p w14:paraId="65190937" w14:textId="77777777" w:rsidR="0040297C" w:rsidRPr="00741190" w:rsidRDefault="0040297C" w:rsidP="004D39F9">
            <w:pPr>
              <w:pStyle w:val="SymalTableBody"/>
              <w:spacing w:before="20" w:after="20"/>
              <w:rPr>
                <w:b/>
                <w:bCs/>
                <w:szCs w:val="18"/>
              </w:rPr>
            </w:pPr>
          </w:p>
        </w:tc>
        <w:tc>
          <w:tcPr>
            <w:tcW w:w="4221" w:type="dxa"/>
            <w:tcBorders>
              <w:top w:val="nil"/>
              <w:left w:val="nil"/>
              <w:right w:val="nil"/>
            </w:tcBorders>
            <w:shd w:val="clear" w:color="auto" w:fill="auto"/>
            <w:vAlign w:val="center"/>
          </w:tcPr>
          <w:p w14:paraId="0C8367FD" w14:textId="77777777" w:rsidR="0040297C" w:rsidRPr="00741190" w:rsidRDefault="0040297C" w:rsidP="009A3D1A">
            <w:pPr>
              <w:pStyle w:val="SymalTableBody"/>
              <w:spacing w:before="20" w:after="20"/>
              <w:rPr>
                <w:b/>
                <w:bCs/>
                <w:szCs w:val="18"/>
              </w:rPr>
            </w:pPr>
          </w:p>
        </w:tc>
        <w:tc>
          <w:tcPr>
            <w:tcW w:w="992" w:type="dxa"/>
            <w:tcBorders>
              <w:top w:val="nil"/>
              <w:left w:val="nil"/>
            </w:tcBorders>
            <w:shd w:val="clear" w:color="auto" w:fill="auto"/>
            <w:vAlign w:val="center"/>
          </w:tcPr>
          <w:p w14:paraId="283902B1" w14:textId="77777777" w:rsidR="0040297C" w:rsidRPr="00741190" w:rsidRDefault="0040297C" w:rsidP="004D39F9">
            <w:pPr>
              <w:pStyle w:val="SymalTableBody"/>
              <w:spacing w:before="20" w:after="20"/>
              <w:jc w:val="center"/>
              <w:rPr>
                <w:b/>
                <w:bCs/>
                <w:szCs w:val="18"/>
              </w:rPr>
            </w:pPr>
          </w:p>
        </w:tc>
        <w:tc>
          <w:tcPr>
            <w:tcW w:w="2551" w:type="dxa"/>
            <w:gridSpan w:val="3"/>
            <w:shd w:val="clear" w:color="auto" w:fill="auto"/>
            <w:vAlign w:val="center"/>
          </w:tcPr>
          <w:p w14:paraId="2E291978" w14:textId="6F059325" w:rsidR="0040297C" w:rsidRPr="00741190" w:rsidRDefault="0040297C" w:rsidP="00741190">
            <w:pPr>
              <w:pStyle w:val="SymalTableBody"/>
              <w:spacing w:before="20" w:after="20"/>
              <w:jc w:val="center"/>
              <w:rPr>
                <w:b/>
                <w:bCs/>
                <w:szCs w:val="18"/>
              </w:rPr>
            </w:pPr>
            <w:r w:rsidRPr="00741190">
              <w:rPr>
                <w:b/>
                <w:bCs/>
                <w:szCs w:val="18"/>
              </w:rPr>
              <w:t>Symal</w:t>
            </w:r>
          </w:p>
        </w:tc>
        <w:tc>
          <w:tcPr>
            <w:tcW w:w="1701" w:type="dxa"/>
            <w:gridSpan w:val="2"/>
            <w:shd w:val="clear" w:color="auto" w:fill="auto"/>
            <w:vAlign w:val="center"/>
          </w:tcPr>
          <w:p w14:paraId="79C2C9E9" w14:textId="77777777" w:rsidR="0040297C" w:rsidRPr="00741190" w:rsidRDefault="0040297C" w:rsidP="00741190">
            <w:pPr>
              <w:pStyle w:val="SymalTableBody"/>
              <w:spacing w:before="20" w:after="20"/>
              <w:jc w:val="center"/>
              <w:rPr>
                <w:b/>
                <w:bCs/>
                <w:szCs w:val="18"/>
              </w:rPr>
            </w:pPr>
            <w:r w:rsidRPr="00741190">
              <w:rPr>
                <w:b/>
                <w:bCs/>
                <w:szCs w:val="18"/>
              </w:rPr>
              <w:t>Superintendent</w:t>
            </w:r>
          </w:p>
        </w:tc>
        <w:tc>
          <w:tcPr>
            <w:tcW w:w="2268" w:type="dxa"/>
            <w:vMerge/>
            <w:vAlign w:val="center"/>
          </w:tcPr>
          <w:p w14:paraId="40C8EE20" w14:textId="77777777" w:rsidR="0040297C" w:rsidRPr="00741190" w:rsidRDefault="0040297C" w:rsidP="00C1751B">
            <w:pPr>
              <w:pStyle w:val="SymalTableBody"/>
              <w:spacing w:before="20" w:after="20"/>
              <w:rPr>
                <w:b/>
                <w:bCs/>
                <w:szCs w:val="18"/>
              </w:rPr>
            </w:pPr>
          </w:p>
        </w:tc>
      </w:tr>
      <w:tr w:rsidR="00030E46" w:rsidRPr="00741190" w14:paraId="076FA1DA" w14:textId="77777777" w:rsidTr="028E53E9">
        <w:trPr>
          <w:trHeight w:val="227"/>
          <w:tblHeader/>
        </w:trPr>
        <w:tc>
          <w:tcPr>
            <w:tcW w:w="559" w:type="dxa"/>
            <w:shd w:val="clear" w:color="auto" w:fill="auto"/>
            <w:vAlign w:val="center"/>
          </w:tcPr>
          <w:p w14:paraId="543F8FC4" w14:textId="77777777" w:rsidR="0040297C" w:rsidRPr="00741190" w:rsidRDefault="0040297C" w:rsidP="00C1751B">
            <w:pPr>
              <w:pStyle w:val="SymalTableBody"/>
              <w:spacing w:before="20" w:after="20"/>
              <w:rPr>
                <w:b/>
                <w:bCs/>
                <w:szCs w:val="18"/>
              </w:rPr>
            </w:pPr>
            <w:r w:rsidRPr="00741190">
              <w:rPr>
                <w:b/>
                <w:bCs/>
                <w:szCs w:val="18"/>
              </w:rPr>
              <w:t>Item no.</w:t>
            </w:r>
          </w:p>
        </w:tc>
        <w:tc>
          <w:tcPr>
            <w:tcW w:w="2231" w:type="dxa"/>
            <w:shd w:val="clear" w:color="auto" w:fill="auto"/>
            <w:vAlign w:val="center"/>
          </w:tcPr>
          <w:p w14:paraId="257B3E54" w14:textId="77777777" w:rsidR="0040297C" w:rsidRPr="00741190" w:rsidRDefault="0040297C" w:rsidP="00C1751B">
            <w:pPr>
              <w:pStyle w:val="SymalTableBody"/>
              <w:spacing w:before="20" w:after="20"/>
              <w:rPr>
                <w:b/>
                <w:bCs/>
                <w:szCs w:val="18"/>
              </w:rPr>
            </w:pPr>
            <w:r w:rsidRPr="00741190">
              <w:rPr>
                <w:b/>
                <w:bCs/>
                <w:szCs w:val="18"/>
              </w:rPr>
              <w:t>Activity</w:t>
            </w:r>
          </w:p>
        </w:tc>
        <w:tc>
          <w:tcPr>
            <w:tcW w:w="786" w:type="dxa"/>
            <w:shd w:val="clear" w:color="auto" w:fill="auto"/>
            <w:vAlign w:val="center"/>
          </w:tcPr>
          <w:p w14:paraId="0412D41E" w14:textId="77777777" w:rsidR="0040297C" w:rsidRPr="00741190" w:rsidRDefault="0040297C" w:rsidP="004D39F9">
            <w:pPr>
              <w:pStyle w:val="SymalTableBody"/>
              <w:spacing w:before="20" w:after="20"/>
              <w:rPr>
                <w:b/>
                <w:bCs/>
                <w:szCs w:val="18"/>
              </w:rPr>
            </w:pPr>
            <w:r w:rsidRPr="00741190">
              <w:rPr>
                <w:b/>
                <w:bCs/>
                <w:szCs w:val="18"/>
              </w:rPr>
              <w:t>Ref docs</w:t>
            </w:r>
          </w:p>
        </w:tc>
        <w:tc>
          <w:tcPr>
            <w:tcW w:w="4221" w:type="dxa"/>
            <w:shd w:val="clear" w:color="auto" w:fill="auto"/>
            <w:vAlign w:val="center"/>
          </w:tcPr>
          <w:p w14:paraId="61602DD5" w14:textId="77777777" w:rsidR="0040297C" w:rsidRPr="00741190" w:rsidRDefault="0040297C" w:rsidP="00C1751B">
            <w:pPr>
              <w:pStyle w:val="SymalTableBody"/>
              <w:spacing w:before="20" w:after="20"/>
              <w:rPr>
                <w:b/>
                <w:bCs/>
                <w:szCs w:val="18"/>
              </w:rPr>
            </w:pPr>
            <w:r w:rsidRPr="00741190">
              <w:rPr>
                <w:b/>
                <w:bCs/>
                <w:szCs w:val="18"/>
              </w:rPr>
              <w:t>Acceptance criteria</w:t>
            </w:r>
          </w:p>
        </w:tc>
        <w:tc>
          <w:tcPr>
            <w:tcW w:w="992" w:type="dxa"/>
            <w:shd w:val="clear" w:color="auto" w:fill="auto"/>
            <w:vAlign w:val="center"/>
          </w:tcPr>
          <w:p w14:paraId="41CB214A" w14:textId="77777777" w:rsidR="0040297C" w:rsidRPr="00741190" w:rsidRDefault="0040297C" w:rsidP="004D39F9">
            <w:pPr>
              <w:pStyle w:val="SymalTableBody"/>
              <w:spacing w:before="20" w:after="20"/>
              <w:jc w:val="center"/>
              <w:rPr>
                <w:b/>
                <w:bCs/>
                <w:szCs w:val="18"/>
              </w:rPr>
            </w:pPr>
            <w:r w:rsidRPr="00741190">
              <w:rPr>
                <w:b/>
                <w:bCs/>
                <w:szCs w:val="18"/>
              </w:rPr>
              <w:t>Freq</w:t>
            </w:r>
          </w:p>
        </w:tc>
        <w:tc>
          <w:tcPr>
            <w:tcW w:w="850" w:type="dxa"/>
            <w:shd w:val="clear" w:color="auto" w:fill="auto"/>
            <w:vAlign w:val="center"/>
          </w:tcPr>
          <w:p w14:paraId="28C8F6B7" w14:textId="246C4A73" w:rsidR="0040297C" w:rsidRPr="00741190" w:rsidRDefault="0040297C" w:rsidP="00741190">
            <w:pPr>
              <w:pStyle w:val="SymalTableBody"/>
              <w:spacing w:before="20" w:after="20"/>
              <w:jc w:val="center"/>
              <w:rPr>
                <w:b/>
                <w:bCs/>
                <w:szCs w:val="18"/>
              </w:rPr>
            </w:pPr>
            <w:r w:rsidRPr="00741190">
              <w:rPr>
                <w:b/>
                <w:bCs/>
                <w:szCs w:val="18"/>
              </w:rPr>
              <w:t>Key</w:t>
            </w:r>
          </w:p>
        </w:tc>
        <w:tc>
          <w:tcPr>
            <w:tcW w:w="851" w:type="dxa"/>
            <w:shd w:val="clear" w:color="auto" w:fill="auto"/>
            <w:vAlign w:val="center"/>
          </w:tcPr>
          <w:p w14:paraId="40AD945C" w14:textId="77777777" w:rsidR="0040297C" w:rsidRPr="00741190" w:rsidRDefault="0040297C" w:rsidP="00741190">
            <w:pPr>
              <w:pStyle w:val="SymalTableBody"/>
              <w:spacing w:before="20" w:after="20"/>
              <w:jc w:val="center"/>
              <w:rPr>
                <w:b/>
                <w:bCs/>
                <w:szCs w:val="18"/>
              </w:rPr>
            </w:pPr>
            <w:r w:rsidRPr="00741190">
              <w:rPr>
                <w:b/>
                <w:bCs/>
                <w:szCs w:val="18"/>
              </w:rPr>
              <w:t>Resp</w:t>
            </w:r>
          </w:p>
        </w:tc>
        <w:tc>
          <w:tcPr>
            <w:tcW w:w="850" w:type="dxa"/>
            <w:shd w:val="clear" w:color="auto" w:fill="auto"/>
            <w:vAlign w:val="center"/>
          </w:tcPr>
          <w:p w14:paraId="5E216B01" w14:textId="77777777" w:rsidR="0040297C" w:rsidRPr="00741190" w:rsidRDefault="0040297C" w:rsidP="00741190">
            <w:pPr>
              <w:pStyle w:val="SymalTableBody"/>
              <w:spacing w:before="20" w:after="20"/>
              <w:jc w:val="center"/>
              <w:rPr>
                <w:b/>
                <w:bCs/>
                <w:szCs w:val="18"/>
              </w:rPr>
            </w:pPr>
            <w:r w:rsidRPr="00741190">
              <w:rPr>
                <w:b/>
                <w:bCs/>
                <w:szCs w:val="18"/>
              </w:rPr>
              <w:t>Initial/</w:t>
            </w:r>
            <w:r>
              <w:rPr>
                <w:b/>
                <w:bCs/>
                <w:szCs w:val="18"/>
              </w:rPr>
              <w:br/>
            </w:r>
            <w:r w:rsidRPr="00741190">
              <w:rPr>
                <w:b/>
                <w:bCs/>
                <w:szCs w:val="18"/>
              </w:rPr>
              <w:t>date</w:t>
            </w:r>
          </w:p>
        </w:tc>
        <w:tc>
          <w:tcPr>
            <w:tcW w:w="851" w:type="dxa"/>
            <w:shd w:val="clear" w:color="auto" w:fill="auto"/>
            <w:vAlign w:val="center"/>
          </w:tcPr>
          <w:p w14:paraId="4313008C" w14:textId="77777777" w:rsidR="0040297C" w:rsidRPr="00741190" w:rsidRDefault="0040297C" w:rsidP="00741190">
            <w:pPr>
              <w:pStyle w:val="SymalTableBody"/>
              <w:spacing w:before="20" w:after="20"/>
              <w:jc w:val="center"/>
              <w:rPr>
                <w:b/>
                <w:bCs/>
                <w:szCs w:val="18"/>
              </w:rPr>
            </w:pPr>
            <w:r w:rsidRPr="00741190">
              <w:rPr>
                <w:b/>
                <w:bCs/>
                <w:szCs w:val="18"/>
              </w:rPr>
              <w:t>Key</w:t>
            </w:r>
          </w:p>
        </w:tc>
        <w:tc>
          <w:tcPr>
            <w:tcW w:w="850" w:type="dxa"/>
            <w:shd w:val="clear" w:color="auto" w:fill="auto"/>
            <w:vAlign w:val="center"/>
          </w:tcPr>
          <w:p w14:paraId="4B08C603" w14:textId="77777777" w:rsidR="0040297C" w:rsidRPr="00741190" w:rsidRDefault="0040297C"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2268" w:type="dxa"/>
            <w:vMerge/>
            <w:vAlign w:val="center"/>
          </w:tcPr>
          <w:p w14:paraId="2AA1420C" w14:textId="77777777" w:rsidR="0040297C" w:rsidRPr="00741190" w:rsidRDefault="0040297C" w:rsidP="00C1751B">
            <w:pPr>
              <w:pStyle w:val="SymalTableBody"/>
              <w:spacing w:before="20" w:after="20"/>
              <w:rPr>
                <w:b/>
                <w:bCs/>
                <w:szCs w:val="18"/>
              </w:rPr>
            </w:pPr>
          </w:p>
        </w:tc>
      </w:tr>
      <w:tr w:rsidR="00901425" w:rsidRPr="003C1E57" w14:paraId="14D91584" w14:textId="77777777" w:rsidTr="028E53E9">
        <w:trPr>
          <w:trHeight w:val="227"/>
        </w:trPr>
        <w:tc>
          <w:tcPr>
            <w:tcW w:w="15309" w:type="dxa"/>
            <w:gridSpan w:val="11"/>
            <w:shd w:val="clear" w:color="auto" w:fill="000000" w:themeFill="text2"/>
          </w:tcPr>
          <w:p w14:paraId="60A0D35A" w14:textId="4FDA5D2B" w:rsidR="00901425" w:rsidRPr="003C1E57" w:rsidRDefault="00901425" w:rsidP="00B12B15">
            <w:pPr>
              <w:pStyle w:val="SymalTableBody"/>
              <w:spacing w:before="20" w:after="20"/>
              <w:rPr>
                <w:b/>
                <w:bCs/>
                <w:color w:val="FFFFFF" w:themeColor="background1"/>
                <w:sz w:val="20"/>
              </w:rPr>
            </w:pPr>
            <w:r w:rsidRPr="003C1E57">
              <w:rPr>
                <w:b/>
                <w:bCs/>
                <w:color w:val="FFFFFF" w:themeColor="background1"/>
                <w:sz w:val="20"/>
              </w:rPr>
              <w:t>1.0 Pre-start activities</w:t>
            </w:r>
          </w:p>
        </w:tc>
      </w:tr>
      <w:tr w:rsidR="00030E46" w:rsidRPr="00741190" w14:paraId="6379EBD7" w14:textId="77777777" w:rsidTr="028E53E9">
        <w:trPr>
          <w:trHeight w:val="2370"/>
        </w:trPr>
        <w:tc>
          <w:tcPr>
            <w:tcW w:w="559" w:type="dxa"/>
            <w:shd w:val="clear" w:color="auto" w:fill="auto"/>
            <w:vAlign w:val="center"/>
          </w:tcPr>
          <w:p w14:paraId="68CC2D15" w14:textId="36A938E7" w:rsidR="0040297C" w:rsidRPr="004B6C8C" w:rsidRDefault="0040297C" w:rsidP="00A9655D">
            <w:pPr>
              <w:pStyle w:val="SymalTableBody"/>
              <w:spacing w:before="20" w:after="20"/>
              <w:rPr>
                <w:b/>
                <w:bCs/>
                <w:sz w:val="16"/>
                <w:szCs w:val="16"/>
              </w:rPr>
            </w:pPr>
            <w:r>
              <w:rPr>
                <w:b/>
                <w:bCs/>
                <w:sz w:val="16"/>
                <w:szCs w:val="16"/>
              </w:rPr>
              <w:t>1.</w:t>
            </w:r>
            <w:r w:rsidR="00904571">
              <w:rPr>
                <w:b/>
                <w:bCs/>
                <w:sz w:val="16"/>
                <w:szCs w:val="16"/>
              </w:rPr>
              <w:t>1</w:t>
            </w:r>
          </w:p>
        </w:tc>
        <w:tc>
          <w:tcPr>
            <w:tcW w:w="2231" w:type="dxa"/>
            <w:shd w:val="clear" w:color="auto" w:fill="auto"/>
            <w:vAlign w:val="center"/>
          </w:tcPr>
          <w:p w14:paraId="7BEA8054" w14:textId="2DC76C81" w:rsidR="0040297C" w:rsidRPr="00EA0774" w:rsidRDefault="0040297C" w:rsidP="00A9655D">
            <w:pPr>
              <w:pStyle w:val="SymalTableBody"/>
              <w:spacing w:before="20" w:after="20"/>
              <w:rPr>
                <w:sz w:val="14"/>
                <w:szCs w:val="14"/>
              </w:rPr>
            </w:pPr>
            <w:r>
              <w:rPr>
                <w:sz w:val="14"/>
                <w:szCs w:val="14"/>
              </w:rPr>
              <w:t xml:space="preserve">Define Work Lot </w:t>
            </w:r>
          </w:p>
        </w:tc>
        <w:tc>
          <w:tcPr>
            <w:tcW w:w="786" w:type="dxa"/>
            <w:shd w:val="clear" w:color="auto" w:fill="auto"/>
            <w:vAlign w:val="center"/>
          </w:tcPr>
          <w:p w14:paraId="40236823" w14:textId="77777777"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1E04EF">
              <w:rPr>
                <w:rFonts w:asciiTheme="majorHAnsi" w:hAnsiTheme="majorHAnsi" w:cstheme="majorHAnsi"/>
                <w:sz w:val="14"/>
                <w:szCs w:val="14"/>
              </w:rPr>
              <w:t>173.02</w:t>
            </w:r>
          </w:p>
          <w:p w14:paraId="35A6129B" w14:textId="713550CB" w:rsidR="0040297C" w:rsidRDefault="0040297C" w:rsidP="00A9655D">
            <w:pPr>
              <w:pStyle w:val="Tabletext"/>
              <w:jc w:val="center"/>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701.20</w:t>
            </w:r>
          </w:p>
          <w:p w14:paraId="25696180" w14:textId="6A442243" w:rsidR="0040297C" w:rsidRDefault="0040297C" w:rsidP="00A9655D">
            <w:pPr>
              <w:pStyle w:val="Tabletext"/>
              <w:jc w:val="center"/>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701.10</w:t>
            </w:r>
          </w:p>
          <w:p w14:paraId="55623733" w14:textId="39DF75FA" w:rsidR="00FE76C3" w:rsidRDefault="00FE76C3" w:rsidP="00A9655D">
            <w:pPr>
              <w:pStyle w:val="Tabletext"/>
              <w:jc w:val="center"/>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701.26</w:t>
            </w:r>
          </w:p>
          <w:p w14:paraId="3F249FCC" w14:textId="77777777" w:rsidR="0040297C" w:rsidRDefault="0040297C" w:rsidP="00A9655D">
            <w:pPr>
              <w:pStyle w:val="Tabletext"/>
              <w:jc w:val="center"/>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IFC Drawings</w:t>
            </w:r>
          </w:p>
          <w:p w14:paraId="1752E6E2" w14:textId="257760D3"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QMP</w:t>
            </w:r>
          </w:p>
          <w:p w14:paraId="6E4A0076" w14:textId="2ACAB34F" w:rsidR="0040297C" w:rsidRPr="00EA0774" w:rsidRDefault="0040297C" w:rsidP="00A9655D">
            <w:pPr>
              <w:pStyle w:val="SymalTableBody"/>
              <w:spacing w:before="20" w:after="20"/>
              <w:jc w:val="center"/>
              <w:rPr>
                <w:sz w:val="14"/>
                <w:szCs w:val="14"/>
              </w:rPr>
            </w:pPr>
          </w:p>
        </w:tc>
        <w:tc>
          <w:tcPr>
            <w:tcW w:w="4221" w:type="dxa"/>
            <w:shd w:val="clear" w:color="auto" w:fill="auto"/>
            <w:vAlign w:val="center"/>
          </w:tcPr>
          <w:p w14:paraId="083937C4" w14:textId="19C53D9C" w:rsidR="0040297C" w:rsidRDefault="0040297C" w:rsidP="21E557C4">
            <w:pPr>
              <w:pStyle w:val="Tabletext"/>
              <w:rPr>
                <w:rFonts w:asciiTheme="majorHAnsi" w:hAnsiTheme="majorHAnsi" w:cstheme="majorBidi"/>
                <w:sz w:val="14"/>
                <w:szCs w:val="14"/>
              </w:rPr>
            </w:pPr>
            <w:r w:rsidRPr="21E557C4">
              <w:rPr>
                <w:rFonts w:asciiTheme="majorHAnsi" w:hAnsiTheme="majorHAnsi" w:cstheme="majorBidi"/>
                <w:sz w:val="14"/>
                <w:szCs w:val="14"/>
              </w:rPr>
              <w:t xml:space="preserve">Survey boundaries clearly define the Underground Drainage Construction works. Lot shall be defined from pit to pit (or </w:t>
            </w:r>
            <w:r w:rsidR="540045B0" w:rsidRPr="21E557C4">
              <w:rPr>
                <w:rFonts w:asciiTheme="majorHAnsi" w:hAnsiTheme="majorHAnsi" w:cstheme="majorBidi"/>
                <w:sz w:val="14"/>
                <w:szCs w:val="14"/>
              </w:rPr>
              <w:t>end wall</w:t>
            </w:r>
            <w:r w:rsidRPr="21E557C4">
              <w:rPr>
                <w:rFonts w:asciiTheme="majorHAnsi" w:hAnsiTheme="majorHAnsi" w:cstheme="majorBidi"/>
                <w:sz w:val="14"/>
                <w:szCs w:val="14"/>
              </w:rPr>
              <w:t>, where applicable).</w:t>
            </w:r>
          </w:p>
          <w:p w14:paraId="10A9C783" w14:textId="4258BEDF" w:rsidR="004632F3" w:rsidRDefault="00FE76C3" w:rsidP="007E30AF">
            <w:pPr>
              <w:pStyle w:val="Tabletext"/>
              <w:rPr>
                <w:rFonts w:eastAsia="Arial Unicode MS"/>
                <w:sz w:val="14"/>
                <w:szCs w:val="14"/>
                <w:lang w:val="en-US"/>
              </w:rPr>
            </w:pPr>
            <w:r w:rsidRPr="21E557C4">
              <w:rPr>
                <w:rFonts w:asciiTheme="majorHAnsi" w:hAnsiTheme="majorHAnsi" w:cstheme="majorBidi"/>
                <w:sz w:val="14"/>
                <w:szCs w:val="14"/>
              </w:rPr>
              <w:t xml:space="preserve">Where required; </w:t>
            </w:r>
            <w:r w:rsidR="006C07B0" w:rsidRPr="21E557C4">
              <w:rPr>
                <w:rFonts w:asciiTheme="majorHAnsi" w:hAnsiTheme="majorHAnsi" w:cstheme="majorBidi"/>
                <w:sz w:val="14"/>
                <w:szCs w:val="14"/>
              </w:rPr>
              <w:t>guideposts</w:t>
            </w:r>
            <w:r w:rsidRPr="21E557C4">
              <w:rPr>
                <w:rFonts w:asciiTheme="majorHAnsi" w:hAnsiTheme="majorHAnsi" w:cstheme="majorBidi"/>
                <w:sz w:val="14"/>
                <w:szCs w:val="14"/>
              </w:rPr>
              <w:t xml:space="preserve"> should be installed at the edges of formations on the side of the culvert nearer approaching traffic.</w:t>
            </w:r>
          </w:p>
          <w:p w14:paraId="13116813" w14:textId="56DF6E4F" w:rsidR="48408EB0" w:rsidRDefault="48408EB0" w:rsidP="21E557C4">
            <w:pPr>
              <w:pStyle w:val="Tabletext"/>
              <w:spacing w:before="120"/>
              <w:rPr>
                <w:rFonts w:asciiTheme="majorHAnsi" w:hAnsiTheme="majorHAnsi" w:cstheme="majorBidi"/>
                <w:b/>
                <w:sz w:val="14"/>
                <w:szCs w:val="14"/>
              </w:rPr>
            </w:pPr>
            <w:r w:rsidRPr="21E557C4">
              <w:rPr>
                <w:rFonts w:asciiTheme="majorHAnsi" w:hAnsiTheme="majorHAnsi" w:cstheme="majorBidi"/>
                <w:b/>
                <w:sz w:val="14"/>
                <w:szCs w:val="14"/>
              </w:rPr>
              <w:t xml:space="preserve">Upstream </w:t>
            </w:r>
            <w:proofErr w:type="gramStart"/>
            <w:r w:rsidRPr="21E557C4">
              <w:rPr>
                <w:rFonts w:asciiTheme="majorHAnsi" w:hAnsiTheme="majorHAnsi" w:cstheme="majorBidi"/>
                <w:b/>
                <w:sz w:val="14"/>
                <w:szCs w:val="14"/>
              </w:rPr>
              <w:t>Pit:…</w:t>
            </w:r>
            <w:proofErr w:type="gramEnd"/>
            <w:r w:rsidRPr="21E557C4">
              <w:rPr>
                <w:rFonts w:asciiTheme="majorHAnsi" w:hAnsiTheme="majorHAnsi" w:cstheme="majorBidi"/>
                <w:b/>
                <w:sz w:val="14"/>
                <w:szCs w:val="14"/>
              </w:rPr>
              <w:t>...................................</w:t>
            </w:r>
          </w:p>
          <w:p w14:paraId="7A2EDA00" w14:textId="16BBBAA5" w:rsidR="48408EB0" w:rsidRDefault="48408EB0" w:rsidP="21E557C4">
            <w:pPr>
              <w:pStyle w:val="Tabletext"/>
              <w:spacing w:before="120"/>
              <w:rPr>
                <w:rFonts w:asciiTheme="majorHAnsi" w:hAnsiTheme="majorHAnsi" w:cstheme="majorBidi"/>
                <w:b/>
                <w:sz w:val="14"/>
                <w:szCs w:val="14"/>
              </w:rPr>
            </w:pPr>
            <w:r w:rsidRPr="21E557C4">
              <w:rPr>
                <w:rFonts w:asciiTheme="majorHAnsi" w:hAnsiTheme="majorHAnsi" w:cstheme="majorBidi"/>
                <w:b/>
                <w:sz w:val="14"/>
                <w:szCs w:val="14"/>
              </w:rPr>
              <w:t>Downstream Pit</w:t>
            </w:r>
            <w:proofErr w:type="gramStart"/>
            <w:r w:rsidRPr="21E557C4">
              <w:rPr>
                <w:rFonts w:asciiTheme="majorHAnsi" w:hAnsiTheme="majorHAnsi" w:cstheme="majorBidi"/>
                <w:b/>
                <w:sz w:val="14"/>
                <w:szCs w:val="14"/>
              </w:rPr>
              <w:t>::…</w:t>
            </w:r>
            <w:proofErr w:type="gramEnd"/>
            <w:r w:rsidRPr="21E557C4">
              <w:rPr>
                <w:rFonts w:asciiTheme="majorHAnsi" w:hAnsiTheme="majorHAnsi" w:cstheme="majorBidi"/>
                <w:b/>
                <w:sz w:val="14"/>
                <w:szCs w:val="14"/>
              </w:rPr>
              <w:t>...................................</w:t>
            </w:r>
          </w:p>
          <w:p w14:paraId="2800A914" w14:textId="1AFB8CB2" w:rsidR="001643B4" w:rsidRPr="00EB6C8A" w:rsidRDefault="48408EB0" w:rsidP="00EB6C8A">
            <w:pPr>
              <w:pStyle w:val="Tabletext"/>
              <w:spacing w:before="120"/>
              <w:rPr>
                <w:rFonts w:asciiTheme="majorHAnsi" w:hAnsiTheme="majorHAnsi" w:cstheme="majorBidi"/>
                <w:b/>
                <w:sz w:val="14"/>
                <w:szCs w:val="14"/>
              </w:rPr>
            </w:pPr>
            <w:r w:rsidRPr="21E557C4">
              <w:rPr>
                <w:rFonts w:asciiTheme="majorHAnsi" w:hAnsiTheme="majorHAnsi" w:cstheme="majorBidi"/>
                <w:b/>
                <w:sz w:val="14"/>
                <w:szCs w:val="14"/>
              </w:rPr>
              <w:t xml:space="preserve">Culvert Type / </w:t>
            </w:r>
            <w:r w:rsidR="00C1751B">
              <w:rPr>
                <w:rFonts w:asciiTheme="majorHAnsi" w:hAnsiTheme="majorHAnsi" w:cstheme="majorBidi"/>
                <w:b/>
                <w:sz w:val="14"/>
                <w:szCs w:val="14"/>
              </w:rPr>
              <w:t>S</w:t>
            </w:r>
            <w:r w:rsidRPr="21E557C4">
              <w:rPr>
                <w:rFonts w:asciiTheme="majorHAnsi" w:hAnsiTheme="majorHAnsi" w:cstheme="majorBidi"/>
                <w:b/>
                <w:sz w:val="14"/>
                <w:szCs w:val="14"/>
              </w:rPr>
              <w:t>ize / Material</w:t>
            </w:r>
            <w:proofErr w:type="gramStart"/>
            <w:r w:rsidRPr="21E557C4">
              <w:rPr>
                <w:rFonts w:asciiTheme="majorHAnsi" w:hAnsiTheme="majorHAnsi" w:cstheme="majorBidi"/>
                <w:b/>
                <w:sz w:val="14"/>
                <w:szCs w:val="14"/>
              </w:rPr>
              <w:t>::…</w:t>
            </w:r>
            <w:proofErr w:type="gramEnd"/>
            <w:r w:rsidRPr="21E557C4">
              <w:rPr>
                <w:rFonts w:asciiTheme="majorHAnsi" w:hAnsiTheme="majorHAnsi" w:cstheme="majorBidi"/>
                <w:b/>
                <w:sz w:val="14"/>
                <w:szCs w:val="14"/>
              </w:rPr>
              <w:t>...................................</w:t>
            </w:r>
          </w:p>
        </w:tc>
        <w:tc>
          <w:tcPr>
            <w:tcW w:w="992" w:type="dxa"/>
            <w:shd w:val="clear" w:color="auto" w:fill="auto"/>
            <w:vAlign w:val="center"/>
          </w:tcPr>
          <w:p w14:paraId="3C6321A2" w14:textId="4E78991A" w:rsidR="0040297C" w:rsidRPr="00EA0774" w:rsidRDefault="0040297C" w:rsidP="00A9655D">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850" w:type="dxa"/>
            <w:shd w:val="clear" w:color="auto" w:fill="auto"/>
            <w:vAlign w:val="center"/>
          </w:tcPr>
          <w:p w14:paraId="0EC5B6C1" w14:textId="77777777" w:rsidR="00FE2E6B" w:rsidRDefault="00FE2E6B" w:rsidP="00A9655D">
            <w:pPr>
              <w:pStyle w:val="SymalTableBody"/>
              <w:spacing w:before="20" w:after="20"/>
              <w:jc w:val="center"/>
              <w:rPr>
                <w:sz w:val="14"/>
                <w:szCs w:val="14"/>
              </w:rPr>
            </w:pPr>
          </w:p>
          <w:p w14:paraId="53BE0E10" w14:textId="46CBAD57" w:rsidR="0040297C" w:rsidRPr="00A9655D" w:rsidRDefault="0040297C" w:rsidP="00A9655D">
            <w:pPr>
              <w:pStyle w:val="SymalTableBody"/>
              <w:spacing w:before="20" w:after="20"/>
              <w:jc w:val="center"/>
              <w:rPr>
                <w:sz w:val="14"/>
                <w:szCs w:val="14"/>
              </w:rPr>
            </w:pPr>
            <w:r w:rsidRPr="00A9655D">
              <w:rPr>
                <w:sz w:val="14"/>
                <w:szCs w:val="14"/>
              </w:rPr>
              <w:t>R</w:t>
            </w:r>
          </w:p>
          <w:p w14:paraId="420E14A0" w14:textId="061DF84F" w:rsidR="0040297C" w:rsidRPr="004B6C8C" w:rsidRDefault="0040297C" w:rsidP="00FE2E6B">
            <w:pPr>
              <w:pStyle w:val="SymalTableBody"/>
              <w:spacing w:before="20" w:after="20"/>
              <w:rPr>
                <w:b/>
                <w:bCs/>
                <w:sz w:val="14"/>
                <w:szCs w:val="14"/>
                <w:u w:val="single"/>
              </w:rPr>
            </w:pPr>
          </w:p>
        </w:tc>
        <w:tc>
          <w:tcPr>
            <w:tcW w:w="851" w:type="dxa"/>
            <w:shd w:val="clear" w:color="auto" w:fill="auto"/>
            <w:vAlign w:val="center"/>
          </w:tcPr>
          <w:p w14:paraId="313A109F" w14:textId="3AA1F561" w:rsidR="0040297C" w:rsidRPr="00EA0774"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1B9C7D14"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5D772F85" w14:textId="77777777" w:rsidR="0040297C" w:rsidRPr="00741190" w:rsidRDefault="0040297C" w:rsidP="00A9655D">
            <w:pPr>
              <w:pStyle w:val="SymalTableBody"/>
              <w:spacing w:before="20" w:after="20"/>
              <w:jc w:val="center"/>
              <w:rPr>
                <w:b/>
                <w:bCs/>
                <w:szCs w:val="18"/>
              </w:rPr>
            </w:pPr>
          </w:p>
        </w:tc>
        <w:tc>
          <w:tcPr>
            <w:tcW w:w="850" w:type="dxa"/>
            <w:shd w:val="clear" w:color="auto" w:fill="auto"/>
            <w:vAlign w:val="center"/>
          </w:tcPr>
          <w:p w14:paraId="4066F78E"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4933CE30" w14:textId="30A1EBE7" w:rsidR="0040297C" w:rsidRPr="004B6C8C" w:rsidRDefault="786807A2" w:rsidP="21E557C4">
            <w:pPr>
              <w:pStyle w:val="Tabletext"/>
              <w:rPr>
                <w:rFonts w:asciiTheme="majorHAnsi" w:hAnsiTheme="majorHAnsi" w:cstheme="majorBidi"/>
                <w:sz w:val="14"/>
                <w:szCs w:val="14"/>
              </w:rPr>
            </w:pPr>
            <w:r w:rsidRPr="21E557C4">
              <w:rPr>
                <w:rFonts w:asciiTheme="majorHAnsi" w:hAnsiTheme="majorHAnsi" w:cstheme="majorBidi"/>
                <w:sz w:val="14"/>
                <w:szCs w:val="14"/>
              </w:rPr>
              <w:t xml:space="preserve">Lot </w:t>
            </w:r>
            <w:r w:rsidR="1FEEF62F" w:rsidRPr="21E557C4">
              <w:rPr>
                <w:rFonts w:asciiTheme="majorHAnsi" w:hAnsiTheme="majorHAnsi" w:cstheme="majorBidi"/>
                <w:sz w:val="14"/>
                <w:szCs w:val="14"/>
              </w:rPr>
              <w:t>Map</w:t>
            </w:r>
          </w:p>
        </w:tc>
      </w:tr>
      <w:tr w:rsidR="00030E46" w:rsidRPr="00741190" w14:paraId="6AA26C97" w14:textId="77777777" w:rsidTr="028E53E9">
        <w:trPr>
          <w:trHeight w:val="227"/>
        </w:trPr>
        <w:tc>
          <w:tcPr>
            <w:tcW w:w="559" w:type="dxa"/>
            <w:shd w:val="clear" w:color="auto" w:fill="auto"/>
            <w:vAlign w:val="center"/>
          </w:tcPr>
          <w:p w14:paraId="5759803B" w14:textId="29B70699" w:rsidR="0040297C" w:rsidRPr="004B6C8C" w:rsidRDefault="0040297C" w:rsidP="00A9655D">
            <w:pPr>
              <w:pStyle w:val="SymalTableBody"/>
              <w:spacing w:before="20" w:after="20"/>
              <w:rPr>
                <w:b/>
                <w:bCs/>
                <w:sz w:val="16"/>
                <w:szCs w:val="16"/>
              </w:rPr>
            </w:pPr>
            <w:r>
              <w:rPr>
                <w:b/>
                <w:bCs/>
                <w:sz w:val="16"/>
                <w:szCs w:val="16"/>
              </w:rPr>
              <w:t>1.</w:t>
            </w:r>
            <w:r w:rsidR="00904571">
              <w:rPr>
                <w:b/>
                <w:bCs/>
                <w:sz w:val="16"/>
                <w:szCs w:val="16"/>
              </w:rPr>
              <w:t>2</w:t>
            </w:r>
          </w:p>
        </w:tc>
        <w:tc>
          <w:tcPr>
            <w:tcW w:w="2231" w:type="dxa"/>
            <w:shd w:val="clear" w:color="auto" w:fill="auto"/>
            <w:vAlign w:val="center"/>
          </w:tcPr>
          <w:p w14:paraId="1F992B35" w14:textId="1F33021D" w:rsidR="0040297C" w:rsidRPr="00EA0774" w:rsidRDefault="0040297C" w:rsidP="00A9655D">
            <w:pPr>
              <w:pStyle w:val="SymalTableBody"/>
              <w:spacing w:before="20" w:after="20"/>
              <w:rPr>
                <w:sz w:val="14"/>
                <w:szCs w:val="14"/>
              </w:rPr>
            </w:pPr>
            <w:r>
              <w:rPr>
                <w:rFonts w:asciiTheme="majorHAnsi" w:hAnsiTheme="majorHAnsi" w:cstheme="majorHAnsi"/>
                <w:sz w:val="14"/>
                <w:szCs w:val="14"/>
              </w:rPr>
              <w:t>Conformity with Drawings</w:t>
            </w:r>
          </w:p>
        </w:tc>
        <w:tc>
          <w:tcPr>
            <w:tcW w:w="786" w:type="dxa"/>
            <w:shd w:val="clear" w:color="auto" w:fill="auto"/>
            <w:vAlign w:val="center"/>
          </w:tcPr>
          <w:p w14:paraId="521B4693" w14:textId="5A923B3B" w:rsidR="0040297C" w:rsidRPr="00EA0774" w:rsidRDefault="0040297C" w:rsidP="00A9655D">
            <w:pPr>
              <w:pStyle w:val="SymalTableBody"/>
              <w:spacing w:before="20" w:after="20"/>
              <w:jc w:val="center"/>
              <w:rPr>
                <w:sz w:val="14"/>
                <w:szCs w:val="14"/>
              </w:rPr>
            </w:pPr>
            <w:r>
              <w:rPr>
                <w:rFonts w:asciiTheme="majorHAnsi" w:hAnsiTheme="majorHAnsi" w:cstheme="majorHAnsi"/>
                <w:sz w:val="14"/>
                <w:szCs w:val="14"/>
              </w:rPr>
              <w:t>VR Clause 701.10</w:t>
            </w:r>
          </w:p>
        </w:tc>
        <w:tc>
          <w:tcPr>
            <w:tcW w:w="4221" w:type="dxa"/>
            <w:shd w:val="clear" w:color="auto" w:fill="auto"/>
            <w:vAlign w:val="center"/>
          </w:tcPr>
          <w:p w14:paraId="0B6A3544" w14:textId="4FD124A3" w:rsidR="0040297C" w:rsidRDefault="0040297C" w:rsidP="21E557C4">
            <w:pPr>
              <w:pStyle w:val="SymalTableBody"/>
              <w:spacing w:before="20" w:after="20"/>
              <w:rPr>
                <w:rFonts w:asciiTheme="majorHAnsi" w:hAnsiTheme="majorHAnsi" w:cstheme="majorBidi"/>
                <w:sz w:val="14"/>
                <w:szCs w:val="14"/>
              </w:rPr>
            </w:pPr>
            <w:r w:rsidRPr="21E557C4">
              <w:rPr>
                <w:rFonts w:asciiTheme="majorHAnsi" w:hAnsiTheme="majorHAnsi" w:cstheme="majorBidi"/>
                <w:sz w:val="14"/>
                <w:szCs w:val="14"/>
              </w:rPr>
              <w:t>Prior to commencement of excavation for the culverts the Contractor shall confirm the position of all culverts with the Superintendent.</w:t>
            </w:r>
          </w:p>
          <w:p w14:paraId="0519356D" w14:textId="7FE06D40" w:rsidR="7A903759" w:rsidRDefault="7A903759" w:rsidP="028E53E9">
            <w:pPr>
              <w:pStyle w:val="SymalTableBody"/>
              <w:spacing w:before="20" w:after="20"/>
              <w:rPr>
                <w:rFonts w:asciiTheme="majorHAnsi" w:hAnsiTheme="majorHAnsi" w:cstheme="majorBidi"/>
                <w:sz w:val="14"/>
                <w:szCs w:val="14"/>
              </w:rPr>
            </w:pPr>
            <w:r w:rsidRPr="028E53E9">
              <w:rPr>
                <w:rFonts w:asciiTheme="majorHAnsi" w:hAnsiTheme="majorHAnsi" w:cstheme="majorBidi"/>
                <w:sz w:val="14"/>
                <w:szCs w:val="14"/>
              </w:rPr>
              <w:t>Survey set-</w:t>
            </w:r>
            <w:r w:rsidR="4D99AF4C" w:rsidRPr="028E53E9">
              <w:rPr>
                <w:rFonts w:asciiTheme="majorHAnsi" w:hAnsiTheme="majorHAnsi" w:cstheme="majorBidi"/>
                <w:sz w:val="14"/>
                <w:szCs w:val="14"/>
              </w:rPr>
              <w:t>out of pegs, line,</w:t>
            </w:r>
            <w:r w:rsidR="4C31B76D" w:rsidRPr="028E53E9">
              <w:rPr>
                <w:rFonts w:asciiTheme="majorHAnsi" w:hAnsiTheme="majorHAnsi" w:cstheme="majorBidi"/>
                <w:sz w:val="14"/>
                <w:szCs w:val="14"/>
              </w:rPr>
              <w:t xml:space="preserve"> and</w:t>
            </w:r>
            <w:r w:rsidR="4D99AF4C" w:rsidRPr="028E53E9">
              <w:rPr>
                <w:rFonts w:asciiTheme="majorHAnsi" w:hAnsiTheme="majorHAnsi" w:cstheme="majorBidi"/>
                <w:sz w:val="14"/>
                <w:szCs w:val="14"/>
              </w:rPr>
              <w:t xml:space="preserve"> height</w:t>
            </w:r>
            <w:r w:rsidRPr="028E53E9">
              <w:rPr>
                <w:rFonts w:asciiTheme="majorHAnsi" w:hAnsiTheme="majorHAnsi" w:cstheme="majorBidi"/>
                <w:sz w:val="14"/>
                <w:szCs w:val="14"/>
              </w:rPr>
              <w:t>.</w:t>
            </w:r>
          </w:p>
          <w:p w14:paraId="58297D7B" w14:textId="1316162C" w:rsidR="028E53E9" w:rsidRDefault="028E53E9" w:rsidP="028E53E9">
            <w:pPr>
              <w:pStyle w:val="SymalTableBody"/>
              <w:spacing w:before="20" w:after="20"/>
              <w:rPr>
                <w:rFonts w:asciiTheme="majorHAnsi" w:hAnsiTheme="majorHAnsi" w:cstheme="majorBidi"/>
                <w:sz w:val="14"/>
                <w:szCs w:val="14"/>
              </w:rPr>
            </w:pPr>
          </w:p>
          <w:p w14:paraId="059EDDB7" w14:textId="6267DE1B" w:rsidR="0040297C" w:rsidRPr="00EB6C8A" w:rsidRDefault="673E46E1" w:rsidP="00A9655D">
            <w:pPr>
              <w:pStyle w:val="SymalTableBody"/>
              <w:spacing w:before="20" w:after="20"/>
              <w:rPr>
                <w:rFonts w:asciiTheme="majorHAnsi" w:hAnsiTheme="majorHAnsi" w:cstheme="majorBidi"/>
                <w:b/>
                <w:bCs/>
                <w:sz w:val="14"/>
                <w:szCs w:val="14"/>
              </w:rPr>
            </w:pPr>
            <w:r w:rsidRPr="028E53E9">
              <w:rPr>
                <w:rFonts w:asciiTheme="majorHAnsi" w:hAnsiTheme="majorHAnsi" w:cstheme="majorBidi"/>
                <w:b/>
                <w:bCs/>
                <w:sz w:val="14"/>
                <w:szCs w:val="14"/>
              </w:rPr>
              <w:t>Drawing No. &amp; Rev:</w:t>
            </w:r>
            <w:r w:rsidR="3A47BED4" w:rsidRPr="028E53E9">
              <w:rPr>
                <w:rFonts w:asciiTheme="majorHAnsi" w:hAnsiTheme="majorHAnsi" w:cstheme="majorBidi"/>
                <w:b/>
                <w:bCs/>
                <w:sz w:val="14"/>
                <w:szCs w:val="14"/>
              </w:rPr>
              <w:t xml:space="preserve"> .....................................</w:t>
            </w:r>
          </w:p>
          <w:p w14:paraId="7B6F69B0" w14:textId="048A29E7" w:rsidR="00DF6544" w:rsidRPr="00EA0774" w:rsidRDefault="00DF6544" w:rsidP="00A9655D">
            <w:pPr>
              <w:pStyle w:val="SymalTableBody"/>
              <w:spacing w:before="20" w:after="20"/>
              <w:rPr>
                <w:sz w:val="14"/>
                <w:szCs w:val="14"/>
              </w:rPr>
            </w:pPr>
          </w:p>
        </w:tc>
        <w:tc>
          <w:tcPr>
            <w:tcW w:w="992" w:type="dxa"/>
            <w:shd w:val="clear" w:color="auto" w:fill="auto"/>
            <w:vAlign w:val="center"/>
          </w:tcPr>
          <w:p w14:paraId="7C36818A" w14:textId="0643463F" w:rsidR="0040297C" w:rsidRPr="00EA0774" w:rsidRDefault="0040297C" w:rsidP="00A9655D">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850" w:type="dxa"/>
            <w:shd w:val="clear" w:color="auto" w:fill="auto"/>
            <w:vAlign w:val="center"/>
          </w:tcPr>
          <w:p w14:paraId="52148E08" w14:textId="7EE7D974" w:rsidR="0040297C" w:rsidRPr="00EA0774" w:rsidRDefault="0040297C" w:rsidP="00A9655D">
            <w:pPr>
              <w:pStyle w:val="SymalTableBody"/>
              <w:spacing w:before="20" w:after="20"/>
              <w:jc w:val="center"/>
              <w:rPr>
                <w:sz w:val="14"/>
                <w:szCs w:val="14"/>
              </w:rPr>
            </w:pPr>
            <w:r>
              <w:rPr>
                <w:sz w:val="14"/>
                <w:szCs w:val="14"/>
              </w:rPr>
              <w:t>H</w:t>
            </w:r>
          </w:p>
        </w:tc>
        <w:tc>
          <w:tcPr>
            <w:tcW w:w="851" w:type="dxa"/>
            <w:shd w:val="clear" w:color="auto" w:fill="auto"/>
            <w:vAlign w:val="center"/>
          </w:tcPr>
          <w:p w14:paraId="7999AF54" w14:textId="2CAC2316" w:rsidR="0040297C" w:rsidRPr="00EA0774"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17E83556"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4252D59F" w14:textId="37D4B250" w:rsidR="0040297C" w:rsidRPr="00A17054" w:rsidRDefault="0040297C" w:rsidP="00A9655D">
            <w:pPr>
              <w:pStyle w:val="SymalTableBody"/>
              <w:spacing w:before="20" w:after="20"/>
              <w:jc w:val="center"/>
              <w:rPr>
                <w:szCs w:val="18"/>
              </w:rPr>
            </w:pPr>
            <w:r w:rsidRPr="00A17054">
              <w:rPr>
                <w:sz w:val="16"/>
                <w:szCs w:val="16"/>
              </w:rPr>
              <w:t>H</w:t>
            </w:r>
          </w:p>
        </w:tc>
        <w:tc>
          <w:tcPr>
            <w:tcW w:w="850" w:type="dxa"/>
            <w:shd w:val="clear" w:color="auto" w:fill="auto"/>
            <w:vAlign w:val="center"/>
          </w:tcPr>
          <w:p w14:paraId="7EDA0322"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0CB72F68" w14:textId="3A1D9D1A" w:rsidR="0040297C" w:rsidRPr="00741190" w:rsidRDefault="0040297C" w:rsidP="21E557C4">
            <w:pPr>
              <w:pStyle w:val="SymalTableBody"/>
              <w:spacing w:before="20" w:after="20"/>
            </w:pPr>
          </w:p>
        </w:tc>
      </w:tr>
      <w:tr w:rsidR="00030E46" w:rsidRPr="00741190" w14:paraId="652698F7" w14:textId="77777777" w:rsidTr="028E53E9">
        <w:trPr>
          <w:trHeight w:val="227"/>
        </w:trPr>
        <w:tc>
          <w:tcPr>
            <w:tcW w:w="559" w:type="dxa"/>
            <w:shd w:val="clear" w:color="auto" w:fill="auto"/>
            <w:vAlign w:val="center"/>
          </w:tcPr>
          <w:p w14:paraId="43451BE4" w14:textId="1C66F459" w:rsidR="0040297C" w:rsidRPr="004B6C8C" w:rsidRDefault="0040297C" w:rsidP="00A9655D">
            <w:pPr>
              <w:pStyle w:val="SymalTableBody"/>
              <w:spacing w:before="20" w:after="20"/>
              <w:rPr>
                <w:b/>
                <w:bCs/>
                <w:sz w:val="16"/>
                <w:szCs w:val="16"/>
              </w:rPr>
            </w:pPr>
            <w:r>
              <w:rPr>
                <w:b/>
                <w:bCs/>
                <w:sz w:val="16"/>
                <w:szCs w:val="16"/>
              </w:rPr>
              <w:t>1.</w:t>
            </w:r>
            <w:r w:rsidR="00904571">
              <w:rPr>
                <w:b/>
                <w:bCs/>
                <w:sz w:val="16"/>
                <w:szCs w:val="16"/>
              </w:rPr>
              <w:t>3</w:t>
            </w:r>
          </w:p>
        </w:tc>
        <w:tc>
          <w:tcPr>
            <w:tcW w:w="2231" w:type="dxa"/>
            <w:shd w:val="clear" w:color="auto" w:fill="auto"/>
            <w:vAlign w:val="center"/>
          </w:tcPr>
          <w:p w14:paraId="4D4BE0B4" w14:textId="60437C30" w:rsidR="0040297C" w:rsidRPr="00EA0774" w:rsidRDefault="0040297C" w:rsidP="00A9655D">
            <w:pPr>
              <w:pStyle w:val="SymalTableBody"/>
              <w:spacing w:before="20" w:after="20"/>
              <w:rPr>
                <w:sz w:val="14"/>
                <w:szCs w:val="14"/>
              </w:rPr>
            </w:pPr>
            <w:r>
              <w:rPr>
                <w:rFonts w:asciiTheme="majorHAnsi" w:hAnsiTheme="majorHAnsi" w:cstheme="majorHAnsi"/>
                <w:sz w:val="14"/>
                <w:szCs w:val="14"/>
              </w:rPr>
              <w:t>Acceptance of Box Culverts</w:t>
            </w:r>
          </w:p>
        </w:tc>
        <w:tc>
          <w:tcPr>
            <w:tcW w:w="786" w:type="dxa"/>
            <w:shd w:val="clear" w:color="auto" w:fill="auto"/>
            <w:vAlign w:val="center"/>
          </w:tcPr>
          <w:p w14:paraId="18003A1F" w14:textId="77777777"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VR Clause 619.22</w:t>
            </w:r>
          </w:p>
          <w:p w14:paraId="72F8424A" w14:textId="5BC27454" w:rsidR="0040297C" w:rsidRPr="00EA0774" w:rsidRDefault="0040297C" w:rsidP="00A9655D">
            <w:pPr>
              <w:pStyle w:val="SymalTableBody"/>
              <w:spacing w:before="20" w:after="20"/>
              <w:jc w:val="center"/>
              <w:rPr>
                <w:sz w:val="14"/>
                <w:szCs w:val="14"/>
              </w:rPr>
            </w:pPr>
            <w:r>
              <w:rPr>
                <w:rFonts w:asciiTheme="majorHAnsi" w:hAnsiTheme="majorHAnsi" w:cstheme="majorHAnsi"/>
                <w:sz w:val="14"/>
                <w:szCs w:val="14"/>
              </w:rPr>
              <w:t>IFC Drawings</w:t>
            </w:r>
          </w:p>
        </w:tc>
        <w:tc>
          <w:tcPr>
            <w:tcW w:w="4221" w:type="dxa"/>
            <w:shd w:val="clear" w:color="auto" w:fill="auto"/>
            <w:vAlign w:val="center"/>
          </w:tcPr>
          <w:p w14:paraId="4DF595C7" w14:textId="77777777"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 xml:space="preserve">Complies with specified requirements and free of defects and to drawing dimensions. </w:t>
            </w:r>
          </w:p>
          <w:p w14:paraId="004C1340" w14:textId="6FD5DFF8"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 xml:space="preserve">Box culverts shall be accepted </w:t>
            </w:r>
            <w:proofErr w:type="gramStart"/>
            <w:r>
              <w:rPr>
                <w:rFonts w:asciiTheme="majorHAnsi" w:hAnsiTheme="majorHAnsi" w:cstheme="majorHAnsi"/>
                <w:sz w:val="14"/>
                <w:szCs w:val="14"/>
              </w:rPr>
              <w:t>on the basis of</w:t>
            </w:r>
            <w:proofErr w:type="gramEnd"/>
            <w:r>
              <w:rPr>
                <w:rFonts w:asciiTheme="majorHAnsi" w:hAnsiTheme="majorHAnsi" w:cstheme="majorHAnsi"/>
                <w:sz w:val="14"/>
                <w:szCs w:val="14"/>
              </w:rPr>
              <w:t xml:space="preserve"> full compliance with the requirements of this section and AS 1597.1.</w:t>
            </w:r>
          </w:p>
          <w:p w14:paraId="018B2D3C" w14:textId="70C0A48C"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lastRenderedPageBreak/>
              <w:t>Documentation supporting the following quality requirements shall be submitted for review by the Superintendent upon transport and delivery of units to site:</w:t>
            </w:r>
          </w:p>
          <w:p w14:paraId="53530601" w14:textId="6375AD73" w:rsidR="0040297C" w:rsidRDefault="0040297C" w:rsidP="00A9655D">
            <w:pPr>
              <w:pStyle w:val="Tabletext"/>
              <w:ind w:left="182"/>
              <w:rPr>
                <w:rFonts w:asciiTheme="majorHAnsi" w:hAnsiTheme="majorHAnsi" w:cstheme="majorHAnsi"/>
                <w:sz w:val="14"/>
                <w:szCs w:val="14"/>
              </w:rPr>
            </w:pPr>
            <w:r>
              <w:rPr>
                <w:rFonts w:asciiTheme="majorHAnsi" w:hAnsiTheme="majorHAnsi" w:cstheme="majorHAnsi"/>
                <w:sz w:val="14"/>
                <w:szCs w:val="14"/>
              </w:rPr>
              <w:t>(a)  visual inspection</w:t>
            </w:r>
            <w:r w:rsidR="008B032A">
              <w:rPr>
                <w:rFonts w:asciiTheme="majorHAnsi" w:hAnsiTheme="majorHAnsi" w:cstheme="majorHAnsi"/>
                <w:sz w:val="14"/>
                <w:szCs w:val="14"/>
              </w:rPr>
              <w:t>.</w:t>
            </w:r>
          </w:p>
          <w:p w14:paraId="331A26D9" w14:textId="348BFBF4" w:rsidR="0040297C" w:rsidRDefault="0040297C" w:rsidP="00A9655D">
            <w:pPr>
              <w:pStyle w:val="Tabletext"/>
              <w:ind w:left="182"/>
              <w:rPr>
                <w:rFonts w:asciiTheme="majorHAnsi" w:hAnsiTheme="majorHAnsi" w:cstheme="majorHAnsi"/>
                <w:sz w:val="14"/>
                <w:szCs w:val="14"/>
              </w:rPr>
            </w:pPr>
            <w:r>
              <w:rPr>
                <w:rFonts w:asciiTheme="majorHAnsi" w:hAnsiTheme="majorHAnsi" w:cstheme="majorHAnsi"/>
                <w:sz w:val="14"/>
                <w:szCs w:val="14"/>
              </w:rPr>
              <w:t>(b)  dimensional measurements</w:t>
            </w:r>
            <w:r w:rsidR="008B032A">
              <w:rPr>
                <w:rFonts w:asciiTheme="majorHAnsi" w:hAnsiTheme="majorHAnsi" w:cstheme="majorHAnsi"/>
                <w:sz w:val="14"/>
                <w:szCs w:val="14"/>
              </w:rPr>
              <w:t>.</w:t>
            </w:r>
          </w:p>
          <w:p w14:paraId="0D5120C3" w14:textId="47214C37" w:rsidR="0040297C" w:rsidRDefault="0040297C" w:rsidP="00A9655D">
            <w:pPr>
              <w:pStyle w:val="Tabletext"/>
              <w:ind w:left="466" w:hanging="284"/>
              <w:rPr>
                <w:rFonts w:asciiTheme="majorHAnsi" w:hAnsiTheme="majorHAnsi" w:cstheme="majorHAnsi"/>
                <w:sz w:val="14"/>
                <w:szCs w:val="14"/>
              </w:rPr>
            </w:pPr>
            <w:r>
              <w:rPr>
                <w:rFonts w:asciiTheme="majorHAnsi" w:hAnsiTheme="majorHAnsi" w:cstheme="majorHAnsi"/>
                <w:sz w:val="14"/>
                <w:szCs w:val="14"/>
              </w:rPr>
              <w:t>(c)  measurements of clear cover to steel reinforcement</w:t>
            </w:r>
            <w:r w:rsidR="008B032A">
              <w:rPr>
                <w:rFonts w:asciiTheme="majorHAnsi" w:hAnsiTheme="majorHAnsi" w:cstheme="majorHAnsi"/>
                <w:sz w:val="14"/>
                <w:szCs w:val="14"/>
              </w:rPr>
              <w:t>.</w:t>
            </w:r>
          </w:p>
          <w:p w14:paraId="7C6288B7" w14:textId="489CEC47" w:rsidR="0040297C" w:rsidRDefault="0040297C" w:rsidP="00A9655D">
            <w:pPr>
              <w:pStyle w:val="Tabletext"/>
              <w:ind w:left="182"/>
              <w:rPr>
                <w:rFonts w:asciiTheme="majorHAnsi" w:hAnsiTheme="majorHAnsi" w:cstheme="majorHAnsi"/>
                <w:sz w:val="14"/>
                <w:szCs w:val="14"/>
              </w:rPr>
            </w:pPr>
            <w:r>
              <w:rPr>
                <w:rFonts w:asciiTheme="majorHAnsi" w:hAnsiTheme="majorHAnsi" w:cstheme="majorHAnsi"/>
                <w:sz w:val="14"/>
                <w:szCs w:val="14"/>
              </w:rPr>
              <w:t>(d)  concrete compressive strength test results</w:t>
            </w:r>
            <w:r w:rsidR="008B032A">
              <w:rPr>
                <w:rFonts w:asciiTheme="majorHAnsi" w:hAnsiTheme="majorHAnsi" w:cstheme="majorHAnsi"/>
                <w:sz w:val="14"/>
                <w:szCs w:val="14"/>
              </w:rPr>
              <w:t>.</w:t>
            </w:r>
          </w:p>
          <w:p w14:paraId="6B23D74E" w14:textId="08B95274" w:rsidR="0040297C" w:rsidRDefault="0040297C" w:rsidP="00A9655D">
            <w:pPr>
              <w:pStyle w:val="Tabletext"/>
              <w:ind w:left="182"/>
              <w:rPr>
                <w:rFonts w:asciiTheme="majorHAnsi" w:hAnsiTheme="majorHAnsi" w:cstheme="majorHAnsi"/>
                <w:sz w:val="14"/>
                <w:szCs w:val="14"/>
              </w:rPr>
            </w:pPr>
            <w:r>
              <w:rPr>
                <w:rFonts w:asciiTheme="majorHAnsi" w:hAnsiTheme="majorHAnsi" w:cstheme="majorHAnsi"/>
                <w:sz w:val="14"/>
                <w:szCs w:val="14"/>
              </w:rPr>
              <w:t>(e)  proof load test results</w:t>
            </w:r>
            <w:r w:rsidR="008B032A">
              <w:rPr>
                <w:rFonts w:asciiTheme="majorHAnsi" w:hAnsiTheme="majorHAnsi" w:cstheme="majorHAnsi"/>
                <w:sz w:val="14"/>
                <w:szCs w:val="14"/>
              </w:rPr>
              <w:t>.</w:t>
            </w:r>
          </w:p>
          <w:p w14:paraId="3913F61D" w14:textId="2FAFDB37" w:rsidR="0040297C" w:rsidRPr="00562EFE" w:rsidRDefault="0040297C" w:rsidP="00562EFE">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     (f)  ultimate load test results.</w:t>
            </w:r>
          </w:p>
        </w:tc>
        <w:tc>
          <w:tcPr>
            <w:tcW w:w="992" w:type="dxa"/>
            <w:shd w:val="clear" w:color="auto" w:fill="auto"/>
            <w:vAlign w:val="center"/>
          </w:tcPr>
          <w:p w14:paraId="4DD5794C" w14:textId="54B72191" w:rsidR="0040297C" w:rsidRPr="00EA0774" w:rsidRDefault="0040297C" w:rsidP="00A9655D">
            <w:pPr>
              <w:pStyle w:val="SymalTableBody"/>
              <w:spacing w:before="20" w:after="20"/>
              <w:jc w:val="center"/>
              <w:rPr>
                <w:sz w:val="14"/>
                <w:szCs w:val="14"/>
              </w:rPr>
            </w:pPr>
            <w:r w:rsidRPr="00EA0774">
              <w:rPr>
                <w:sz w:val="14"/>
                <w:szCs w:val="14"/>
              </w:rPr>
              <w:lastRenderedPageBreak/>
              <w:t xml:space="preserve">Prior to start of </w:t>
            </w:r>
            <w:r>
              <w:rPr>
                <w:sz w:val="14"/>
                <w:szCs w:val="14"/>
              </w:rPr>
              <w:t>w</w:t>
            </w:r>
            <w:r w:rsidRPr="00EA0774">
              <w:rPr>
                <w:sz w:val="14"/>
                <w:szCs w:val="14"/>
              </w:rPr>
              <w:t>orks</w:t>
            </w:r>
          </w:p>
        </w:tc>
        <w:tc>
          <w:tcPr>
            <w:tcW w:w="850" w:type="dxa"/>
            <w:shd w:val="clear" w:color="auto" w:fill="auto"/>
            <w:vAlign w:val="center"/>
          </w:tcPr>
          <w:p w14:paraId="119B2C62" w14:textId="772DA15E" w:rsidR="0040297C" w:rsidRPr="00EA0774" w:rsidRDefault="0040297C" w:rsidP="008B032A">
            <w:pPr>
              <w:pStyle w:val="SymalTableBody"/>
              <w:spacing w:before="20" w:after="20"/>
              <w:jc w:val="center"/>
              <w:rPr>
                <w:sz w:val="14"/>
                <w:szCs w:val="14"/>
              </w:rPr>
            </w:pPr>
            <w:r>
              <w:rPr>
                <w:sz w:val="14"/>
                <w:szCs w:val="14"/>
              </w:rPr>
              <w:t>I</w:t>
            </w:r>
          </w:p>
        </w:tc>
        <w:tc>
          <w:tcPr>
            <w:tcW w:w="851" w:type="dxa"/>
            <w:shd w:val="clear" w:color="auto" w:fill="auto"/>
            <w:vAlign w:val="center"/>
          </w:tcPr>
          <w:p w14:paraId="090261EE" w14:textId="252F5630" w:rsidR="0040297C" w:rsidRPr="00EA0774"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3B738F06"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5B42AF6C" w14:textId="30A35A43" w:rsidR="0040297C" w:rsidRPr="00741190" w:rsidRDefault="0040297C" w:rsidP="00A9655D">
            <w:pPr>
              <w:pStyle w:val="SymalTableBody"/>
              <w:spacing w:before="20" w:after="20"/>
              <w:jc w:val="center"/>
              <w:rPr>
                <w:b/>
                <w:bCs/>
                <w:szCs w:val="18"/>
              </w:rPr>
            </w:pPr>
            <w:r>
              <w:rPr>
                <w:sz w:val="16"/>
                <w:szCs w:val="16"/>
              </w:rPr>
              <w:t>R</w:t>
            </w:r>
          </w:p>
        </w:tc>
        <w:tc>
          <w:tcPr>
            <w:tcW w:w="850" w:type="dxa"/>
            <w:shd w:val="clear" w:color="auto" w:fill="auto"/>
            <w:vAlign w:val="center"/>
          </w:tcPr>
          <w:p w14:paraId="28509EB3"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3D452D14" w14:textId="590EB5F6" w:rsidR="0040297C" w:rsidRDefault="0C01586B" w:rsidP="028E53E9">
            <w:pPr>
              <w:pStyle w:val="Tabletext"/>
              <w:rPr>
                <w:rFonts w:asciiTheme="majorHAnsi" w:hAnsiTheme="majorHAnsi" w:cstheme="majorBidi"/>
                <w:sz w:val="14"/>
                <w:szCs w:val="14"/>
              </w:rPr>
            </w:pPr>
            <w:r w:rsidRPr="028E53E9">
              <w:rPr>
                <w:rFonts w:asciiTheme="majorHAnsi" w:hAnsiTheme="majorHAnsi" w:cstheme="majorBidi"/>
                <w:sz w:val="14"/>
                <w:szCs w:val="14"/>
              </w:rPr>
              <w:t>Incoming Material Checklist</w:t>
            </w:r>
            <w:r w:rsidRPr="617FB709">
              <w:rPr>
                <w:b/>
                <w:sz w:val="20"/>
                <w:szCs w:val="20"/>
              </w:rPr>
              <w:t xml:space="preserve"> </w:t>
            </w:r>
            <w:r w:rsidRPr="617FB709">
              <w:rPr>
                <w:rFonts w:cstheme="minorBidi"/>
                <w:b/>
                <w:sz w:val="28"/>
                <w:szCs w:val="28"/>
              </w:rPr>
              <w:t>□</w:t>
            </w:r>
            <w:r w:rsidRPr="617FB709">
              <w:rPr>
                <w:b/>
                <w:sz w:val="20"/>
                <w:szCs w:val="20"/>
              </w:rPr>
              <w:t xml:space="preserve">  </w:t>
            </w:r>
          </w:p>
          <w:p w14:paraId="41DFCC48" w14:textId="3BBC81F2" w:rsidR="0040297C" w:rsidRDefault="0040297C" w:rsidP="028E53E9">
            <w:pPr>
              <w:pStyle w:val="Tabletext"/>
              <w:rPr>
                <w:b/>
                <w:sz w:val="14"/>
                <w:szCs w:val="14"/>
              </w:rPr>
            </w:pPr>
            <w:r w:rsidRPr="028E53E9">
              <w:rPr>
                <w:rFonts w:asciiTheme="majorHAnsi" w:hAnsiTheme="majorHAnsi" w:cstheme="majorBidi"/>
                <w:sz w:val="14"/>
                <w:szCs w:val="14"/>
              </w:rPr>
              <w:t xml:space="preserve">Manufacturing </w:t>
            </w:r>
            <w:r w:rsidR="6A6A7586" w:rsidRPr="028E53E9">
              <w:rPr>
                <w:rFonts w:asciiTheme="majorHAnsi" w:hAnsiTheme="majorHAnsi" w:cstheme="majorBidi"/>
                <w:sz w:val="14"/>
                <w:szCs w:val="14"/>
              </w:rPr>
              <w:t xml:space="preserve">QA </w:t>
            </w:r>
            <w:r w:rsidRPr="028E53E9">
              <w:rPr>
                <w:rFonts w:asciiTheme="majorHAnsi" w:hAnsiTheme="majorHAnsi" w:cstheme="majorBidi"/>
                <w:sz w:val="14"/>
                <w:szCs w:val="14"/>
              </w:rPr>
              <w:t>Records</w:t>
            </w:r>
            <w:r w:rsidR="3E5D42F6" w:rsidRPr="028E53E9">
              <w:rPr>
                <w:rFonts w:asciiTheme="majorHAnsi" w:hAnsiTheme="majorHAnsi" w:cstheme="majorBidi"/>
                <w:sz w:val="14"/>
                <w:szCs w:val="14"/>
              </w:rPr>
              <w:t xml:space="preserve"> </w:t>
            </w:r>
            <w:r w:rsidRPr="028E53E9">
              <w:rPr>
                <w:rFonts w:cstheme="minorBidi"/>
                <w:b/>
                <w:sz w:val="28"/>
                <w:szCs w:val="28"/>
              </w:rPr>
              <w:t>□</w:t>
            </w:r>
            <w:r w:rsidRPr="028E53E9">
              <w:rPr>
                <w:b/>
                <w:sz w:val="20"/>
                <w:szCs w:val="20"/>
              </w:rPr>
              <w:t xml:space="preserve"> </w:t>
            </w:r>
          </w:p>
          <w:p w14:paraId="138B2D94" w14:textId="77777777" w:rsidR="0040297C" w:rsidRDefault="0040297C" w:rsidP="00A9655D">
            <w:pPr>
              <w:pStyle w:val="Tabletext"/>
              <w:rPr>
                <w:rFonts w:asciiTheme="majorHAnsi" w:hAnsiTheme="majorHAnsi" w:cstheme="majorHAnsi"/>
                <w:sz w:val="14"/>
                <w:szCs w:val="14"/>
              </w:rPr>
            </w:pPr>
          </w:p>
          <w:p w14:paraId="37E4F20C" w14:textId="3CCD6347" w:rsidR="0040297C" w:rsidRPr="00741190" w:rsidRDefault="0040297C" w:rsidP="028E53E9">
            <w:pPr>
              <w:pStyle w:val="Tabletext"/>
              <w:spacing w:before="20" w:after="20"/>
              <w:rPr>
                <w:rFonts w:cstheme="minorBidi"/>
                <w:b/>
                <w:sz w:val="28"/>
                <w:szCs w:val="28"/>
              </w:rPr>
            </w:pPr>
            <w:r w:rsidRPr="028E53E9">
              <w:rPr>
                <w:rFonts w:asciiTheme="majorHAnsi" w:hAnsiTheme="majorHAnsi" w:cstheme="majorBidi"/>
                <w:sz w:val="14"/>
                <w:szCs w:val="14"/>
              </w:rPr>
              <w:lastRenderedPageBreak/>
              <w:t>Manufactures Compliance Certificate</w:t>
            </w:r>
            <w:r w:rsidR="5B888039" w:rsidRPr="028E53E9">
              <w:rPr>
                <w:rFonts w:asciiTheme="majorHAnsi" w:hAnsiTheme="majorHAnsi" w:cstheme="majorBidi"/>
                <w:sz w:val="14"/>
                <w:szCs w:val="14"/>
              </w:rPr>
              <w:t xml:space="preserve"> </w:t>
            </w:r>
            <w:r w:rsidR="008B032A" w:rsidRPr="028E53E9">
              <w:rPr>
                <w:b/>
                <w:sz w:val="14"/>
                <w:szCs w:val="14"/>
              </w:rPr>
              <w:t xml:space="preserve"> </w:t>
            </w:r>
            <w:r w:rsidRPr="028E53E9">
              <w:rPr>
                <w:rFonts w:cstheme="minorBidi"/>
                <w:b/>
                <w:sz w:val="28"/>
                <w:szCs w:val="28"/>
              </w:rPr>
              <w:t>□</w:t>
            </w:r>
          </w:p>
        </w:tc>
      </w:tr>
      <w:tr w:rsidR="00030E46" w:rsidRPr="00741190" w14:paraId="4FBC4DE4" w14:textId="77777777" w:rsidTr="028E53E9">
        <w:trPr>
          <w:trHeight w:val="227"/>
        </w:trPr>
        <w:tc>
          <w:tcPr>
            <w:tcW w:w="559" w:type="dxa"/>
            <w:shd w:val="clear" w:color="auto" w:fill="auto"/>
            <w:vAlign w:val="center"/>
          </w:tcPr>
          <w:p w14:paraId="14E41BDC" w14:textId="64A799D7" w:rsidR="0040297C" w:rsidRPr="004B6C8C" w:rsidRDefault="0040297C" w:rsidP="00A9655D">
            <w:pPr>
              <w:pStyle w:val="SymalTableBody"/>
              <w:spacing w:before="20" w:after="20"/>
              <w:rPr>
                <w:b/>
                <w:bCs/>
                <w:sz w:val="16"/>
                <w:szCs w:val="16"/>
              </w:rPr>
            </w:pPr>
            <w:r>
              <w:rPr>
                <w:b/>
                <w:bCs/>
                <w:sz w:val="16"/>
                <w:szCs w:val="16"/>
              </w:rPr>
              <w:t>1.</w:t>
            </w:r>
            <w:r w:rsidR="008B2C5A">
              <w:rPr>
                <w:b/>
                <w:bCs/>
                <w:sz w:val="16"/>
                <w:szCs w:val="16"/>
              </w:rPr>
              <w:t>4</w:t>
            </w:r>
          </w:p>
        </w:tc>
        <w:tc>
          <w:tcPr>
            <w:tcW w:w="2231" w:type="dxa"/>
            <w:shd w:val="clear" w:color="auto" w:fill="auto"/>
            <w:vAlign w:val="center"/>
          </w:tcPr>
          <w:p w14:paraId="0E0D8783" w14:textId="1632F745" w:rsidR="0040297C" w:rsidRPr="00EA0774" w:rsidRDefault="0040297C" w:rsidP="00A9655D">
            <w:pPr>
              <w:pStyle w:val="SymalTableBody"/>
              <w:spacing w:before="20" w:after="20"/>
              <w:rPr>
                <w:sz w:val="14"/>
                <w:szCs w:val="14"/>
              </w:rPr>
            </w:pPr>
            <w:r>
              <w:rPr>
                <w:rFonts w:asciiTheme="majorHAnsi" w:hAnsiTheme="majorHAnsi" w:cstheme="majorHAnsi"/>
                <w:sz w:val="14"/>
                <w:szCs w:val="14"/>
              </w:rPr>
              <w:t>Acceptance of Precast Reinforced Concrete Pipes</w:t>
            </w:r>
          </w:p>
        </w:tc>
        <w:tc>
          <w:tcPr>
            <w:tcW w:w="786" w:type="dxa"/>
            <w:shd w:val="clear" w:color="auto" w:fill="auto"/>
            <w:vAlign w:val="center"/>
          </w:tcPr>
          <w:p w14:paraId="3C44C5C4" w14:textId="436E08FF"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VR Clause 701.05</w:t>
            </w:r>
          </w:p>
          <w:p w14:paraId="6DF66A07" w14:textId="09B930A9" w:rsidR="0048718F" w:rsidRDefault="0048718F" w:rsidP="00A9655D">
            <w:pPr>
              <w:pStyle w:val="Tabletext"/>
              <w:jc w:val="center"/>
              <w:rPr>
                <w:rFonts w:asciiTheme="majorHAnsi" w:hAnsiTheme="majorHAnsi" w:cstheme="majorHAnsi"/>
                <w:sz w:val="14"/>
                <w:szCs w:val="14"/>
              </w:rPr>
            </w:pPr>
            <w:r>
              <w:rPr>
                <w:rFonts w:asciiTheme="majorHAnsi" w:hAnsiTheme="majorHAnsi" w:cstheme="majorHAnsi"/>
                <w:sz w:val="14"/>
                <w:szCs w:val="14"/>
              </w:rPr>
              <w:t>VR 610</w:t>
            </w:r>
          </w:p>
          <w:p w14:paraId="3563D6C8" w14:textId="77777777" w:rsidR="0040297C" w:rsidRDefault="0040297C" w:rsidP="00A9655D">
            <w:pPr>
              <w:spacing w:before="60"/>
              <w:jc w:val="center"/>
              <w:rPr>
                <w:rFonts w:asciiTheme="majorHAnsi" w:eastAsia="Times New Roman" w:hAnsiTheme="majorHAnsi" w:cstheme="majorHAnsi"/>
                <w:bCs/>
                <w:sz w:val="14"/>
                <w:szCs w:val="14"/>
              </w:rPr>
            </w:pPr>
            <w:r>
              <w:rPr>
                <w:rFonts w:asciiTheme="majorHAnsi" w:eastAsia="Times New Roman" w:hAnsiTheme="majorHAnsi" w:cstheme="majorHAnsi"/>
                <w:bCs/>
                <w:sz w:val="14"/>
                <w:szCs w:val="14"/>
              </w:rPr>
              <w:t>IFC Drawing</w:t>
            </w:r>
          </w:p>
          <w:p w14:paraId="38147618" w14:textId="77777777" w:rsidR="0040297C" w:rsidRPr="00EA0774" w:rsidRDefault="0040297C" w:rsidP="00A9655D">
            <w:pPr>
              <w:pStyle w:val="SymalTableBody"/>
              <w:spacing w:before="20" w:after="20"/>
              <w:jc w:val="center"/>
              <w:rPr>
                <w:sz w:val="14"/>
                <w:szCs w:val="14"/>
              </w:rPr>
            </w:pPr>
          </w:p>
        </w:tc>
        <w:tc>
          <w:tcPr>
            <w:tcW w:w="4221" w:type="dxa"/>
            <w:shd w:val="clear" w:color="auto" w:fill="auto"/>
            <w:vAlign w:val="center"/>
          </w:tcPr>
          <w:p w14:paraId="523383AF" w14:textId="431B6445"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Precast reinforced concrete shall be of the required sizes and load classes as shown on the drawings.</w:t>
            </w:r>
          </w:p>
          <w:p w14:paraId="1D4F9FED" w14:textId="77777777"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Rubber ring joints shall comply with the requirements of AS 1646.</w:t>
            </w:r>
          </w:p>
          <w:p w14:paraId="12B7084A" w14:textId="0283E31F"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Aggregates for precast reinforced concrete pipes shall comply with the requirements of Section </w:t>
            </w:r>
            <w:r w:rsidR="006A7E1F">
              <w:rPr>
                <w:rFonts w:asciiTheme="majorHAnsi" w:hAnsiTheme="majorHAnsi" w:cstheme="majorHAnsi"/>
                <w:sz w:val="14"/>
                <w:szCs w:val="14"/>
              </w:rPr>
              <w:t>610</w:t>
            </w:r>
          </w:p>
          <w:p w14:paraId="6293568C" w14:textId="7617BA32" w:rsidR="0040297C" w:rsidRDefault="0040297C" w:rsidP="00A9655D">
            <w:pPr>
              <w:pStyle w:val="SymalTableBody"/>
              <w:spacing w:before="20" w:after="20"/>
              <w:rPr>
                <w:rFonts w:asciiTheme="majorHAnsi" w:hAnsiTheme="majorHAnsi" w:cstheme="majorHAnsi"/>
                <w:b/>
                <w:sz w:val="14"/>
                <w:szCs w:val="14"/>
                <w:u w:val="single"/>
              </w:rPr>
            </w:pPr>
            <w:r w:rsidRPr="00A9655D">
              <w:rPr>
                <w:rFonts w:asciiTheme="majorHAnsi" w:hAnsiTheme="majorHAnsi" w:cstheme="majorHAnsi"/>
                <w:bCs/>
                <w:sz w:val="14"/>
                <w:szCs w:val="14"/>
                <w:u w:val="single"/>
              </w:rPr>
              <w:t>Any steel reinforced concrete pipes that have cracks wider than 0.2 mm or are damaged prior to laying and backfilling shall be rejected</w:t>
            </w:r>
            <w:r w:rsidRPr="00A9655D">
              <w:rPr>
                <w:rFonts w:asciiTheme="majorHAnsi" w:hAnsiTheme="majorHAnsi" w:cstheme="majorHAnsi"/>
                <w:b/>
                <w:sz w:val="14"/>
                <w:szCs w:val="14"/>
                <w:u w:val="single"/>
              </w:rPr>
              <w:t>.</w:t>
            </w:r>
          </w:p>
          <w:p w14:paraId="0E088440" w14:textId="77777777" w:rsidR="00CD63E2" w:rsidRDefault="00CD63E2" w:rsidP="00A9655D">
            <w:pPr>
              <w:pStyle w:val="SymalTableBody"/>
              <w:spacing w:before="20" w:after="20"/>
              <w:rPr>
                <w:rFonts w:asciiTheme="majorHAnsi" w:hAnsiTheme="majorHAnsi" w:cstheme="majorHAnsi"/>
                <w:b/>
                <w:sz w:val="14"/>
                <w:szCs w:val="14"/>
                <w:u w:val="single"/>
              </w:rPr>
            </w:pPr>
          </w:p>
          <w:p w14:paraId="3EBC6829" w14:textId="77777777" w:rsidR="008B2C5A" w:rsidRPr="008B2C5A" w:rsidRDefault="008B2C5A" w:rsidP="008B2C5A">
            <w:pPr>
              <w:pStyle w:val="Tabletext"/>
              <w:rPr>
                <w:rFonts w:asciiTheme="majorHAnsi" w:hAnsiTheme="majorHAnsi" w:cstheme="majorHAnsi"/>
                <w:sz w:val="14"/>
                <w:szCs w:val="14"/>
                <w:lang w:val="en-US"/>
              </w:rPr>
            </w:pPr>
            <w:r w:rsidRPr="008B2C5A">
              <w:rPr>
                <w:rFonts w:asciiTheme="majorHAnsi" w:hAnsiTheme="majorHAnsi" w:cstheme="majorHAnsi"/>
                <w:sz w:val="14"/>
                <w:szCs w:val="14"/>
                <w:lang w:val="en-US"/>
              </w:rPr>
              <w:t>Documentation supporting the following quality requirements shall be submitted for review by the Superintendent upon transport and delivery of pipes to site:</w:t>
            </w:r>
          </w:p>
          <w:p w14:paraId="5CF4D139" w14:textId="782DAEEF" w:rsidR="008B2C5A" w:rsidRPr="008B2C5A" w:rsidRDefault="008B2C5A" w:rsidP="008B2C5A">
            <w:pPr>
              <w:pStyle w:val="Tabletext"/>
              <w:rPr>
                <w:rFonts w:asciiTheme="majorHAnsi" w:hAnsiTheme="majorHAnsi" w:cstheme="majorHAnsi"/>
                <w:sz w:val="14"/>
                <w:szCs w:val="14"/>
              </w:rPr>
            </w:pPr>
            <w:r w:rsidRPr="008B2C5A">
              <w:rPr>
                <w:rFonts w:asciiTheme="majorHAnsi" w:hAnsiTheme="majorHAnsi" w:cstheme="majorHAnsi"/>
                <w:sz w:val="14"/>
                <w:szCs w:val="14"/>
              </w:rPr>
              <w:t>(</w:t>
            </w:r>
            <w:proofErr w:type="spellStart"/>
            <w:r w:rsidRPr="008B2C5A">
              <w:rPr>
                <w:rFonts w:asciiTheme="majorHAnsi" w:hAnsiTheme="majorHAnsi" w:cstheme="majorHAnsi"/>
                <w:sz w:val="14"/>
                <w:szCs w:val="14"/>
              </w:rPr>
              <w:t>i</w:t>
            </w:r>
            <w:proofErr w:type="spellEnd"/>
            <w:r w:rsidRPr="008B2C5A">
              <w:rPr>
                <w:rFonts w:asciiTheme="majorHAnsi" w:hAnsiTheme="majorHAnsi" w:cstheme="majorHAnsi"/>
                <w:sz w:val="14"/>
                <w:szCs w:val="14"/>
              </w:rPr>
              <w:t>)</w:t>
            </w:r>
            <w:r>
              <w:rPr>
                <w:rFonts w:asciiTheme="majorHAnsi" w:hAnsiTheme="majorHAnsi" w:cstheme="majorHAnsi"/>
                <w:sz w:val="14"/>
                <w:szCs w:val="14"/>
              </w:rPr>
              <w:t xml:space="preserve"> </w:t>
            </w:r>
            <w:r w:rsidRPr="008B2C5A">
              <w:rPr>
                <w:rFonts w:asciiTheme="majorHAnsi" w:hAnsiTheme="majorHAnsi" w:cstheme="majorHAnsi"/>
                <w:sz w:val="14"/>
                <w:szCs w:val="14"/>
              </w:rPr>
              <w:t>visual inspection</w:t>
            </w:r>
          </w:p>
          <w:p w14:paraId="370B59DD" w14:textId="6CA45A6B" w:rsidR="008B2C5A" w:rsidRPr="008B2C5A" w:rsidRDefault="008B2C5A" w:rsidP="008B2C5A">
            <w:pPr>
              <w:pStyle w:val="Tabletext"/>
              <w:rPr>
                <w:rFonts w:asciiTheme="majorHAnsi" w:hAnsiTheme="majorHAnsi" w:cstheme="majorHAnsi"/>
                <w:sz w:val="14"/>
                <w:szCs w:val="14"/>
              </w:rPr>
            </w:pPr>
            <w:r w:rsidRPr="008B2C5A">
              <w:rPr>
                <w:rFonts w:asciiTheme="majorHAnsi" w:hAnsiTheme="majorHAnsi" w:cstheme="majorHAnsi"/>
                <w:sz w:val="14"/>
                <w:szCs w:val="14"/>
              </w:rPr>
              <w:t>(ii)</w:t>
            </w:r>
            <w:r>
              <w:rPr>
                <w:rFonts w:asciiTheme="majorHAnsi" w:hAnsiTheme="majorHAnsi" w:cstheme="majorHAnsi"/>
                <w:sz w:val="14"/>
                <w:szCs w:val="14"/>
              </w:rPr>
              <w:t xml:space="preserve"> </w:t>
            </w:r>
            <w:r w:rsidRPr="008B2C5A">
              <w:rPr>
                <w:rFonts w:asciiTheme="majorHAnsi" w:hAnsiTheme="majorHAnsi" w:cstheme="majorHAnsi"/>
                <w:sz w:val="14"/>
                <w:szCs w:val="14"/>
              </w:rPr>
              <w:t>proof load test results</w:t>
            </w:r>
          </w:p>
          <w:p w14:paraId="49834B2D" w14:textId="54850456" w:rsidR="008B2C5A" w:rsidRPr="008B2C5A" w:rsidRDefault="008B2C5A" w:rsidP="008B2C5A">
            <w:pPr>
              <w:pStyle w:val="Tabletext"/>
              <w:rPr>
                <w:rFonts w:asciiTheme="majorHAnsi" w:hAnsiTheme="majorHAnsi" w:cstheme="majorHAnsi"/>
                <w:sz w:val="14"/>
                <w:szCs w:val="14"/>
              </w:rPr>
            </w:pPr>
            <w:r w:rsidRPr="008B2C5A">
              <w:rPr>
                <w:rFonts w:asciiTheme="majorHAnsi" w:hAnsiTheme="majorHAnsi" w:cstheme="majorHAnsi"/>
                <w:sz w:val="14"/>
                <w:szCs w:val="14"/>
              </w:rPr>
              <w:t>(iii)</w:t>
            </w:r>
            <w:r>
              <w:rPr>
                <w:rFonts w:asciiTheme="majorHAnsi" w:hAnsiTheme="majorHAnsi" w:cstheme="majorHAnsi"/>
                <w:sz w:val="14"/>
                <w:szCs w:val="14"/>
              </w:rPr>
              <w:t xml:space="preserve"> </w:t>
            </w:r>
            <w:r w:rsidRPr="008B2C5A">
              <w:rPr>
                <w:rFonts w:asciiTheme="majorHAnsi" w:hAnsiTheme="majorHAnsi" w:cstheme="majorHAnsi"/>
                <w:sz w:val="14"/>
                <w:szCs w:val="14"/>
              </w:rPr>
              <w:t>ultimate load test results</w:t>
            </w:r>
          </w:p>
          <w:p w14:paraId="4CE7D9A9" w14:textId="22C401C7" w:rsidR="008B2C5A" w:rsidRPr="008B2C5A" w:rsidRDefault="008B2C5A" w:rsidP="008B2C5A">
            <w:pPr>
              <w:pStyle w:val="Tabletext"/>
              <w:rPr>
                <w:rFonts w:asciiTheme="majorHAnsi" w:hAnsiTheme="majorHAnsi" w:cstheme="majorHAnsi"/>
                <w:sz w:val="14"/>
                <w:szCs w:val="14"/>
              </w:rPr>
            </w:pPr>
            <w:r w:rsidRPr="008B2C5A">
              <w:rPr>
                <w:rFonts w:asciiTheme="majorHAnsi" w:hAnsiTheme="majorHAnsi" w:cstheme="majorHAnsi"/>
                <w:sz w:val="14"/>
                <w:szCs w:val="14"/>
              </w:rPr>
              <w:t>(iv)</w:t>
            </w:r>
            <w:r>
              <w:rPr>
                <w:rFonts w:asciiTheme="majorHAnsi" w:hAnsiTheme="majorHAnsi" w:cstheme="majorHAnsi"/>
                <w:sz w:val="14"/>
                <w:szCs w:val="14"/>
              </w:rPr>
              <w:t xml:space="preserve"> </w:t>
            </w:r>
            <w:r w:rsidRPr="008B2C5A">
              <w:rPr>
                <w:rFonts w:asciiTheme="majorHAnsi" w:hAnsiTheme="majorHAnsi" w:cstheme="majorHAnsi"/>
                <w:sz w:val="14"/>
                <w:szCs w:val="14"/>
              </w:rPr>
              <w:t>dimensional measurements</w:t>
            </w:r>
          </w:p>
          <w:p w14:paraId="7595F9D7" w14:textId="74E8D1C2" w:rsidR="008B2C5A" w:rsidRPr="008B2C5A" w:rsidRDefault="008B2C5A" w:rsidP="008B2C5A">
            <w:pPr>
              <w:pStyle w:val="Tabletext"/>
              <w:rPr>
                <w:rFonts w:asciiTheme="majorHAnsi" w:hAnsiTheme="majorHAnsi" w:cstheme="majorHAnsi"/>
                <w:sz w:val="14"/>
                <w:szCs w:val="14"/>
              </w:rPr>
            </w:pPr>
            <w:r w:rsidRPr="008B2C5A">
              <w:rPr>
                <w:rFonts w:asciiTheme="majorHAnsi" w:hAnsiTheme="majorHAnsi" w:cstheme="majorHAnsi"/>
                <w:sz w:val="14"/>
                <w:szCs w:val="14"/>
              </w:rPr>
              <w:t>(v)</w:t>
            </w:r>
            <w:r>
              <w:rPr>
                <w:rFonts w:asciiTheme="majorHAnsi" w:hAnsiTheme="majorHAnsi" w:cstheme="majorHAnsi"/>
                <w:sz w:val="14"/>
                <w:szCs w:val="14"/>
              </w:rPr>
              <w:t xml:space="preserve"> </w:t>
            </w:r>
            <w:r w:rsidRPr="008B2C5A">
              <w:rPr>
                <w:rFonts w:asciiTheme="majorHAnsi" w:hAnsiTheme="majorHAnsi" w:cstheme="majorHAnsi"/>
                <w:sz w:val="14"/>
                <w:szCs w:val="14"/>
              </w:rPr>
              <w:t>measurements of clear cover to steel reinforcement</w:t>
            </w:r>
          </w:p>
          <w:p w14:paraId="040357D4" w14:textId="17B691EF" w:rsidR="0040297C" w:rsidRPr="00562EFE" w:rsidRDefault="008B2C5A" w:rsidP="00562EFE">
            <w:pPr>
              <w:pStyle w:val="Tabletext"/>
              <w:rPr>
                <w:rFonts w:asciiTheme="majorHAnsi" w:hAnsiTheme="majorHAnsi" w:cstheme="majorHAnsi"/>
                <w:sz w:val="14"/>
                <w:szCs w:val="14"/>
              </w:rPr>
            </w:pPr>
            <w:r w:rsidRPr="008B2C5A">
              <w:rPr>
                <w:rFonts w:asciiTheme="majorHAnsi" w:hAnsiTheme="majorHAnsi" w:cstheme="majorHAnsi"/>
                <w:sz w:val="14"/>
                <w:szCs w:val="14"/>
              </w:rPr>
              <w:t>(vi)</w:t>
            </w:r>
            <w:r>
              <w:rPr>
                <w:rFonts w:asciiTheme="majorHAnsi" w:hAnsiTheme="majorHAnsi" w:cstheme="majorHAnsi"/>
                <w:sz w:val="14"/>
                <w:szCs w:val="14"/>
              </w:rPr>
              <w:t xml:space="preserve"> </w:t>
            </w:r>
            <w:r w:rsidRPr="008B2C5A">
              <w:rPr>
                <w:rFonts w:asciiTheme="majorHAnsi" w:hAnsiTheme="majorHAnsi" w:cstheme="majorHAnsi"/>
                <w:sz w:val="14"/>
                <w:szCs w:val="14"/>
              </w:rPr>
              <w:t>joint assembly.</w:t>
            </w:r>
          </w:p>
        </w:tc>
        <w:tc>
          <w:tcPr>
            <w:tcW w:w="992" w:type="dxa"/>
            <w:shd w:val="clear" w:color="auto" w:fill="auto"/>
            <w:vAlign w:val="center"/>
          </w:tcPr>
          <w:p w14:paraId="0F4D2314" w14:textId="5389294E" w:rsidR="0040297C" w:rsidRPr="00EA0774" w:rsidRDefault="0040297C" w:rsidP="00A9655D">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850" w:type="dxa"/>
            <w:shd w:val="clear" w:color="auto" w:fill="auto"/>
            <w:vAlign w:val="center"/>
          </w:tcPr>
          <w:p w14:paraId="1D477F8C" w14:textId="3B557479" w:rsidR="0040297C" w:rsidRPr="00EA0774" w:rsidRDefault="0040297C" w:rsidP="008B032A">
            <w:pPr>
              <w:pStyle w:val="SymalTableBody"/>
              <w:spacing w:before="20" w:after="20"/>
              <w:jc w:val="center"/>
              <w:rPr>
                <w:sz w:val="14"/>
                <w:szCs w:val="14"/>
              </w:rPr>
            </w:pPr>
            <w:r>
              <w:rPr>
                <w:sz w:val="14"/>
                <w:szCs w:val="14"/>
              </w:rPr>
              <w:t>I</w:t>
            </w:r>
          </w:p>
        </w:tc>
        <w:tc>
          <w:tcPr>
            <w:tcW w:w="851" w:type="dxa"/>
            <w:shd w:val="clear" w:color="auto" w:fill="auto"/>
            <w:vAlign w:val="center"/>
          </w:tcPr>
          <w:p w14:paraId="5AF4EA0F" w14:textId="7028D5F2" w:rsidR="0040297C" w:rsidRPr="00EA0774"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00C4373E"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0287E752" w14:textId="77777777" w:rsidR="0040297C" w:rsidRPr="00741190" w:rsidRDefault="0040297C" w:rsidP="00A9655D">
            <w:pPr>
              <w:pStyle w:val="SymalTableBody"/>
              <w:spacing w:before="20" w:after="20"/>
              <w:jc w:val="center"/>
              <w:rPr>
                <w:b/>
                <w:bCs/>
                <w:szCs w:val="18"/>
              </w:rPr>
            </w:pPr>
          </w:p>
        </w:tc>
        <w:tc>
          <w:tcPr>
            <w:tcW w:w="850" w:type="dxa"/>
            <w:shd w:val="clear" w:color="auto" w:fill="auto"/>
            <w:vAlign w:val="center"/>
          </w:tcPr>
          <w:p w14:paraId="32C1E532"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107B21D8" w14:textId="77777777" w:rsidR="00CD489C" w:rsidRDefault="00CD489C" w:rsidP="00CD489C">
            <w:pPr>
              <w:pStyle w:val="Tabletext"/>
              <w:rPr>
                <w:rFonts w:asciiTheme="majorHAnsi" w:hAnsiTheme="majorHAnsi" w:cstheme="majorBidi"/>
                <w:sz w:val="14"/>
                <w:szCs w:val="14"/>
              </w:rPr>
            </w:pPr>
            <w:r w:rsidRPr="028E53E9">
              <w:rPr>
                <w:rFonts w:asciiTheme="majorHAnsi" w:hAnsiTheme="majorHAnsi" w:cstheme="majorBidi"/>
                <w:sz w:val="14"/>
                <w:szCs w:val="14"/>
              </w:rPr>
              <w:t>Incoming Material Checklist</w:t>
            </w:r>
            <w:r w:rsidRPr="617FB709">
              <w:rPr>
                <w:b/>
                <w:sz w:val="20"/>
                <w:szCs w:val="20"/>
              </w:rPr>
              <w:t xml:space="preserve"> </w:t>
            </w:r>
            <w:r w:rsidRPr="617FB709">
              <w:rPr>
                <w:rFonts w:cstheme="minorBidi"/>
                <w:b/>
                <w:sz w:val="28"/>
                <w:szCs w:val="28"/>
              </w:rPr>
              <w:t>□</w:t>
            </w:r>
            <w:r w:rsidRPr="617FB709">
              <w:rPr>
                <w:b/>
                <w:sz w:val="20"/>
                <w:szCs w:val="20"/>
              </w:rPr>
              <w:t xml:space="preserve">  </w:t>
            </w:r>
          </w:p>
          <w:p w14:paraId="5ECE068D" w14:textId="77777777" w:rsidR="00CD489C" w:rsidRDefault="00CD489C" w:rsidP="00CD489C">
            <w:pPr>
              <w:pStyle w:val="Tabletext"/>
              <w:rPr>
                <w:b/>
                <w:sz w:val="14"/>
                <w:szCs w:val="14"/>
              </w:rPr>
            </w:pPr>
            <w:r w:rsidRPr="028E53E9">
              <w:rPr>
                <w:rFonts w:asciiTheme="majorHAnsi" w:hAnsiTheme="majorHAnsi" w:cstheme="majorBidi"/>
                <w:sz w:val="14"/>
                <w:szCs w:val="14"/>
              </w:rPr>
              <w:t xml:space="preserve">Manufacturing QA Records </w:t>
            </w:r>
            <w:r w:rsidRPr="028E53E9">
              <w:rPr>
                <w:rFonts w:cstheme="minorBidi"/>
                <w:b/>
                <w:sz w:val="28"/>
                <w:szCs w:val="28"/>
              </w:rPr>
              <w:t>□</w:t>
            </w:r>
            <w:r w:rsidRPr="028E53E9">
              <w:rPr>
                <w:b/>
                <w:sz w:val="20"/>
                <w:szCs w:val="20"/>
              </w:rPr>
              <w:t xml:space="preserve"> </w:t>
            </w:r>
          </w:p>
          <w:p w14:paraId="20DE3A13" w14:textId="77777777" w:rsidR="00CD489C" w:rsidRDefault="00CD489C" w:rsidP="00CD489C">
            <w:pPr>
              <w:pStyle w:val="Tabletext"/>
              <w:rPr>
                <w:rFonts w:asciiTheme="majorHAnsi" w:hAnsiTheme="majorHAnsi" w:cstheme="majorHAnsi"/>
                <w:sz w:val="14"/>
                <w:szCs w:val="14"/>
              </w:rPr>
            </w:pPr>
          </w:p>
          <w:p w14:paraId="28256B44" w14:textId="08669F22" w:rsidR="001F3C27" w:rsidRDefault="00CD489C" w:rsidP="00CD489C">
            <w:pPr>
              <w:pStyle w:val="Tabletext"/>
              <w:rPr>
                <w:b/>
                <w:bCs w:val="0"/>
                <w:sz w:val="14"/>
                <w:szCs w:val="14"/>
              </w:rPr>
            </w:pPr>
            <w:r w:rsidRPr="028E53E9">
              <w:rPr>
                <w:rFonts w:asciiTheme="majorHAnsi" w:hAnsiTheme="majorHAnsi" w:cstheme="majorBidi"/>
                <w:sz w:val="14"/>
                <w:szCs w:val="14"/>
              </w:rPr>
              <w:t xml:space="preserve">Manufactures Compliance Certificate </w:t>
            </w:r>
            <w:r w:rsidRPr="028E53E9">
              <w:rPr>
                <w:b/>
                <w:sz w:val="14"/>
                <w:szCs w:val="14"/>
              </w:rPr>
              <w:t xml:space="preserve"> </w:t>
            </w:r>
            <w:r w:rsidRPr="028E53E9">
              <w:rPr>
                <w:rFonts w:cstheme="minorBidi"/>
                <w:b/>
                <w:sz w:val="28"/>
                <w:szCs w:val="28"/>
              </w:rPr>
              <w:t>□</w:t>
            </w:r>
          </w:p>
          <w:p w14:paraId="579E93B4" w14:textId="77777777" w:rsidR="001F3C27" w:rsidRDefault="001F3C27" w:rsidP="00A9655D">
            <w:pPr>
              <w:pStyle w:val="Tabletext"/>
              <w:rPr>
                <w:b/>
                <w:bCs w:val="0"/>
                <w:sz w:val="14"/>
                <w:szCs w:val="14"/>
              </w:rPr>
            </w:pPr>
          </w:p>
          <w:p w14:paraId="6260FB0E" w14:textId="309F66C7" w:rsidR="00502856" w:rsidRDefault="00502856" w:rsidP="00A9655D">
            <w:pPr>
              <w:pStyle w:val="Tabletext"/>
              <w:rPr>
                <w:rFonts w:asciiTheme="majorHAnsi" w:hAnsiTheme="majorHAnsi" w:cstheme="majorHAnsi"/>
                <w:sz w:val="14"/>
                <w:szCs w:val="14"/>
              </w:rPr>
            </w:pPr>
          </w:p>
          <w:p w14:paraId="53827B2D" w14:textId="77777777" w:rsidR="0040297C" w:rsidRPr="00741190" w:rsidRDefault="0040297C" w:rsidP="00A9655D">
            <w:pPr>
              <w:pStyle w:val="Tabletext"/>
              <w:rPr>
                <w:b/>
                <w:bCs w:val="0"/>
                <w:szCs w:val="18"/>
              </w:rPr>
            </w:pPr>
          </w:p>
        </w:tc>
      </w:tr>
      <w:tr w:rsidR="00030E46" w:rsidRPr="00741190" w14:paraId="63FCDA04" w14:textId="77777777" w:rsidTr="028E53E9">
        <w:trPr>
          <w:trHeight w:val="227"/>
        </w:trPr>
        <w:tc>
          <w:tcPr>
            <w:tcW w:w="559" w:type="dxa"/>
            <w:shd w:val="clear" w:color="auto" w:fill="auto"/>
            <w:vAlign w:val="center"/>
          </w:tcPr>
          <w:p w14:paraId="06051293" w14:textId="3F05E0BA" w:rsidR="0040297C" w:rsidRPr="004B6C8C" w:rsidRDefault="0040297C" w:rsidP="00A9655D">
            <w:pPr>
              <w:pStyle w:val="SymalTableBody"/>
              <w:spacing w:before="20" w:after="20"/>
              <w:rPr>
                <w:b/>
                <w:bCs/>
                <w:sz w:val="16"/>
                <w:szCs w:val="16"/>
              </w:rPr>
            </w:pPr>
            <w:r>
              <w:rPr>
                <w:b/>
                <w:bCs/>
                <w:sz w:val="16"/>
                <w:szCs w:val="16"/>
              </w:rPr>
              <w:t>1.</w:t>
            </w:r>
            <w:r w:rsidR="003971F4">
              <w:rPr>
                <w:b/>
                <w:bCs/>
                <w:sz w:val="16"/>
                <w:szCs w:val="16"/>
              </w:rPr>
              <w:t>5</w:t>
            </w:r>
          </w:p>
        </w:tc>
        <w:tc>
          <w:tcPr>
            <w:tcW w:w="2231" w:type="dxa"/>
            <w:shd w:val="clear" w:color="auto" w:fill="auto"/>
            <w:vAlign w:val="center"/>
          </w:tcPr>
          <w:p w14:paraId="0BA656B7" w14:textId="45808348" w:rsidR="0040297C" w:rsidRPr="00EA0774" w:rsidRDefault="0040297C" w:rsidP="00A9655D">
            <w:pPr>
              <w:pStyle w:val="SymalTableBody"/>
              <w:spacing w:before="20" w:after="20"/>
              <w:rPr>
                <w:sz w:val="14"/>
                <w:szCs w:val="14"/>
              </w:rPr>
            </w:pPr>
            <w:r>
              <w:rPr>
                <w:rFonts w:asciiTheme="majorHAnsi" w:hAnsiTheme="majorHAnsi" w:cstheme="majorHAnsi"/>
                <w:sz w:val="14"/>
                <w:szCs w:val="14"/>
              </w:rPr>
              <w:t>Bedding and Backfill Materials</w:t>
            </w:r>
          </w:p>
        </w:tc>
        <w:tc>
          <w:tcPr>
            <w:tcW w:w="786" w:type="dxa"/>
            <w:shd w:val="clear" w:color="auto" w:fill="auto"/>
            <w:vAlign w:val="center"/>
          </w:tcPr>
          <w:p w14:paraId="6E394D93" w14:textId="6437FCDE"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VR Clause 701.09(</w:t>
            </w:r>
            <w:r w:rsidR="00B53B5D">
              <w:rPr>
                <w:rFonts w:asciiTheme="majorHAnsi" w:hAnsiTheme="majorHAnsi" w:cstheme="majorHAnsi"/>
                <w:sz w:val="14"/>
                <w:szCs w:val="14"/>
              </w:rPr>
              <w:t>d</w:t>
            </w:r>
            <w:r>
              <w:rPr>
                <w:rFonts w:asciiTheme="majorHAnsi" w:hAnsiTheme="majorHAnsi" w:cstheme="majorHAnsi"/>
                <w:sz w:val="14"/>
                <w:szCs w:val="14"/>
              </w:rPr>
              <w:t>)</w:t>
            </w:r>
          </w:p>
          <w:p w14:paraId="2761FA3D" w14:textId="0EA2AFD4"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Table 701.091</w:t>
            </w:r>
          </w:p>
          <w:p w14:paraId="07595EA2" w14:textId="15677305" w:rsidR="0040297C" w:rsidRPr="00EA0774" w:rsidRDefault="0040297C" w:rsidP="00A9655D">
            <w:pPr>
              <w:pStyle w:val="SymalTableBody"/>
              <w:spacing w:before="20" w:after="20"/>
              <w:jc w:val="center"/>
              <w:rPr>
                <w:sz w:val="14"/>
                <w:szCs w:val="14"/>
              </w:rPr>
            </w:pPr>
            <w:r>
              <w:rPr>
                <w:rFonts w:asciiTheme="majorHAnsi" w:hAnsiTheme="majorHAnsi" w:cstheme="majorHAnsi"/>
                <w:sz w:val="14"/>
                <w:szCs w:val="14"/>
              </w:rPr>
              <w:t>Table 701.092</w:t>
            </w:r>
          </w:p>
        </w:tc>
        <w:tc>
          <w:tcPr>
            <w:tcW w:w="4221" w:type="dxa"/>
            <w:shd w:val="clear" w:color="auto" w:fill="auto"/>
            <w:vAlign w:val="center"/>
          </w:tcPr>
          <w:p w14:paraId="0A903084" w14:textId="53A7EFFD" w:rsidR="0040297C" w:rsidRPr="00D87DCD" w:rsidRDefault="0040297C" w:rsidP="00D87DCD">
            <w:pPr>
              <w:pStyle w:val="SymalTableBody"/>
              <w:spacing w:before="20" w:after="20"/>
              <w:rPr>
                <w:rFonts w:asciiTheme="majorHAnsi" w:hAnsiTheme="majorHAnsi" w:cstheme="majorHAnsi"/>
                <w:bCs/>
                <w:sz w:val="14"/>
                <w:szCs w:val="14"/>
              </w:rPr>
            </w:pPr>
            <w:r>
              <w:rPr>
                <w:rFonts w:asciiTheme="majorHAnsi" w:hAnsiTheme="majorHAnsi" w:cstheme="majorHAnsi"/>
                <w:sz w:val="14"/>
                <w:szCs w:val="14"/>
              </w:rPr>
              <w:t xml:space="preserve">Materials used for bedding and selected/ordinary backfill shall be free from perishable matter and </w:t>
            </w:r>
            <w:r w:rsidRPr="00FE2E3D">
              <w:rPr>
                <w:rFonts w:asciiTheme="majorHAnsi" w:hAnsiTheme="majorHAnsi" w:cstheme="majorHAnsi"/>
                <w:b/>
                <w:sz w:val="14"/>
                <w:szCs w:val="14"/>
              </w:rPr>
              <w:t>lumps</w:t>
            </w:r>
            <w:r>
              <w:rPr>
                <w:rFonts w:asciiTheme="majorHAnsi" w:hAnsiTheme="majorHAnsi" w:cstheme="majorHAnsi"/>
                <w:sz w:val="14"/>
                <w:szCs w:val="14"/>
              </w:rPr>
              <w:t xml:space="preserve"> and </w:t>
            </w:r>
            <w:r w:rsidRPr="00543D40">
              <w:rPr>
                <w:rFonts w:asciiTheme="majorHAnsi" w:hAnsiTheme="majorHAnsi" w:cstheme="majorHAnsi"/>
                <w:sz w:val="14"/>
                <w:szCs w:val="14"/>
              </w:rPr>
              <w:t xml:space="preserve">shall conform </w:t>
            </w:r>
            <w:r w:rsidRPr="00A9655D">
              <w:rPr>
                <w:rFonts w:asciiTheme="majorHAnsi" w:hAnsiTheme="majorHAnsi" w:cstheme="majorHAnsi"/>
                <w:bCs/>
                <w:sz w:val="14"/>
                <w:szCs w:val="14"/>
              </w:rPr>
              <w:t>with the requirements of Table 701.0</w:t>
            </w:r>
            <w:r>
              <w:rPr>
                <w:rFonts w:asciiTheme="majorHAnsi" w:hAnsiTheme="majorHAnsi" w:cstheme="majorHAnsi"/>
                <w:bCs/>
                <w:sz w:val="14"/>
                <w:szCs w:val="14"/>
              </w:rPr>
              <w:t>9</w:t>
            </w:r>
            <w:r w:rsidRPr="00A9655D">
              <w:rPr>
                <w:rFonts w:asciiTheme="majorHAnsi" w:hAnsiTheme="majorHAnsi" w:cstheme="majorHAnsi"/>
                <w:bCs/>
                <w:sz w:val="14"/>
                <w:szCs w:val="14"/>
              </w:rPr>
              <w:t>1 and Table 701.0</w:t>
            </w:r>
            <w:r>
              <w:rPr>
                <w:rFonts w:asciiTheme="majorHAnsi" w:hAnsiTheme="majorHAnsi" w:cstheme="majorHAnsi"/>
                <w:bCs/>
                <w:sz w:val="14"/>
                <w:szCs w:val="14"/>
              </w:rPr>
              <w:t>9</w:t>
            </w:r>
            <w:r w:rsidRPr="00A9655D">
              <w:rPr>
                <w:rFonts w:asciiTheme="majorHAnsi" w:hAnsiTheme="majorHAnsi" w:cstheme="majorHAnsi"/>
                <w:bCs/>
                <w:sz w:val="14"/>
                <w:szCs w:val="14"/>
              </w:rPr>
              <w:t>2</w:t>
            </w:r>
            <w:r>
              <w:rPr>
                <w:rFonts w:asciiTheme="majorHAnsi" w:hAnsiTheme="majorHAnsi" w:cstheme="majorHAnsi"/>
                <w:bCs/>
                <w:sz w:val="14"/>
                <w:szCs w:val="14"/>
              </w:rPr>
              <w:t>.</w:t>
            </w:r>
          </w:p>
        </w:tc>
        <w:tc>
          <w:tcPr>
            <w:tcW w:w="992" w:type="dxa"/>
            <w:shd w:val="clear" w:color="auto" w:fill="auto"/>
            <w:vAlign w:val="center"/>
          </w:tcPr>
          <w:p w14:paraId="58A1EC40" w14:textId="6DFD370A" w:rsidR="0040297C" w:rsidRPr="00EA0774" w:rsidRDefault="0040297C" w:rsidP="00A9655D">
            <w:pPr>
              <w:pStyle w:val="SymalTableBody"/>
              <w:spacing w:before="20" w:after="20"/>
              <w:jc w:val="center"/>
              <w:rPr>
                <w:sz w:val="14"/>
                <w:szCs w:val="14"/>
              </w:rPr>
            </w:pPr>
            <w:r w:rsidRPr="00EA0774">
              <w:rPr>
                <w:sz w:val="14"/>
                <w:szCs w:val="14"/>
              </w:rPr>
              <w:t xml:space="preserve">Prior to start of </w:t>
            </w:r>
            <w:r>
              <w:rPr>
                <w:sz w:val="14"/>
                <w:szCs w:val="14"/>
              </w:rPr>
              <w:t>w</w:t>
            </w:r>
            <w:r w:rsidRPr="00EA0774">
              <w:rPr>
                <w:sz w:val="14"/>
                <w:szCs w:val="14"/>
              </w:rPr>
              <w:t>orks</w:t>
            </w:r>
          </w:p>
        </w:tc>
        <w:tc>
          <w:tcPr>
            <w:tcW w:w="850" w:type="dxa"/>
            <w:shd w:val="clear" w:color="auto" w:fill="auto"/>
            <w:vAlign w:val="center"/>
          </w:tcPr>
          <w:p w14:paraId="56F14B36" w14:textId="0A8AB3BC" w:rsidR="0040297C" w:rsidRPr="00EA0774" w:rsidRDefault="00FE2E6B" w:rsidP="00A9655D">
            <w:pPr>
              <w:pStyle w:val="SymalTableBody"/>
              <w:spacing w:before="20" w:after="20"/>
              <w:jc w:val="center"/>
              <w:rPr>
                <w:sz w:val="14"/>
                <w:szCs w:val="14"/>
              </w:rPr>
            </w:pPr>
            <w:r>
              <w:rPr>
                <w:sz w:val="14"/>
                <w:szCs w:val="14"/>
              </w:rPr>
              <w:t>R</w:t>
            </w:r>
          </w:p>
        </w:tc>
        <w:tc>
          <w:tcPr>
            <w:tcW w:w="851" w:type="dxa"/>
            <w:shd w:val="clear" w:color="auto" w:fill="auto"/>
            <w:vAlign w:val="center"/>
          </w:tcPr>
          <w:p w14:paraId="01DF290B" w14:textId="3583E0DD" w:rsidR="0040297C" w:rsidRPr="00EA0774"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693636FA"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5FE80690" w14:textId="77777777" w:rsidR="0040297C" w:rsidRPr="00741190" w:rsidRDefault="0040297C" w:rsidP="00A9655D">
            <w:pPr>
              <w:pStyle w:val="SymalTableBody"/>
              <w:spacing w:before="20" w:after="20"/>
              <w:jc w:val="center"/>
              <w:rPr>
                <w:b/>
                <w:bCs/>
                <w:szCs w:val="18"/>
              </w:rPr>
            </w:pPr>
          </w:p>
        </w:tc>
        <w:tc>
          <w:tcPr>
            <w:tcW w:w="850" w:type="dxa"/>
            <w:shd w:val="clear" w:color="auto" w:fill="auto"/>
            <w:vAlign w:val="center"/>
          </w:tcPr>
          <w:p w14:paraId="6350A8D0"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66AEA908" w14:textId="5D6054EA" w:rsidR="0040297C" w:rsidRDefault="0040297C" w:rsidP="00A9655D">
            <w:pPr>
              <w:pStyle w:val="Tabletext"/>
              <w:rPr>
                <w:rFonts w:asciiTheme="majorHAnsi" w:hAnsiTheme="majorHAnsi" w:cstheme="majorHAnsi"/>
                <w:sz w:val="14"/>
                <w:szCs w:val="14"/>
              </w:rPr>
            </w:pPr>
            <w:r>
              <w:rPr>
                <w:rFonts w:asciiTheme="majorHAnsi" w:hAnsiTheme="majorHAnsi" w:cstheme="majorHAnsi"/>
                <w:sz w:val="14"/>
                <w:szCs w:val="14"/>
              </w:rPr>
              <w:t>Bedding and Backfill Material Conformance</w:t>
            </w:r>
          </w:p>
          <w:p w14:paraId="55C856FF" w14:textId="16E8C3C8" w:rsidR="0040297C" w:rsidRDefault="0040297C" w:rsidP="00A9655D">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rFonts w:ascii="Arial" w:hAnsi="Arial" w:cs="Arial"/>
                <w:b/>
                <w:sz w:val="24"/>
                <w:szCs w:val="24"/>
              </w:rPr>
              <w:t>□</w:t>
            </w:r>
            <w:r>
              <w:rPr>
                <w:b/>
                <w:bCs w:val="0"/>
                <w:sz w:val="14"/>
                <w:szCs w:val="14"/>
              </w:rPr>
              <w:t xml:space="preserve">      </w:t>
            </w:r>
            <w:r w:rsidR="0009346D">
              <w:rPr>
                <w:b/>
                <w:sz w:val="14"/>
                <w:szCs w:val="14"/>
              </w:rPr>
              <w:t xml:space="preserve">N/A     </w:t>
            </w:r>
            <w:r w:rsidR="0009346D" w:rsidRPr="00064EBA">
              <w:rPr>
                <w:b/>
                <w:sz w:val="24"/>
                <w:szCs w:val="24"/>
              </w:rPr>
              <w:t xml:space="preserve"> </w:t>
            </w:r>
            <w:r w:rsidR="0009346D" w:rsidRPr="00064EBA">
              <w:rPr>
                <w:rFonts w:ascii="Arial" w:hAnsi="Arial" w:cs="Arial"/>
                <w:b/>
                <w:sz w:val="24"/>
                <w:szCs w:val="24"/>
              </w:rPr>
              <w:t>□</w:t>
            </w:r>
            <w:r>
              <w:rPr>
                <w:b/>
                <w:bCs w:val="0"/>
                <w:sz w:val="14"/>
                <w:szCs w:val="14"/>
              </w:rPr>
              <w:t xml:space="preserve">   </w:t>
            </w:r>
          </w:p>
          <w:p w14:paraId="55978BAB" w14:textId="05F29768" w:rsidR="0040297C" w:rsidRDefault="00C76E0B" w:rsidP="00A9655D">
            <w:pPr>
              <w:pStyle w:val="Tabletext"/>
              <w:rPr>
                <w:rFonts w:asciiTheme="majorHAnsi" w:hAnsiTheme="majorHAnsi" w:cstheme="majorHAnsi"/>
                <w:sz w:val="14"/>
                <w:szCs w:val="14"/>
              </w:rPr>
            </w:pPr>
            <w:r>
              <w:rPr>
                <w:rFonts w:asciiTheme="majorHAnsi" w:hAnsiTheme="majorHAnsi" w:cstheme="majorHAnsi"/>
                <w:sz w:val="14"/>
                <w:szCs w:val="14"/>
              </w:rPr>
              <w:t>Dockets</w:t>
            </w:r>
            <w:r w:rsidR="00D72C3B">
              <w:rPr>
                <w:rFonts w:asciiTheme="majorHAnsi" w:hAnsiTheme="majorHAnsi" w:cstheme="majorHAnsi"/>
                <w:sz w:val="14"/>
                <w:szCs w:val="14"/>
              </w:rPr>
              <w:t xml:space="preserve"> </w:t>
            </w:r>
            <w:r w:rsidR="00D72C3B" w:rsidRPr="00064EBA">
              <w:rPr>
                <w:rFonts w:cstheme="minorHAnsi"/>
                <w:b/>
                <w:sz w:val="28"/>
                <w:szCs w:val="28"/>
              </w:rPr>
              <w:t>□</w:t>
            </w:r>
          </w:p>
          <w:p w14:paraId="69313369" w14:textId="32CB3E3E" w:rsidR="0040297C" w:rsidRPr="00D87DCD" w:rsidRDefault="0040297C" w:rsidP="00D72C3B">
            <w:pPr>
              <w:pStyle w:val="SymalTableBody"/>
              <w:spacing w:before="20" w:after="20"/>
              <w:rPr>
                <w:rFonts w:asciiTheme="majorHAnsi" w:hAnsiTheme="majorHAnsi" w:cstheme="majorHAnsi"/>
                <w:sz w:val="12"/>
                <w:szCs w:val="12"/>
              </w:rPr>
            </w:pPr>
            <w:r w:rsidRPr="00D87DCD">
              <w:rPr>
                <w:rFonts w:asciiTheme="majorHAnsi" w:hAnsiTheme="majorHAnsi" w:cstheme="majorHAnsi"/>
                <w:sz w:val="12"/>
                <w:szCs w:val="12"/>
              </w:rPr>
              <w:t>NATA Test Report: Grading and PI.</w:t>
            </w:r>
            <w:r w:rsidRPr="00D87DCD">
              <w:rPr>
                <w:rFonts w:cstheme="minorHAnsi"/>
                <w:b/>
                <w:sz w:val="24"/>
                <w:szCs w:val="24"/>
              </w:rPr>
              <w:t>□</w:t>
            </w:r>
            <w:r w:rsidRPr="00D87DCD">
              <w:rPr>
                <w:b/>
                <w:szCs w:val="18"/>
              </w:rPr>
              <w:t xml:space="preserve"> </w:t>
            </w:r>
          </w:p>
          <w:p w14:paraId="28691FFC" w14:textId="01F2EAA2" w:rsidR="0040297C" w:rsidRPr="00741190" w:rsidRDefault="0040297C" w:rsidP="00A9655D">
            <w:pPr>
              <w:pStyle w:val="SymalTableBody"/>
              <w:spacing w:before="20" w:after="20"/>
              <w:rPr>
                <w:b/>
                <w:bCs/>
                <w:szCs w:val="18"/>
              </w:rPr>
            </w:pPr>
          </w:p>
        </w:tc>
      </w:tr>
      <w:tr w:rsidR="00901425" w:rsidRPr="003C1E57" w14:paraId="1733DE2D" w14:textId="77777777" w:rsidTr="028E53E9">
        <w:trPr>
          <w:trHeight w:val="227"/>
        </w:trPr>
        <w:tc>
          <w:tcPr>
            <w:tcW w:w="15309" w:type="dxa"/>
            <w:gridSpan w:val="11"/>
            <w:shd w:val="clear" w:color="auto" w:fill="000000" w:themeFill="text2"/>
            <w:vAlign w:val="bottom"/>
          </w:tcPr>
          <w:p w14:paraId="1F68EC09" w14:textId="542E1C23" w:rsidR="00901425" w:rsidRPr="003C1E57" w:rsidRDefault="00901425" w:rsidP="00901425">
            <w:pPr>
              <w:pStyle w:val="SymalTableBody"/>
              <w:spacing w:before="20" w:after="20"/>
              <w:ind w:right="1944"/>
              <w:rPr>
                <w:b/>
                <w:bCs/>
                <w:color w:val="FFFFFF" w:themeColor="background1"/>
                <w:sz w:val="20"/>
              </w:rPr>
            </w:pPr>
            <w:r>
              <w:rPr>
                <w:b/>
                <w:bCs/>
                <w:color w:val="FFFFFF" w:themeColor="background1"/>
                <w:sz w:val="20"/>
              </w:rPr>
              <w:t>2.0 Excavation</w:t>
            </w:r>
          </w:p>
        </w:tc>
      </w:tr>
      <w:tr w:rsidR="00030E46" w:rsidRPr="00741190" w14:paraId="4C418412" w14:textId="77777777" w:rsidTr="028E53E9">
        <w:trPr>
          <w:trHeight w:val="227"/>
        </w:trPr>
        <w:tc>
          <w:tcPr>
            <w:tcW w:w="559" w:type="dxa"/>
            <w:shd w:val="clear" w:color="auto" w:fill="auto"/>
            <w:vAlign w:val="center"/>
          </w:tcPr>
          <w:p w14:paraId="0AAC008C" w14:textId="67EE0F45" w:rsidR="0040297C" w:rsidRPr="004B6C8C" w:rsidRDefault="0040297C" w:rsidP="00A9655D">
            <w:pPr>
              <w:pStyle w:val="SymalTableBody"/>
              <w:spacing w:before="20" w:after="20"/>
              <w:rPr>
                <w:b/>
                <w:bCs/>
                <w:sz w:val="16"/>
                <w:szCs w:val="16"/>
              </w:rPr>
            </w:pPr>
            <w:r>
              <w:rPr>
                <w:b/>
                <w:bCs/>
                <w:sz w:val="16"/>
                <w:szCs w:val="16"/>
              </w:rPr>
              <w:lastRenderedPageBreak/>
              <w:t>2.1</w:t>
            </w:r>
          </w:p>
        </w:tc>
        <w:tc>
          <w:tcPr>
            <w:tcW w:w="2231" w:type="dxa"/>
            <w:shd w:val="clear" w:color="auto" w:fill="auto"/>
            <w:vAlign w:val="center"/>
          </w:tcPr>
          <w:p w14:paraId="039DBCF3" w14:textId="570AFA0B" w:rsidR="0040297C" w:rsidRPr="00D340C6" w:rsidRDefault="0040297C" w:rsidP="00A9655D">
            <w:pPr>
              <w:pStyle w:val="SymalTableBody"/>
              <w:spacing w:before="20" w:after="20"/>
              <w:rPr>
                <w:b/>
                <w:bCs/>
                <w:sz w:val="16"/>
                <w:szCs w:val="16"/>
              </w:rPr>
            </w:pPr>
            <w:r>
              <w:rPr>
                <w:rFonts w:asciiTheme="majorHAnsi" w:hAnsiTheme="majorHAnsi" w:cstheme="majorHAnsi"/>
                <w:sz w:val="14"/>
                <w:szCs w:val="14"/>
              </w:rPr>
              <w:t xml:space="preserve">Excavation of Trench </w:t>
            </w:r>
          </w:p>
        </w:tc>
        <w:tc>
          <w:tcPr>
            <w:tcW w:w="786" w:type="dxa"/>
            <w:shd w:val="clear" w:color="auto" w:fill="auto"/>
            <w:vAlign w:val="center"/>
          </w:tcPr>
          <w:p w14:paraId="5B276A09" w14:textId="1AA25805"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VR Clause 701.15</w:t>
            </w:r>
          </w:p>
          <w:p w14:paraId="121BC6A5" w14:textId="1E23A535"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Table 701.151</w:t>
            </w:r>
          </w:p>
          <w:p w14:paraId="4EA06695" w14:textId="77777777" w:rsidR="0040297C" w:rsidRDefault="0040297C" w:rsidP="00A9655D">
            <w:pPr>
              <w:pStyle w:val="Tabletext"/>
              <w:jc w:val="center"/>
              <w:rPr>
                <w:rFonts w:asciiTheme="majorHAnsi" w:hAnsiTheme="majorHAnsi" w:cstheme="majorHAnsi"/>
                <w:sz w:val="14"/>
                <w:szCs w:val="14"/>
              </w:rPr>
            </w:pPr>
            <w:r>
              <w:rPr>
                <w:rFonts w:asciiTheme="majorHAnsi" w:hAnsiTheme="majorHAnsi" w:cstheme="majorHAnsi"/>
                <w:sz w:val="14"/>
                <w:szCs w:val="14"/>
              </w:rPr>
              <w:t>701.08</w:t>
            </w:r>
          </w:p>
          <w:p w14:paraId="556671B2" w14:textId="41409F0D" w:rsidR="0040297C" w:rsidRPr="00D340C6" w:rsidRDefault="0040297C" w:rsidP="00A9655D">
            <w:pPr>
              <w:pStyle w:val="SymalTableBody"/>
              <w:spacing w:before="20" w:after="20"/>
              <w:jc w:val="center"/>
              <w:rPr>
                <w:sz w:val="16"/>
                <w:szCs w:val="16"/>
              </w:rPr>
            </w:pPr>
          </w:p>
        </w:tc>
        <w:tc>
          <w:tcPr>
            <w:tcW w:w="4221" w:type="dxa"/>
            <w:shd w:val="clear" w:color="auto" w:fill="auto"/>
            <w:vAlign w:val="center"/>
          </w:tcPr>
          <w:p w14:paraId="56249513" w14:textId="72E8515C" w:rsidR="0040297C" w:rsidRPr="00C72C85" w:rsidRDefault="0040297C" w:rsidP="00C72C85">
            <w:pPr>
              <w:pStyle w:val="Tabletext"/>
              <w:rPr>
                <w:rFonts w:asciiTheme="majorHAnsi" w:eastAsia="Arial" w:hAnsiTheme="majorHAnsi" w:cstheme="majorHAnsi"/>
                <w:szCs w:val="16"/>
              </w:rPr>
            </w:pPr>
            <w:r w:rsidRPr="3D07787B">
              <w:rPr>
                <w:rFonts w:asciiTheme="majorHAnsi" w:eastAsia="Arial" w:hAnsiTheme="majorHAnsi" w:cstheme="majorBidi"/>
                <w:sz w:val="14"/>
                <w:szCs w:val="14"/>
              </w:rPr>
              <w:t>Excavate to required</w:t>
            </w:r>
            <w:r w:rsidR="00293374">
              <w:rPr>
                <w:rFonts w:asciiTheme="majorHAnsi" w:eastAsia="Arial" w:hAnsiTheme="majorHAnsi" w:cstheme="majorBidi"/>
                <w:sz w:val="14"/>
                <w:szCs w:val="14"/>
              </w:rPr>
              <w:t xml:space="preserve"> </w:t>
            </w:r>
            <w:r w:rsidRPr="3D07787B">
              <w:rPr>
                <w:rFonts w:asciiTheme="majorHAnsi" w:eastAsia="Arial" w:hAnsiTheme="majorHAnsi" w:cstheme="majorBidi"/>
                <w:sz w:val="14"/>
                <w:szCs w:val="14"/>
              </w:rPr>
              <w:t>depth which shall also include excavation necessary to prepare the culvert/pit foundation &amp; provide the full specified depth of culvert/ pit bedding.  Maintain trench width clearances</w:t>
            </w:r>
            <w:r w:rsidR="7273F30D" w:rsidRPr="3D07787B">
              <w:rPr>
                <w:rFonts w:asciiTheme="majorHAnsi" w:eastAsia="Arial" w:hAnsiTheme="majorHAnsi" w:cstheme="majorBidi"/>
                <w:sz w:val="14"/>
                <w:szCs w:val="14"/>
              </w:rPr>
              <w:t xml:space="preserve"> as per table 701.151.</w:t>
            </w:r>
          </w:p>
        </w:tc>
        <w:tc>
          <w:tcPr>
            <w:tcW w:w="992" w:type="dxa"/>
            <w:shd w:val="clear" w:color="auto" w:fill="auto"/>
            <w:vAlign w:val="center"/>
          </w:tcPr>
          <w:p w14:paraId="5DCADABC" w14:textId="77777777" w:rsidR="0040297C" w:rsidRDefault="0040297C" w:rsidP="00A9655D">
            <w:pPr>
              <w:pStyle w:val="SymalTableBody"/>
              <w:spacing w:before="20" w:after="20"/>
              <w:rPr>
                <w:sz w:val="14"/>
                <w:szCs w:val="14"/>
              </w:rPr>
            </w:pPr>
          </w:p>
          <w:p w14:paraId="5477EAD1" w14:textId="4A363FC7" w:rsidR="0040297C" w:rsidRPr="004B6C8C" w:rsidRDefault="0040297C" w:rsidP="00A9655D">
            <w:pPr>
              <w:pStyle w:val="SymalTableBody"/>
              <w:spacing w:before="20" w:after="20"/>
              <w:jc w:val="center"/>
              <w:rPr>
                <w:sz w:val="14"/>
                <w:szCs w:val="14"/>
              </w:rPr>
            </w:pPr>
            <w:r>
              <w:rPr>
                <w:sz w:val="14"/>
                <w:szCs w:val="14"/>
              </w:rPr>
              <w:t>Each lot</w:t>
            </w:r>
          </w:p>
        </w:tc>
        <w:tc>
          <w:tcPr>
            <w:tcW w:w="850" w:type="dxa"/>
            <w:shd w:val="clear" w:color="auto" w:fill="auto"/>
            <w:vAlign w:val="center"/>
          </w:tcPr>
          <w:p w14:paraId="177849DE" w14:textId="5E58A0F7" w:rsidR="0040297C" w:rsidRPr="004B6C8C" w:rsidRDefault="0040297C" w:rsidP="00A9655D">
            <w:pPr>
              <w:pStyle w:val="SymalTableBody"/>
              <w:spacing w:before="20" w:after="20"/>
              <w:jc w:val="center"/>
              <w:rPr>
                <w:sz w:val="14"/>
                <w:szCs w:val="14"/>
              </w:rPr>
            </w:pPr>
            <w:r>
              <w:rPr>
                <w:sz w:val="14"/>
                <w:szCs w:val="14"/>
              </w:rPr>
              <w:t>I</w:t>
            </w:r>
          </w:p>
        </w:tc>
        <w:tc>
          <w:tcPr>
            <w:tcW w:w="851" w:type="dxa"/>
            <w:shd w:val="clear" w:color="auto" w:fill="auto"/>
            <w:vAlign w:val="center"/>
          </w:tcPr>
          <w:p w14:paraId="7CB67960" w14:textId="092407EA" w:rsidR="0040297C" w:rsidRPr="004B6C8C"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vAlign w:val="center"/>
          </w:tcPr>
          <w:p w14:paraId="7F5B4CC2"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6C9CBC77" w14:textId="77777777" w:rsidR="0040297C" w:rsidRPr="00741190" w:rsidRDefault="0040297C" w:rsidP="00A9655D">
            <w:pPr>
              <w:pStyle w:val="SymalTableBody"/>
              <w:spacing w:before="20" w:after="20"/>
              <w:jc w:val="center"/>
              <w:rPr>
                <w:b/>
                <w:bCs/>
                <w:szCs w:val="18"/>
              </w:rPr>
            </w:pPr>
          </w:p>
        </w:tc>
        <w:tc>
          <w:tcPr>
            <w:tcW w:w="850" w:type="dxa"/>
            <w:shd w:val="clear" w:color="auto" w:fill="auto"/>
            <w:vAlign w:val="center"/>
          </w:tcPr>
          <w:p w14:paraId="53F70329" w14:textId="77777777" w:rsidR="0040297C" w:rsidRPr="00741190" w:rsidRDefault="0040297C" w:rsidP="00A9655D">
            <w:pPr>
              <w:pStyle w:val="SymalTableBody"/>
              <w:spacing w:before="20" w:after="20"/>
              <w:jc w:val="center"/>
              <w:rPr>
                <w:b/>
                <w:bCs/>
                <w:szCs w:val="18"/>
              </w:rPr>
            </w:pPr>
          </w:p>
        </w:tc>
        <w:tc>
          <w:tcPr>
            <w:tcW w:w="2268" w:type="dxa"/>
            <w:shd w:val="clear" w:color="auto" w:fill="auto"/>
            <w:vAlign w:val="center"/>
          </w:tcPr>
          <w:p w14:paraId="46412552" w14:textId="5A5B7818" w:rsidR="0040297C" w:rsidRPr="00741190" w:rsidRDefault="0040297C" w:rsidP="00A9655D">
            <w:pPr>
              <w:pStyle w:val="SymalTableBody"/>
              <w:spacing w:before="20" w:after="20"/>
              <w:rPr>
                <w:b/>
                <w:bCs/>
                <w:szCs w:val="18"/>
              </w:rPr>
            </w:pPr>
          </w:p>
        </w:tc>
      </w:tr>
      <w:tr w:rsidR="00901425" w:rsidRPr="00741190" w14:paraId="121C1A6E" w14:textId="77777777" w:rsidTr="028E53E9">
        <w:trPr>
          <w:trHeight w:val="227"/>
        </w:trPr>
        <w:tc>
          <w:tcPr>
            <w:tcW w:w="15309" w:type="dxa"/>
            <w:gridSpan w:val="11"/>
            <w:shd w:val="clear" w:color="auto" w:fill="000000" w:themeFill="text2"/>
          </w:tcPr>
          <w:p w14:paraId="676E6B6D" w14:textId="69D43BFB" w:rsidR="00901425" w:rsidRPr="00A9655D" w:rsidRDefault="00901425" w:rsidP="00A9655D">
            <w:pPr>
              <w:pStyle w:val="SymalTableBody"/>
              <w:spacing w:before="20" w:after="20"/>
              <w:rPr>
                <w:b/>
                <w:bCs/>
                <w:sz w:val="20"/>
              </w:rPr>
            </w:pPr>
            <w:r>
              <w:rPr>
                <w:b/>
                <w:bCs/>
                <w:sz w:val="20"/>
              </w:rPr>
              <w:t xml:space="preserve">3.0 Bedding </w:t>
            </w:r>
          </w:p>
        </w:tc>
      </w:tr>
      <w:tr w:rsidR="00030E46" w:rsidRPr="00741190" w14:paraId="2A5AA2FB" w14:textId="77777777" w:rsidTr="028E53E9">
        <w:trPr>
          <w:trHeight w:val="227"/>
        </w:trPr>
        <w:tc>
          <w:tcPr>
            <w:tcW w:w="559" w:type="dxa"/>
            <w:shd w:val="clear" w:color="auto" w:fill="auto"/>
            <w:vAlign w:val="center"/>
          </w:tcPr>
          <w:p w14:paraId="5B2E9BAA" w14:textId="23EFFACF" w:rsidR="0040297C" w:rsidRPr="004B6C8C" w:rsidRDefault="0040297C" w:rsidP="00A9655D">
            <w:pPr>
              <w:pStyle w:val="SymalTableBody"/>
              <w:spacing w:before="20" w:after="20"/>
              <w:rPr>
                <w:b/>
                <w:bCs/>
                <w:sz w:val="16"/>
                <w:szCs w:val="16"/>
              </w:rPr>
            </w:pPr>
            <w:r>
              <w:rPr>
                <w:b/>
                <w:bCs/>
                <w:sz w:val="16"/>
                <w:szCs w:val="16"/>
              </w:rPr>
              <w:t>3.1</w:t>
            </w:r>
          </w:p>
        </w:tc>
        <w:tc>
          <w:tcPr>
            <w:tcW w:w="2231" w:type="dxa"/>
            <w:shd w:val="clear" w:color="auto" w:fill="auto"/>
            <w:vAlign w:val="center"/>
          </w:tcPr>
          <w:p w14:paraId="2616C152" w14:textId="5D14575B" w:rsidR="0040297C" w:rsidRPr="00D340C6" w:rsidRDefault="0040297C" w:rsidP="00A9655D">
            <w:pPr>
              <w:pStyle w:val="SymalTableBody"/>
              <w:spacing w:before="20" w:after="20"/>
              <w:rPr>
                <w:b/>
                <w:bCs/>
                <w:sz w:val="16"/>
                <w:szCs w:val="16"/>
              </w:rPr>
            </w:pPr>
            <w:r>
              <w:rPr>
                <w:rFonts w:asciiTheme="majorHAnsi" w:hAnsiTheme="majorHAnsi" w:cstheme="majorHAnsi"/>
                <w:sz w:val="14"/>
                <w:szCs w:val="14"/>
              </w:rPr>
              <w:t xml:space="preserve">Bedding – Layer Thickness </w:t>
            </w:r>
          </w:p>
        </w:tc>
        <w:tc>
          <w:tcPr>
            <w:tcW w:w="786" w:type="dxa"/>
            <w:shd w:val="clear" w:color="auto" w:fill="auto"/>
            <w:vAlign w:val="center"/>
          </w:tcPr>
          <w:p w14:paraId="5203243B" w14:textId="6FC0C38C" w:rsidR="0040297C" w:rsidRPr="00D340C6" w:rsidRDefault="0040297C" w:rsidP="00A17054">
            <w:pPr>
              <w:spacing w:before="60"/>
              <w:jc w:val="center"/>
              <w:rPr>
                <w:sz w:val="16"/>
                <w:szCs w:val="16"/>
              </w:rPr>
            </w:pPr>
            <w:r>
              <w:rPr>
                <w:rFonts w:asciiTheme="majorHAnsi" w:hAnsiTheme="majorHAnsi" w:cstheme="majorHAnsi"/>
                <w:sz w:val="14"/>
                <w:szCs w:val="14"/>
              </w:rPr>
              <w:t xml:space="preserve">VR Clause </w:t>
            </w:r>
            <w:r>
              <w:rPr>
                <w:rFonts w:asciiTheme="majorHAnsi" w:hAnsiTheme="majorHAnsi" w:cstheme="majorHAnsi"/>
                <w:bCs/>
                <w:sz w:val="14"/>
                <w:szCs w:val="14"/>
              </w:rPr>
              <w:t>701.16</w:t>
            </w:r>
          </w:p>
        </w:tc>
        <w:tc>
          <w:tcPr>
            <w:tcW w:w="4221" w:type="dxa"/>
            <w:shd w:val="clear" w:color="auto" w:fill="auto"/>
            <w:vAlign w:val="center"/>
          </w:tcPr>
          <w:p w14:paraId="5568979C" w14:textId="697B8EF9" w:rsidR="0040297C" w:rsidRDefault="0040297C" w:rsidP="3D07787B">
            <w:pPr>
              <w:pStyle w:val="Tabletext"/>
              <w:rPr>
                <w:rFonts w:asciiTheme="majorHAnsi" w:eastAsiaTheme="minorEastAsia" w:hAnsiTheme="majorHAnsi" w:cstheme="majorBidi"/>
                <w:sz w:val="14"/>
                <w:szCs w:val="14"/>
                <w:lang w:val="en-US"/>
              </w:rPr>
            </w:pPr>
            <w:r w:rsidRPr="3D07787B">
              <w:rPr>
                <w:rFonts w:asciiTheme="majorHAnsi" w:eastAsiaTheme="minorEastAsia" w:hAnsiTheme="majorHAnsi" w:cstheme="majorBidi"/>
                <w:sz w:val="14"/>
                <w:szCs w:val="14"/>
                <w:lang w:val="en-US"/>
              </w:rPr>
              <w:t xml:space="preserve">Bedding material shall be provided and placed for the full width of the trench or where the pipe/culvert is to be placed without trenching to a width 0.8 m greater </w:t>
            </w:r>
            <w:r w:rsidR="3B3A5470" w:rsidRPr="3D07787B">
              <w:rPr>
                <w:rFonts w:asciiTheme="majorHAnsi" w:eastAsiaTheme="minorEastAsia" w:hAnsiTheme="majorHAnsi" w:cstheme="majorBidi"/>
                <w:sz w:val="14"/>
                <w:szCs w:val="14"/>
                <w:lang w:val="en-US"/>
              </w:rPr>
              <w:t>than</w:t>
            </w:r>
            <w:r w:rsidRPr="3D07787B">
              <w:rPr>
                <w:rFonts w:asciiTheme="majorHAnsi" w:eastAsiaTheme="minorEastAsia" w:hAnsiTheme="majorHAnsi" w:cstheme="majorBidi"/>
                <w:sz w:val="14"/>
                <w:szCs w:val="14"/>
                <w:lang w:val="en-US"/>
              </w:rPr>
              <w:t xml:space="preserve"> the overall width of the culvert or pipe. Bedding to be the compacted thickness of</w:t>
            </w:r>
          </w:p>
          <w:p w14:paraId="288D2FD0" w14:textId="35763836" w:rsidR="0040297C" w:rsidRDefault="0040297C" w:rsidP="00A9655D">
            <w:pPr>
              <w:pStyle w:val="Tabletext"/>
              <w:rPr>
                <w:rFonts w:asciiTheme="majorHAnsi" w:eastAsiaTheme="minorHAnsi" w:hAnsiTheme="majorHAnsi" w:cstheme="majorHAnsi"/>
                <w:bCs w:val="0"/>
                <w:sz w:val="14"/>
                <w:szCs w:val="14"/>
                <w:lang w:val="en-US"/>
              </w:rPr>
            </w:pPr>
            <w:r>
              <w:rPr>
                <w:rFonts w:asciiTheme="majorHAnsi" w:eastAsiaTheme="minorHAnsi" w:hAnsiTheme="majorHAnsi" w:cstheme="majorHAnsi"/>
                <w:bCs w:val="0"/>
                <w:sz w:val="14"/>
                <w:szCs w:val="14"/>
                <w:lang w:val="en-US"/>
              </w:rPr>
              <w:t>100 mm where D &lt; 1500 mm</w:t>
            </w:r>
            <w:r w:rsidR="00F50191">
              <w:rPr>
                <w:rFonts w:asciiTheme="majorHAnsi" w:eastAsiaTheme="minorHAnsi" w:hAnsiTheme="majorHAnsi" w:cstheme="majorHAnsi"/>
                <w:bCs w:val="0"/>
                <w:sz w:val="14"/>
                <w:szCs w:val="14"/>
                <w:lang w:val="en-US"/>
              </w:rPr>
              <w:t xml:space="preserve"> </w:t>
            </w:r>
            <w:r w:rsidR="00F50191" w:rsidRPr="00064EBA">
              <w:rPr>
                <w:rFonts w:cstheme="minorHAnsi"/>
                <w:b/>
                <w:sz w:val="28"/>
                <w:szCs w:val="28"/>
              </w:rPr>
              <w:t>□</w:t>
            </w:r>
          </w:p>
          <w:p w14:paraId="742C5BA4" w14:textId="15764D04" w:rsidR="0040297C" w:rsidRDefault="0040297C" w:rsidP="00A9655D">
            <w:pPr>
              <w:spacing w:before="60"/>
              <w:rPr>
                <w:rFonts w:asciiTheme="majorHAnsi" w:hAnsiTheme="majorHAnsi" w:cstheme="majorHAnsi"/>
                <w:bCs/>
                <w:sz w:val="14"/>
                <w:szCs w:val="14"/>
              </w:rPr>
            </w:pPr>
            <w:r>
              <w:rPr>
                <w:rFonts w:asciiTheme="majorHAnsi" w:hAnsiTheme="majorHAnsi" w:cstheme="majorHAnsi"/>
                <w:bCs/>
                <w:sz w:val="14"/>
                <w:szCs w:val="14"/>
              </w:rPr>
              <w:t>200 mm where D ≥ 1500 mm</w:t>
            </w:r>
            <w:r w:rsidR="00F50191">
              <w:rPr>
                <w:rFonts w:asciiTheme="majorHAnsi" w:hAnsiTheme="majorHAnsi" w:cstheme="majorHAnsi"/>
                <w:bCs/>
                <w:sz w:val="14"/>
                <w:szCs w:val="14"/>
              </w:rPr>
              <w:t xml:space="preserve"> </w:t>
            </w:r>
            <w:r w:rsidR="00F50191" w:rsidRPr="00064EBA">
              <w:rPr>
                <w:rFonts w:cstheme="minorHAnsi"/>
                <w:b/>
                <w:bCs/>
                <w:sz w:val="28"/>
                <w:szCs w:val="28"/>
              </w:rPr>
              <w:t>□</w:t>
            </w:r>
          </w:p>
          <w:p w14:paraId="5D91C32C" w14:textId="6642FEE3" w:rsidR="0040297C" w:rsidRPr="00C72C85" w:rsidRDefault="0040297C" w:rsidP="00C72C85">
            <w:pPr>
              <w:spacing w:before="60"/>
              <w:rPr>
                <w:rFonts w:asciiTheme="majorHAnsi" w:hAnsiTheme="majorHAnsi" w:cstheme="majorHAnsi"/>
                <w:bCs/>
                <w:sz w:val="14"/>
                <w:szCs w:val="14"/>
              </w:rPr>
            </w:pPr>
            <w:r>
              <w:rPr>
                <w:rFonts w:asciiTheme="majorHAnsi" w:hAnsiTheme="majorHAnsi" w:cstheme="majorHAnsi"/>
                <w:sz w:val="14"/>
                <w:szCs w:val="14"/>
              </w:rPr>
              <w:t>(D = Pipe Diameter/Culvert Width)</w:t>
            </w:r>
          </w:p>
        </w:tc>
        <w:tc>
          <w:tcPr>
            <w:tcW w:w="992" w:type="dxa"/>
            <w:shd w:val="clear" w:color="auto" w:fill="auto"/>
            <w:vAlign w:val="center"/>
          </w:tcPr>
          <w:p w14:paraId="3C6700D2" w14:textId="77777777" w:rsidR="0040297C" w:rsidRDefault="0040297C" w:rsidP="00A9655D">
            <w:pPr>
              <w:pStyle w:val="SymalTableBody"/>
              <w:spacing w:before="20" w:after="20"/>
              <w:jc w:val="center"/>
              <w:rPr>
                <w:sz w:val="14"/>
                <w:szCs w:val="14"/>
              </w:rPr>
            </w:pPr>
          </w:p>
          <w:p w14:paraId="3BF963B9" w14:textId="56973FC5" w:rsidR="0040297C" w:rsidRPr="004B6C8C" w:rsidRDefault="0040297C" w:rsidP="00A9655D">
            <w:pPr>
              <w:pStyle w:val="SymalTableBody"/>
              <w:spacing w:before="20" w:after="20"/>
              <w:jc w:val="center"/>
              <w:rPr>
                <w:sz w:val="14"/>
                <w:szCs w:val="14"/>
              </w:rPr>
            </w:pPr>
            <w:r>
              <w:rPr>
                <w:sz w:val="14"/>
                <w:szCs w:val="14"/>
              </w:rPr>
              <w:t>Each lot</w:t>
            </w:r>
          </w:p>
        </w:tc>
        <w:tc>
          <w:tcPr>
            <w:tcW w:w="850" w:type="dxa"/>
            <w:shd w:val="clear" w:color="auto" w:fill="auto"/>
            <w:vAlign w:val="center"/>
          </w:tcPr>
          <w:p w14:paraId="697389E5" w14:textId="48DC4EA8" w:rsidR="0040297C" w:rsidRPr="004B6C8C" w:rsidRDefault="00E861EC" w:rsidP="00A9655D">
            <w:pPr>
              <w:pStyle w:val="SymalTableBody"/>
              <w:spacing w:before="20" w:after="20"/>
              <w:jc w:val="center"/>
              <w:rPr>
                <w:sz w:val="14"/>
                <w:szCs w:val="14"/>
              </w:rPr>
            </w:pPr>
            <w:r>
              <w:rPr>
                <w:sz w:val="14"/>
                <w:szCs w:val="14"/>
              </w:rPr>
              <w:t>R</w:t>
            </w:r>
          </w:p>
        </w:tc>
        <w:tc>
          <w:tcPr>
            <w:tcW w:w="851" w:type="dxa"/>
            <w:shd w:val="clear" w:color="auto" w:fill="auto"/>
            <w:vAlign w:val="center"/>
          </w:tcPr>
          <w:p w14:paraId="107E004B" w14:textId="489B854F" w:rsidR="0040297C" w:rsidRPr="004B6C8C"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tcPr>
          <w:p w14:paraId="4CDDF884"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7A93AD6D" w14:textId="12E8C83B" w:rsidR="0040297C" w:rsidRPr="00741190" w:rsidRDefault="0040297C" w:rsidP="00F74CAB">
            <w:pPr>
              <w:pStyle w:val="SymalTableBody"/>
              <w:spacing w:before="20" w:after="20"/>
              <w:jc w:val="center"/>
              <w:rPr>
                <w:b/>
                <w:bCs/>
                <w:szCs w:val="18"/>
              </w:rPr>
            </w:pPr>
          </w:p>
        </w:tc>
        <w:tc>
          <w:tcPr>
            <w:tcW w:w="850" w:type="dxa"/>
            <w:shd w:val="clear" w:color="auto" w:fill="auto"/>
          </w:tcPr>
          <w:p w14:paraId="0E7127C3" w14:textId="77777777" w:rsidR="0040297C" w:rsidRPr="00741190" w:rsidRDefault="0040297C" w:rsidP="00A9655D">
            <w:pPr>
              <w:pStyle w:val="SymalTableBody"/>
              <w:spacing w:before="20" w:after="20"/>
              <w:jc w:val="center"/>
              <w:rPr>
                <w:b/>
                <w:bCs/>
                <w:szCs w:val="18"/>
              </w:rPr>
            </w:pPr>
          </w:p>
        </w:tc>
        <w:tc>
          <w:tcPr>
            <w:tcW w:w="2268" w:type="dxa"/>
            <w:shd w:val="clear" w:color="auto" w:fill="auto"/>
          </w:tcPr>
          <w:p w14:paraId="260F0C61" w14:textId="77777777" w:rsidR="0040297C" w:rsidRPr="00741190" w:rsidRDefault="0040297C" w:rsidP="00A9655D">
            <w:pPr>
              <w:pStyle w:val="SymalTableBody"/>
              <w:spacing w:before="20" w:after="20"/>
              <w:rPr>
                <w:b/>
                <w:bCs/>
                <w:szCs w:val="18"/>
              </w:rPr>
            </w:pPr>
          </w:p>
        </w:tc>
      </w:tr>
      <w:tr w:rsidR="00030E46" w:rsidRPr="00741190" w14:paraId="183E3E03" w14:textId="77777777" w:rsidTr="028E53E9">
        <w:trPr>
          <w:trHeight w:val="227"/>
        </w:trPr>
        <w:tc>
          <w:tcPr>
            <w:tcW w:w="559" w:type="dxa"/>
            <w:shd w:val="clear" w:color="auto" w:fill="auto"/>
            <w:vAlign w:val="center"/>
          </w:tcPr>
          <w:p w14:paraId="722B446F" w14:textId="49823B72" w:rsidR="0040297C" w:rsidRPr="004B6C8C" w:rsidRDefault="0040297C" w:rsidP="00A9655D">
            <w:pPr>
              <w:pStyle w:val="SymalTableBody"/>
              <w:spacing w:before="20" w:after="20"/>
              <w:rPr>
                <w:b/>
                <w:bCs/>
                <w:sz w:val="16"/>
                <w:szCs w:val="16"/>
              </w:rPr>
            </w:pPr>
            <w:r>
              <w:rPr>
                <w:b/>
                <w:bCs/>
                <w:sz w:val="16"/>
                <w:szCs w:val="16"/>
              </w:rPr>
              <w:t>3.2</w:t>
            </w:r>
          </w:p>
        </w:tc>
        <w:tc>
          <w:tcPr>
            <w:tcW w:w="2231" w:type="dxa"/>
            <w:shd w:val="clear" w:color="auto" w:fill="auto"/>
            <w:vAlign w:val="center"/>
          </w:tcPr>
          <w:p w14:paraId="00ED3A95" w14:textId="3E57F655" w:rsidR="0040297C" w:rsidRPr="00D340C6" w:rsidRDefault="0040297C" w:rsidP="00A9655D">
            <w:pPr>
              <w:pStyle w:val="SymalTableBody"/>
              <w:spacing w:before="20" w:after="20"/>
              <w:rPr>
                <w:b/>
                <w:bCs/>
                <w:sz w:val="16"/>
                <w:szCs w:val="16"/>
              </w:rPr>
            </w:pPr>
            <w:r>
              <w:rPr>
                <w:rFonts w:asciiTheme="majorHAnsi" w:hAnsiTheme="majorHAnsi" w:cstheme="majorHAnsi"/>
                <w:sz w:val="14"/>
                <w:szCs w:val="14"/>
              </w:rPr>
              <w:t>Bedding Material - Compaction</w:t>
            </w:r>
          </w:p>
        </w:tc>
        <w:tc>
          <w:tcPr>
            <w:tcW w:w="786" w:type="dxa"/>
            <w:shd w:val="clear" w:color="auto" w:fill="auto"/>
            <w:vAlign w:val="center"/>
          </w:tcPr>
          <w:p w14:paraId="27ED1B1B" w14:textId="3ED20C44" w:rsidR="0040297C" w:rsidRPr="00D340C6" w:rsidRDefault="0040297C" w:rsidP="00A9655D">
            <w:pPr>
              <w:pStyle w:val="SymalTableBody"/>
              <w:spacing w:before="20" w:after="20"/>
              <w:jc w:val="center"/>
              <w:rPr>
                <w:sz w:val="16"/>
                <w:szCs w:val="16"/>
              </w:rPr>
            </w:pPr>
            <w:r>
              <w:rPr>
                <w:rFonts w:asciiTheme="majorHAnsi" w:hAnsiTheme="majorHAnsi" w:cstheme="majorHAnsi"/>
                <w:sz w:val="14"/>
                <w:szCs w:val="14"/>
              </w:rPr>
              <w:t>VR Clause 701.20</w:t>
            </w:r>
          </w:p>
        </w:tc>
        <w:tc>
          <w:tcPr>
            <w:tcW w:w="4221" w:type="dxa"/>
            <w:shd w:val="clear" w:color="auto" w:fill="auto"/>
            <w:vAlign w:val="center"/>
          </w:tcPr>
          <w:p w14:paraId="662700DD" w14:textId="76A6DE00" w:rsidR="0040297C" w:rsidRDefault="0040297C" w:rsidP="00A9655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Compact bedding to refusal using handheld mechanical equipment.</w:t>
            </w:r>
          </w:p>
          <w:p w14:paraId="7A9F9ABC" w14:textId="77777777" w:rsidR="0040297C" w:rsidRDefault="0040297C" w:rsidP="00A9655D">
            <w:pPr>
              <w:pStyle w:val="SymalTableBody"/>
              <w:spacing w:before="20" w:after="20"/>
              <w:rPr>
                <w:rFonts w:asciiTheme="majorHAnsi" w:hAnsiTheme="majorHAnsi" w:cstheme="majorHAnsi"/>
                <w:sz w:val="14"/>
                <w:szCs w:val="14"/>
              </w:rPr>
            </w:pPr>
          </w:p>
          <w:p w14:paraId="6F22A39D" w14:textId="6C17E04D" w:rsidR="0040297C" w:rsidRDefault="0040297C" w:rsidP="00A9655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If expansive</w:t>
            </w:r>
            <w:r w:rsidR="007A578A">
              <w:rPr>
                <w:rFonts w:asciiTheme="majorHAnsi" w:hAnsiTheme="majorHAnsi" w:cstheme="majorHAnsi"/>
                <w:sz w:val="14"/>
                <w:szCs w:val="14"/>
              </w:rPr>
              <w:t xml:space="preserve"> </w:t>
            </w:r>
            <w:r>
              <w:rPr>
                <w:rFonts w:asciiTheme="majorHAnsi" w:hAnsiTheme="majorHAnsi" w:cstheme="majorHAnsi"/>
                <w:sz w:val="14"/>
                <w:szCs w:val="14"/>
              </w:rPr>
              <w:t xml:space="preserve">(Swell greater than 2.5%) material is utilised as bedding material, then it shall be tested for its swell properties and have the following criteria met. </w:t>
            </w:r>
          </w:p>
          <w:p w14:paraId="044CC155" w14:textId="05F78AD9" w:rsidR="00641127" w:rsidRPr="00C72C85" w:rsidRDefault="0040297C" w:rsidP="00A17054">
            <w:pPr>
              <w:pStyle w:val="SymalTableBody"/>
              <w:numPr>
                <w:ilvl w:val="0"/>
                <w:numId w:val="39"/>
              </w:numPr>
              <w:spacing w:before="20" w:after="20"/>
              <w:rPr>
                <w:rFonts w:asciiTheme="majorHAnsi" w:hAnsiTheme="majorHAnsi" w:cstheme="majorHAnsi"/>
                <w:sz w:val="14"/>
                <w:szCs w:val="14"/>
              </w:rPr>
            </w:pPr>
            <w:r w:rsidRPr="00D744CD">
              <w:rPr>
                <w:rFonts w:asciiTheme="majorHAnsi" w:hAnsiTheme="majorHAnsi" w:cstheme="majorHAnsi"/>
                <w:sz w:val="14"/>
                <w:szCs w:val="14"/>
              </w:rPr>
              <w:t>Bedding material which has a swell equal to or greater than 2.5% shall be maintained at a mean moisture ratio of 92% between the completion of rolling and the placement of the overlying layer.</w:t>
            </w:r>
          </w:p>
          <w:p w14:paraId="4E359E65" w14:textId="49D3D311" w:rsidR="0040297C" w:rsidRPr="00D340C6" w:rsidRDefault="0040297C" w:rsidP="00A9655D">
            <w:pPr>
              <w:pStyle w:val="SymalTableBody"/>
              <w:spacing w:before="20" w:after="20"/>
              <w:rPr>
                <w:sz w:val="16"/>
                <w:szCs w:val="16"/>
              </w:rPr>
            </w:pPr>
          </w:p>
        </w:tc>
        <w:tc>
          <w:tcPr>
            <w:tcW w:w="992" w:type="dxa"/>
            <w:shd w:val="clear" w:color="auto" w:fill="auto"/>
            <w:vAlign w:val="center"/>
          </w:tcPr>
          <w:p w14:paraId="7BB1D6B5" w14:textId="77777777" w:rsidR="0040297C" w:rsidRDefault="0040297C" w:rsidP="00A9655D">
            <w:pPr>
              <w:pStyle w:val="SymalTableBody"/>
              <w:spacing w:before="20" w:after="20"/>
              <w:jc w:val="center"/>
              <w:rPr>
                <w:sz w:val="14"/>
                <w:szCs w:val="14"/>
              </w:rPr>
            </w:pPr>
          </w:p>
          <w:p w14:paraId="7A0A67E2" w14:textId="7086E838" w:rsidR="0040297C" w:rsidRPr="004B6C8C" w:rsidRDefault="0040297C" w:rsidP="00A9655D">
            <w:pPr>
              <w:pStyle w:val="SymalTableBody"/>
              <w:spacing w:before="20" w:after="20"/>
              <w:jc w:val="center"/>
              <w:rPr>
                <w:sz w:val="14"/>
                <w:szCs w:val="14"/>
              </w:rPr>
            </w:pPr>
            <w:r>
              <w:rPr>
                <w:sz w:val="14"/>
                <w:szCs w:val="14"/>
              </w:rPr>
              <w:t>Each lot</w:t>
            </w:r>
          </w:p>
        </w:tc>
        <w:tc>
          <w:tcPr>
            <w:tcW w:w="850" w:type="dxa"/>
            <w:shd w:val="clear" w:color="auto" w:fill="auto"/>
            <w:vAlign w:val="center"/>
          </w:tcPr>
          <w:p w14:paraId="7C4053DE" w14:textId="16FFC50A" w:rsidR="0040297C" w:rsidRPr="004B6C8C" w:rsidRDefault="0040297C" w:rsidP="00A9655D">
            <w:pPr>
              <w:pStyle w:val="SymalTableBody"/>
              <w:spacing w:before="20" w:after="20"/>
              <w:jc w:val="center"/>
              <w:rPr>
                <w:sz w:val="14"/>
                <w:szCs w:val="14"/>
              </w:rPr>
            </w:pPr>
            <w:r>
              <w:rPr>
                <w:sz w:val="14"/>
                <w:szCs w:val="14"/>
              </w:rPr>
              <w:t>I</w:t>
            </w:r>
          </w:p>
        </w:tc>
        <w:tc>
          <w:tcPr>
            <w:tcW w:w="851" w:type="dxa"/>
            <w:shd w:val="clear" w:color="auto" w:fill="auto"/>
            <w:vAlign w:val="center"/>
          </w:tcPr>
          <w:p w14:paraId="4ADE54C6" w14:textId="6D36D929" w:rsidR="0040297C" w:rsidRPr="004B6C8C" w:rsidRDefault="0040297C" w:rsidP="00A9655D">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tcPr>
          <w:p w14:paraId="4E6703C6" w14:textId="77777777" w:rsidR="0040297C" w:rsidRPr="00741190" w:rsidRDefault="0040297C" w:rsidP="00A9655D">
            <w:pPr>
              <w:pStyle w:val="SymalTableBody"/>
              <w:spacing w:before="20" w:after="20"/>
              <w:jc w:val="center"/>
              <w:rPr>
                <w:b/>
                <w:bCs/>
                <w:szCs w:val="18"/>
              </w:rPr>
            </w:pPr>
          </w:p>
        </w:tc>
        <w:tc>
          <w:tcPr>
            <w:tcW w:w="851" w:type="dxa"/>
            <w:shd w:val="clear" w:color="auto" w:fill="auto"/>
          </w:tcPr>
          <w:p w14:paraId="6108A695" w14:textId="77777777" w:rsidR="0040297C" w:rsidRPr="00741190" w:rsidRDefault="0040297C" w:rsidP="00A9655D">
            <w:pPr>
              <w:pStyle w:val="SymalTableBody"/>
              <w:spacing w:before="20" w:after="20"/>
              <w:jc w:val="center"/>
              <w:rPr>
                <w:b/>
                <w:bCs/>
                <w:szCs w:val="18"/>
              </w:rPr>
            </w:pPr>
          </w:p>
        </w:tc>
        <w:tc>
          <w:tcPr>
            <w:tcW w:w="850" w:type="dxa"/>
            <w:shd w:val="clear" w:color="auto" w:fill="auto"/>
          </w:tcPr>
          <w:p w14:paraId="23EB924C" w14:textId="77777777" w:rsidR="0040297C" w:rsidRPr="00741190" w:rsidRDefault="0040297C" w:rsidP="00A9655D">
            <w:pPr>
              <w:pStyle w:val="SymalTableBody"/>
              <w:spacing w:before="20" w:after="20"/>
              <w:jc w:val="center"/>
              <w:rPr>
                <w:b/>
                <w:bCs/>
                <w:szCs w:val="18"/>
              </w:rPr>
            </w:pPr>
          </w:p>
        </w:tc>
        <w:tc>
          <w:tcPr>
            <w:tcW w:w="2268" w:type="dxa"/>
            <w:shd w:val="clear" w:color="auto" w:fill="auto"/>
          </w:tcPr>
          <w:p w14:paraId="2EDFB0FB" w14:textId="77777777" w:rsidR="0040297C" w:rsidRDefault="0040297C" w:rsidP="00A9655D">
            <w:pPr>
              <w:pStyle w:val="SymalTableBody"/>
              <w:spacing w:before="20" w:after="20"/>
              <w:rPr>
                <w:rFonts w:asciiTheme="majorHAnsi" w:hAnsiTheme="majorHAnsi" w:cstheme="majorHAnsi"/>
                <w:sz w:val="14"/>
                <w:szCs w:val="14"/>
              </w:rPr>
            </w:pPr>
          </w:p>
          <w:p w14:paraId="1D1111E7" w14:textId="0F392215" w:rsidR="0040297C" w:rsidRDefault="0040297C" w:rsidP="00A9655D">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NATA Test Report: Swell</w:t>
            </w:r>
          </w:p>
          <w:p w14:paraId="70E6B6CF" w14:textId="20A48318" w:rsidR="0040297C" w:rsidRDefault="0040297C" w:rsidP="00A9655D">
            <w:pPr>
              <w:pStyle w:val="SymalTableBody"/>
              <w:spacing w:before="20" w:after="20"/>
              <w:rPr>
                <w:b/>
                <w:bCs/>
                <w:szCs w:val="18"/>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No</w:t>
            </w:r>
            <w:r w:rsidRPr="00064EBA">
              <w:rPr>
                <w:b/>
                <w:bCs/>
                <w:sz w:val="24"/>
                <w:szCs w:val="24"/>
              </w:rPr>
              <w:t xml:space="preserve"> </w:t>
            </w:r>
            <w:r w:rsidRPr="00064EBA">
              <w:rPr>
                <w:rFonts w:ascii="Arial" w:hAnsi="Arial" w:cs="Arial"/>
                <w:b/>
                <w:bCs/>
                <w:sz w:val="24"/>
                <w:szCs w:val="24"/>
              </w:rPr>
              <w:t>□</w:t>
            </w:r>
            <w:r>
              <w:rPr>
                <w:b/>
                <w:bCs/>
                <w:sz w:val="14"/>
                <w:szCs w:val="14"/>
              </w:rPr>
              <w:t xml:space="preserve">    </w:t>
            </w:r>
            <w:r w:rsidR="0009346D">
              <w:rPr>
                <w:b/>
                <w:bCs/>
                <w:sz w:val="14"/>
                <w:szCs w:val="14"/>
              </w:rPr>
              <w:t xml:space="preserve">N/A     </w:t>
            </w:r>
            <w:r w:rsidR="0009346D" w:rsidRPr="00064EBA">
              <w:rPr>
                <w:b/>
                <w:bCs/>
                <w:sz w:val="24"/>
                <w:szCs w:val="24"/>
              </w:rPr>
              <w:t xml:space="preserve"> </w:t>
            </w:r>
            <w:r w:rsidR="0009346D" w:rsidRPr="00064EBA">
              <w:rPr>
                <w:rFonts w:ascii="Arial" w:hAnsi="Arial" w:cs="Arial"/>
                <w:b/>
                <w:bCs/>
                <w:sz w:val="24"/>
                <w:szCs w:val="24"/>
              </w:rPr>
              <w:t>□</w:t>
            </w:r>
            <w:r>
              <w:rPr>
                <w:b/>
                <w:bCs/>
                <w:sz w:val="14"/>
                <w:szCs w:val="14"/>
              </w:rPr>
              <w:t xml:space="preserve">     </w:t>
            </w:r>
          </w:p>
          <w:p w14:paraId="1F58443B" w14:textId="54B41EDE" w:rsidR="0040297C" w:rsidRPr="00A9655D" w:rsidRDefault="0040297C" w:rsidP="00A9655D">
            <w:pPr>
              <w:jc w:val="center"/>
            </w:pPr>
          </w:p>
        </w:tc>
      </w:tr>
      <w:tr w:rsidR="00901425" w:rsidRPr="00741190" w14:paraId="4A8800FA" w14:textId="77777777" w:rsidTr="028E53E9">
        <w:trPr>
          <w:trHeight w:val="227"/>
        </w:trPr>
        <w:tc>
          <w:tcPr>
            <w:tcW w:w="15309" w:type="dxa"/>
            <w:gridSpan w:val="11"/>
            <w:shd w:val="clear" w:color="auto" w:fill="000000" w:themeFill="text2"/>
          </w:tcPr>
          <w:p w14:paraId="74D5D637" w14:textId="357226A2" w:rsidR="00901425" w:rsidRPr="00A9655D" w:rsidRDefault="00901425" w:rsidP="00A9655D">
            <w:pPr>
              <w:pStyle w:val="SymalTableBody"/>
              <w:spacing w:before="20" w:after="20"/>
              <w:rPr>
                <w:b/>
                <w:bCs/>
                <w:sz w:val="20"/>
              </w:rPr>
            </w:pPr>
            <w:r>
              <w:rPr>
                <w:b/>
                <w:bCs/>
                <w:sz w:val="20"/>
              </w:rPr>
              <w:t xml:space="preserve">4.0 Installation of Pipes </w:t>
            </w:r>
          </w:p>
        </w:tc>
      </w:tr>
      <w:tr w:rsidR="00030E46" w:rsidRPr="00741190" w14:paraId="5459A568" w14:textId="77777777" w:rsidTr="028E53E9">
        <w:trPr>
          <w:trHeight w:val="227"/>
        </w:trPr>
        <w:tc>
          <w:tcPr>
            <w:tcW w:w="559" w:type="dxa"/>
            <w:shd w:val="clear" w:color="auto" w:fill="auto"/>
            <w:vAlign w:val="center"/>
          </w:tcPr>
          <w:p w14:paraId="5E9A608B" w14:textId="0FE0A883" w:rsidR="0040297C" w:rsidRPr="004B6C8C" w:rsidRDefault="0040297C" w:rsidP="00A9655D">
            <w:pPr>
              <w:pStyle w:val="SymalTableBody"/>
              <w:spacing w:before="20" w:after="20"/>
              <w:rPr>
                <w:b/>
                <w:bCs/>
                <w:sz w:val="16"/>
                <w:szCs w:val="16"/>
              </w:rPr>
            </w:pPr>
            <w:r>
              <w:rPr>
                <w:b/>
                <w:bCs/>
                <w:sz w:val="16"/>
                <w:szCs w:val="16"/>
              </w:rPr>
              <w:t>4.1</w:t>
            </w:r>
          </w:p>
        </w:tc>
        <w:tc>
          <w:tcPr>
            <w:tcW w:w="2231" w:type="dxa"/>
            <w:shd w:val="clear" w:color="auto" w:fill="auto"/>
            <w:vAlign w:val="center"/>
          </w:tcPr>
          <w:p w14:paraId="637699A6" w14:textId="426B6CA4" w:rsidR="0040297C" w:rsidRPr="00D340C6" w:rsidRDefault="0040297C" w:rsidP="00A9655D">
            <w:pPr>
              <w:pStyle w:val="SymalTableBody"/>
              <w:spacing w:before="20" w:after="20"/>
              <w:rPr>
                <w:b/>
                <w:bCs/>
                <w:sz w:val="16"/>
                <w:szCs w:val="16"/>
              </w:rPr>
            </w:pPr>
            <w:r>
              <w:rPr>
                <w:rFonts w:asciiTheme="majorHAnsi" w:hAnsiTheme="majorHAnsi" w:cstheme="majorHAnsi"/>
                <w:sz w:val="14"/>
                <w:szCs w:val="14"/>
              </w:rPr>
              <w:t>Laying of Pipes</w:t>
            </w:r>
          </w:p>
        </w:tc>
        <w:tc>
          <w:tcPr>
            <w:tcW w:w="786" w:type="dxa"/>
            <w:shd w:val="clear" w:color="auto" w:fill="auto"/>
            <w:vAlign w:val="center"/>
          </w:tcPr>
          <w:p w14:paraId="5992FF22" w14:textId="3553B2E9" w:rsidR="0040297C" w:rsidRDefault="0040297C" w:rsidP="00C16D96">
            <w:pPr>
              <w:pStyle w:val="Tabletext"/>
              <w:jc w:val="center"/>
              <w:rPr>
                <w:rFonts w:asciiTheme="majorHAnsi" w:hAnsiTheme="majorHAnsi" w:cstheme="majorHAnsi"/>
                <w:sz w:val="14"/>
                <w:szCs w:val="14"/>
              </w:rPr>
            </w:pPr>
            <w:r>
              <w:rPr>
                <w:rFonts w:asciiTheme="majorHAnsi" w:hAnsiTheme="majorHAnsi" w:cstheme="majorHAnsi"/>
                <w:sz w:val="14"/>
                <w:szCs w:val="14"/>
              </w:rPr>
              <w:t>VR Clause 701.17 (a) (</w:t>
            </w:r>
            <w:r w:rsidR="002A4E2D">
              <w:rPr>
                <w:rFonts w:asciiTheme="majorHAnsi" w:hAnsiTheme="majorHAnsi" w:cstheme="majorHAnsi"/>
                <w:sz w:val="14"/>
                <w:szCs w:val="14"/>
              </w:rPr>
              <w:t>b</w:t>
            </w:r>
            <w:r>
              <w:rPr>
                <w:rFonts w:asciiTheme="majorHAnsi" w:hAnsiTheme="majorHAnsi" w:cstheme="majorHAnsi"/>
                <w:sz w:val="14"/>
                <w:szCs w:val="14"/>
              </w:rPr>
              <w:t>)</w:t>
            </w:r>
          </w:p>
          <w:p w14:paraId="57F15762" w14:textId="4A9751DF" w:rsidR="00C16D96" w:rsidRPr="0077197C" w:rsidRDefault="00C16D96" w:rsidP="0077197C">
            <w:pPr>
              <w:pStyle w:val="Tabletext"/>
              <w:jc w:val="center"/>
              <w:rPr>
                <w:rFonts w:asciiTheme="majorHAnsi" w:hAnsiTheme="majorHAnsi" w:cstheme="majorHAnsi"/>
                <w:sz w:val="14"/>
                <w:szCs w:val="14"/>
              </w:rPr>
            </w:pPr>
            <w:r>
              <w:rPr>
                <w:rFonts w:asciiTheme="majorHAnsi" w:hAnsiTheme="majorHAnsi" w:cstheme="majorHAnsi"/>
                <w:sz w:val="14"/>
                <w:szCs w:val="14"/>
              </w:rPr>
              <w:t>AS2566</w:t>
            </w:r>
          </w:p>
        </w:tc>
        <w:tc>
          <w:tcPr>
            <w:tcW w:w="4221" w:type="dxa"/>
            <w:shd w:val="clear" w:color="auto" w:fill="auto"/>
            <w:vAlign w:val="center"/>
          </w:tcPr>
          <w:p w14:paraId="53B5D204" w14:textId="3AD5A198" w:rsidR="0040297C" w:rsidRDefault="0040297C" w:rsidP="00A9655D">
            <w:pPr>
              <w:pStyle w:val="Tabletext"/>
              <w:jc w:val="both"/>
              <w:rPr>
                <w:rFonts w:asciiTheme="majorHAnsi" w:hAnsiTheme="majorHAnsi" w:cstheme="majorHAnsi"/>
                <w:sz w:val="14"/>
                <w:szCs w:val="14"/>
              </w:rPr>
            </w:pPr>
            <w:r>
              <w:rPr>
                <w:rFonts w:asciiTheme="majorHAnsi" w:hAnsiTheme="majorHAnsi" w:cstheme="majorHAnsi"/>
                <w:sz w:val="14"/>
                <w:szCs w:val="14"/>
              </w:rPr>
              <w:t>Laying of Pipes shall not commence until it is verified that pipe bedding complies with the specified lines and levels and compaction requirements.</w:t>
            </w:r>
          </w:p>
          <w:p w14:paraId="488AC782" w14:textId="59EB9325" w:rsidR="0040297C" w:rsidRPr="00493F30" w:rsidRDefault="0040297C" w:rsidP="00A9655D">
            <w:pPr>
              <w:pStyle w:val="SymalTableBody"/>
              <w:spacing w:before="20" w:after="20"/>
              <w:rPr>
                <w:b/>
                <w:bCs/>
                <w:sz w:val="14"/>
                <w:szCs w:val="14"/>
              </w:rPr>
            </w:pPr>
            <w:r>
              <w:rPr>
                <w:b/>
                <w:bCs/>
                <w:sz w:val="14"/>
                <w:szCs w:val="14"/>
              </w:rPr>
              <w:t>Approval to proceed?</w:t>
            </w:r>
            <w:r w:rsidR="00493F30">
              <w:rPr>
                <w:b/>
                <w:bCs/>
                <w:sz w:val="14"/>
                <w:szCs w:val="14"/>
              </w:rPr>
              <w:t xml:space="preserve"> </w:t>
            </w:r>
            <w:r w:rsidRPr="00064EBA">
              <w:rPr>
                <w:rFonts w:cstheme="minorHAnsi"/>
                <w:b/>
                <w:bCs/>
                <w:sz w:val="28"/>
                <w:szCs w:val="28"/>
              </w:rPr>
              <w:t>□</w:t>
            </w:r>
            <w:r w:rsidRPr="00064EBA">
              <w:rPr>
                <w:b/>
                <w:bCs/>
                <w:sz w:val="20"/>
              </w:rPr>
              <w:t xml:space="preserve">     </w:t>
            </w:r>
            <w:r>
              <w:rPr>
                <w:b/>
                <w:bCs/>
                <w:sz w:val="20"/>
              </w:rPr>
              <w:t xml:space="preserve"> </w:t>
            </w:r>
          </w:p>
          <w:p w14:paraId="0F6D9785" w14:textId="77777777" w:rsidR="0040297C" w:rsidRDefault="0040297C" w:rsidP="00A9655D">
            <w:pPr>
              <w:pStyle w:val="Tabletext"/>
              <w:jc w:val="both"/>
              <w:rPr>
                <w:rFonts w:asciiTheme="majorHAnsi" w:hAnsiTheme="majorHAnsi" w:cstheme="majorHAnsi"/>
                <w:sz w:val="14"/>
                <w:szCs w:val="14"/>
              </w:rPr>
            </w:pPr>
          </w:p>
          <w:p w14:paraId="630EB031" w14:textId="1385DB0D" w:rsidR="00006AD5" w:rsidRDefault="0040297C" w:rsidP="00463BE4">
            <w:pPr>
              <w:pStyle w:val="Tabletext"/>
              <w:jc w:val="both"/>
              <w:rPr>
                <w:rFonts w:asciiTheme="majorHAnsi" w:hAnsiTheme="majorHAnsi" w:cstheme="majorHAnsi"/>
                <w:sz w:val="14"/>
                <w:szCs w:val="14"/>
              </w:rPr>
            </w:pPr>
            <w:r w:rsidRPr="0075789F">
              <w:rPr>
                <w:rFonts w:asciiTheme="majorHAnsi" w:hAnsiTheme="majorHAnsi" w:cstheme="majorHAnsi"/>
                <w:sz w:val="14"/>
                <w:szCs w:val="14"/>
              </w:rPr>
              <w:t>Laying of pipes shall commence from the downstream end.</w:t>
            </w:r>
            <w:r>
              <w:rPr>
                <w:rFonts w:asciiTheme="majorHAnsi" w:hAnsiTheme="majorHAnsi" w:cstheme="majorHAnsi"/>
                <w:sz w:val="14"/>
                <w:szCs w:val="14"/>
              </w:rPr>
              <w:t xml:space="preserve"> </w:t>
            </w:r>
            <w:r w:rsidRPr="0075789F">
              <w:rPr>
                <w:rFonts w:asciiTheme="majorHAnsi" w:hAnsiTheme="majorHAnsi" w:cstheme="majorHAnsi"/>
                <w:sz w:val="14"/>
                <w:szCs w:val="14"/>
              </w:rPr>
              <w:t>Rebate and socket ends of pipe sections shall be placed facing upstream and be fully entered.</w:t>
            </w:r>
            <w:r>
              <w:rPr>
                <w:rFonts w:asciiTheme="majorHAnsi" w:hAnsiTheme="majorHAnsi" w:cstheme="majorHAnsi"/>
                <w:sz w:val="14"/>
                <w:szCs w:val="14"/>
              </w:rPr>
              <w:t xml:space="preserve"> </w:t>
            </w:r>
            <w:r w:rsidRPr="0075789F">
              <w:rPr>
                <w:rFonts w:asciiTheme="majorHAnsi" w:hAnsiTheme="majorHAnsi" w:cstheme="majorHAnsi"/>
                <w:sz w:val="14"/>
                <w:szCs w:val="14"/>
              </w:rPr>
              <w:t xml:space="preserve">The lower portion of the pipe shall be in contact with the bedding for the full length of each section.  </w:t>
            </w:r>
            <w:r w:rsidRPr="0075789F">
              <w:rPr>
                <w:rFonts w:asciiTheme="majorHAnsi" w:hAnsiTheme="majorHAnsi" w:cstheme="majorHAnsi"/>
                <w:sz w:val="14"/>
                <w:szCs w:val="14"/>
              </w:rPr>
              <w:lastRenderedPageBreak/>
              <w:t>The compacted bedding shall be shaped to accommodate the joint collar and ensure that the pipe is supported along its full length.</w:t>
            </w:r>
          </w:p>
          <w:p w14:paraId="41BBAC58" w14:textId="3742E3D1" w:rsidR="00C16D96" w:rsidRPr="00463BE4" w:rsidRDefault="00C16D96" w:rsidP="00463BE4">
            <w:pPr>
              <w:pStyle w:val="Tabletext"/>
              <w:jc w:val="both"/>
              <w:rPr>
                <w:rFonts w:asciiTheme="majorHAnsi" w:hAnsiTheme="majorHAnsi" w:cstheme="majorHAnsi"/>
                <w:sz w:val="14"/>
                <w:szCs w:val="14"/>
              </w:rPr>
            </w:pPr>
            <w:r w:rsidRPr="00C16D96">
              <w:rPr>
                <w:rFonts w:asciiTheme="majorHAnsi" w:hAnsiTheme="majorHAnsi" w:cstheme="majorHAnsi"/>
                <w:sz w:val="14"/>
                <w:szCs w:val="14"/>
              </w:rPr>
              <w:t xml:space="preserve">All conduits’ </w:t>
            </w:r>
            <w:r>
              <w:rPr>
                <w:rFonts w:asciiTheme="majorHAnsi" w:hAnsiTheme="majorHAnsi" w:cstheme="majorHAnsi"/>
                <w:sz w:val="14"/>
                <w:szCs w:val="14"/>
              </w:rPr>
              <w:t>j</w:t>
            </w:r>
            <w:r w:rsidRPr="00C16D96">
              <w:rPr>
                <w:rFonts w:asciiTheme="majorHAnsi" w:hAnsiTheme="majorHAnsi" w:cstheme="majorHAnsi"/>
                <w:sz w:val="14"/>
                <w:szCs w:val="14"/>
              </w:rPr>
              <w:t>oints formed by the spigot and socket ends complying with AS2566</w:t>
            </w:r>
          </w:p>
          <w:p w14:paraId="60B241E3" w14:textId="2C20028D" w:rsidR="00006AD5" w:rsidRPr="00D340C6" w:rsidRDefault="00006AD5" w:rsidP="00A9655D">
            <w:pPr>
              <w:pStyle w:val="SymalTableBody"/>
              <w:spacing w:before="20" w:after="20"/>
              <w:jc w:val="both"/>
              <w:rPr>
                <w:sz w:val="16"/>
                <w:szCs w:val="16"/>
              </w:rPr>
            </w:pPr>
          </w:p>
        </w:tc>
        <w:tc>
          <w:tcPr>
            <w:tcW w:w="992" w:type="dxa"/>
            <w:shd w:val="clear" w:color="auto" w:fill="auto"/>
            <w:vAlign w:val="center"/>
          </w:tcPr>
          <w:p w14:paraId="1A9A40BD" w14:textId="77777777" w:rsidR="0040297C" w:rsidRDefault="0040297C" w:rsidP="00A9655D">
            <w:pPr>
              <w:pStyle w:val="SymalTableBody"/>
              <w:spacing w:before="20" w:after="20"/>
              <w:jc w:val="center"/>
              <w:rPr>
                <w:sz w:val="14"/>
                <w:szCs w:val="14"/>
              </w:rPr>
            </w:pPr>
          </w:p>
          <w:p w14:paraId="319681E6" w14:textId="2AB25187" w:rsidR="0040297C" w:rsidRPr="00D340C6" w:rsidRDefault="0040297C" w:rsidP="00A9655D">
            <w:pPr>
              <w:pStyle w:val="SymalTableBody"/>
              <w:spacing w:before="20" w:after="20"/>
              <w:jc w:val="center"/>
              <w:rPr>
                <w:sz w:val="16"/>
                <w:szCs w:val="16"/>
              </w:rPr>
            </w:pPr>
            <w:r>
              <w:rPr>
                <w:sz w:val="14"/>
                <w:szCs w:val="14"/>
              </w:rPr>
              <w:t>Each lot</w:t>
            </w:r>
          </w:p>
        </w:tc>
        <w:tc>
          <w:tcPr>
            <w:tcW w:w="850" w:type="dxa"/>
            <w:shd w:val="clear" w:color="auto" w:fill="auto"/>
            <w:vAlign w:val="center"/>
          </w:tcPr>
          <w:p w14:paraId="49A9D9B5" w14:textId="77777777" w:rsidR="0040297C" w:rsidRDefault="0040297C" w:rsidP="00A9655D">
            <w:pPr>
              <w:pStyle w:val="SymalTableBody"/>
              <w:spacing w:before="20" w:after="20"/>
              <w:jc w:val="center"/>
              <w:rPr>
                <w:sz w:val="14"/>
                <w:szCs w:val="14"/>
              </w:rPr>
            </w:pPr>
          </w:p>
          <w:p w14:paraId="44693315" w14:textId="77777777" w:rsidR="00B37CBD" w:rsidRPr="00A9655D" w:rsidRDefault="00B37CBD" w:rsidP="00A9655D">
            <w:pPr>
              <w:pStyle w:val="SymalTableBody"/>
              <w:spacing w:before="20" w:after="20"/>
              <w:jc w:val="center"/>
              <w:rPr>
                <w:sz w:val="14"/>
                <w:szCs w:val="14"/>
              </w:rPr>
            </w:pPr>
          </w:p>
          <w:p w14:paraId="1BF5A7A3" w14:textId="77777777" w:rsidR="0040297C" w:rsidRPr="00A9655D" w:rsidRDefault="0040297C" w:rsidP="00A9655D">
            <w:pPr>
              <w:pStyle w:val="SymalTableBody"/>
              <w:spacing w:before="20" w:after="20"/>
              <w:jc w:val="center"/>
              <w:rPr>
                <w:sz w:val="14"/>
                <w:szCs w:val="14"/>
              </w:rPr>
            </w:pPr>
            <w:r w:rsidRPr="00A9655D">
              <w:rPr>
                <w:sz w:val="14"/>
                <w:szCs w:val="14"/>
              </w:rPr>
              <w:t>R</w:t>
            </w:r>
          </w:p>
          <w:p w14:paraId="656681C3" w14:textId="77777777" w:rsidR="0040297C" w:rsidRPr="00A9655D" w:rsidRDefault="0040297C" w:rsidP="00A9655D">
            <w:pPr>
              <w:pStyle w:val="SymalTableBody"/>
              <w:spacing w:before="20" w:after="20"/>
              <w:jc w:val="center"/>
              <w:rPr>
                <w:sz w:val="14"/>
                <w:szCs w:val="14"/>
              </w:rPr>
            </w:pPr>
          </w:p>
          <w:p w14:paraId="760225A0" w14:textId="3CEFDEB0" w:rsidR="0040297C" w:rsidRPr="00D340C6" w:rsidRDefault="0040297C" w:rsidP="3D07787B">
            <w:pPr>
              <w:pStyle w:val="SymalTableBody"/>
              <w:spacing w:before="20" w:after="20"/>
              <w:jc w:val="center"/>
              <w:rPr>
                <w:sz w:val="14"/>
                <w:szCs w:val="14"/>
              </w:rPr>
            </w:pPr>
          </w:p>
        </w:tc>
        <w:tc>
          <w:tcPr>
            <w:tcW w:w="851" w:type="dxa"/>
            <w:shd w:val="clear" w:color="auto" w:fill="auto"/>
            <w:vAlign w:val="center"/>
          </w:tcPr>
          <w:p w14:paraId="4B6A597E" w14:textId="4377865C" w:rsidR="0040297C" w:rsidRPr="00D340C6" w:rsidRDefault="0040297C" w:rsidP="00B37CBD">
            <w:pPr>
              <w:pStyle w:val="SymalTableBody"/>
              <w:spacing w:before="20" w:after="20"/>
              <w:rPr>
                <w:sz w:val="16"/>
                <w:szCs w:val="16"/>
              </w:rPr>
            </w:pPr>
            <w:r w:rsidRPr="00EA0774">
              <w:rPr>
                <w:sz w:val="14"/>
                <w:szCs w:val="14"/>
              </w:rPr>
              <w:t>S</w:t>
            </w:r>
            <w:r>
              <w:rPr>
                <w:sz w:val="14"/>
                <w:szCs w:val="14"/>
              </w:rPr>
              <w:t>E</w:t>
            </w:r>
          </w:p>
        </w:tc>
        <w:tc>
          <w:tcPr>
            <w:tcW w:w="850" w:type="dxa"/>
            <w:shd w:val="clear" w:color="auto" w:fill="auto"/>
          </w:tcPr>
          <w:p w14:paraId="49F8260B" w14:textId="77777777" w:rsidR="0040297C" w:rsidRPr="00741190" w:rsidRDefault="0040297C" w:rsidP="00A9655D">
            <w:pPr>
              <w:pStyle w:val="SymalTableBody"/>
              <w:spacing w:before="20" w:after="20"/>
              <w:jc w:val="center"/>
              <w:rPr>
                <w:b/>
                <w:bCs/>
                <w:szCs w:val="18"/>
              </w:rPr>
            </w:pPr>
          </w:p>
        </w:tc>
        <w:tc>
          <w:tcPr>
            <w:tcW w:w="851" w:type="dxa"/>
            <w:shd w:val="clear" w:color="auto" w:fill="auto"/>
            <w:vAlign w:val="center"/>
          </w:tcPr>
          <w:p w14:paraId="4FD843B8" w14:textId="45A624D7" w:rsidR="0040297C" w:rsidRPr="00F74CAB" w:rsidRDefault="0040297C" w:rsidP="00F74CAB">
            <w:pPr>
              <w:pStyle w:val="SymalTableBody"/>
              <w:spacing w:before="20" w:after="20"/>
              <w:jc w:val="center"/>
              <w:rPr>
                <w:sz w:val="14"/>
                <w:szCs w:val="14"/>
              </w:rPr>
            </w:pPr>
            <w:r w:rsidRPr="00A9655D">
              <w:rPr>
                <w:sz w:val="14"/>
                <w:szCs w:val="14"/>
              </w:rPr>
              <w:t>I</w:t>
            </w:r>
          </w:p>
        </w:tc>
        <w:tc>
          <w:tcPr>
            <w:tcW w:w="850" w:type="dxa"/>
            <w:shd w:val="clear" w:color="auto" w:fill="auto"/>
          </w:tcPr>
          <w:p w14:paraId="36AACDE0" w14:textId="77777777" w:rsidR="0040297C" w:rsidRPr="00741190" w:rsidRDefault="0040297C" w:rsidP="00A9655D">
            <w:pPr>
              <w:pStyle w:val="SymalTableBody"/>
              <w:spacing w:before="20" w:after="20"/>
              <w:jc w:val="center"/>
              <w:rPr>
                <w:b/>
                <w:bCs/>
                <w:szCs w:val="18"/>
              </w:rPr>
            </w:pPr>
          </w:p>
        </w:tc>
        <w:tc>
          <w:tcPr>
            <w:tcW w:w="2268" w:type="dxa"/>
            <w:shd w:val="clear" w:color="auto" w:fill="auto"/>
          </w:tcPr>
          <w:p w14:paraId="7C54C513" w14:textId="4925E905" w:rsidR="0040297C" w:rsidRDefault="0040297C" w:rsidP="00A9655D">
            <w:pPr>
              <w:spacing w:before="60"/>
              <w:rPr>
                <w:rFonts w:asciiTheme="majorHAnsi" w:hAnsiTheme="majorHAnsi" w:cstheme="majorHAnsi"/>
                <w:sz w:val="14"/>
                <w:szCs w:val="14"/>
              </w:rPr>
            </w:pPr>
            <w:r>
              <w:rPr>
                <w:rFonts w:asciiTheme="majorHAnsi" w:hAnsiTheme="majorHAnsi" w:cstheme="majorHAnsi"/>
                <w:sz w:val="14"/>
                <w:szCs w:val="14"/>
              </w:rPr>
              <w:t>NATA Test Report: Compaction</w:t>
            </w:r>
          </w:p>
          <w:p w14:paraId="0EF10C29" w14:textId="6245FE77" w:rsidR="0040297C" w:rsidRDefault="0040297C" w:rsidP="00A9655D">
            <w:pPr>
              <w:pStyle w:val="SymalTableBody"/>
              <w:spacing w:before="20" w:after="20"/>
              <w:rPr>
                <w:rFonts w:ascii="Arial" w:hAnsi="Arial" w:cs="Arial"/>
                <w:b/>
                <w:bCs/>
                <w:sz w:val="24"/>
                <w:szCs w:val="24"/>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rFonts w:ascii="Arial" w:hAnsi="Arial" w:cs="Arial"/>
                <w:b/>
                <w:bCs/>
                <w:sz w:val="24"/>
                <w:szCs w:val="24"/>
              </w:rPr>
              <w:t>□</w:t>
            </w:r>
            <w:r>
              <w:rPr>
                <w:b/>
                <w:bCs/>
                <w:sz w:val="14"/>
                <w:szCs w:val="14"/>
              </w:rPr>
              <w:t xml:space="preserve">        </w:t>
            </w:r>
            <w:r w:rsidR="0009346D">
              <w:rPr>
                <w:b/>
                <w:bCs/>
                <w:sz w:val="14"/>
                <w:szCs w:val="14"/>
              </w:rPr>
              <w:t xml:space="preserve">N/A     </w:t>
            </w:r>
            <w:r w:rsidR="0009346D" w:rsidRPr="00064EBA">
              <w:rPr>
                <w:b/>
                <w:bCs/>
                <w:sz w:val="24"/>
                <w:szCs w:val="24"/>
              </w:rPr>
              <w:t xml:space="preserve"> </w:t>
            </w:r>
            <w:r w:rsidR="0009346D" w:rsidRPr="00064EBA">
              <w:rPr>
                <w:rFonts w:ascii="Arial" w:hAnsi="Arial" w:cs="Arial"/>
                <w:b/>
                <w:bCs/>
                <w:sz w:val="24"/>
                <w:szCs w:val="24"/>
              </w:rPr>
              <w:t>□</w:t>
            </w:r>
          </w:p>
          <w:p w14:paraId="0B016264" w14:textId="77777777" w:rsidR="00967B1A" w:rsidRDefault="00967B1A" w:rsidP="00A9655D">
            <w:pPr>
              <w:spacing w:before="60"/>
              <w:rPr>
                <w:rFonts w:asciiTheme="majorHAnsi" w:hAnsiTheme="majorHAnsi" w:cstheme="majorHAnsi"/>
                <w:position w:val="-20"/>
                <w:sz w:val="14"/>
                <w:szCs w:val="14"/>
              </w:rPr>
            </w:pPr>
          </w:p>
          <w:p w14:paraId="55B3F07C" w14:textId="1D885667" w:rsidR="0040297C" w:rsidRPr="00463BE4" w:rsidRDefault="0009346D" w:rsidP="00463BE4">
            <w:pPr>
              <w:spacing w:before="60"/>
              <w:rPr>
                <w:rFonts w:asciiTheme="majorHAnsi" w:hAnsiTheme="majorHAnsi" w:cstheme="majorHAnsi"/>
                <w:position w:val="-20"/>
                <w:sz w:val="14"/>
                <w:szCs w:val="14"/>
              </w:rPr>
            </w:pPr>
            <w:r w:rsidRPr="0009346D">
              <w:rPr>
                <w:rFonts w:asciiTheme="majorHAnsi" w:hAnsiTheme="majorHAnsi" w:cstheme="majorHAnsi"/>
                <w:position w:val="-20"/>
                <w:sz w:val="14"/>
                <w:szCs w:val="14"/>
              </w:rPr>
              <w:t>Su</w:t>
            </w:r>
            <w:r w:rsidR="0040297C" w:rsidRPr="0009346D">
              <w:rPr>
                <w:rFonts w:asciiTheme="majorHAnsi" w:hAnsiTheme="majorHAnsi" w:cstheme="majorHAnsi"/>
                <w:position w:val="-20"/>
                <w:sz w:val="14"/>
                <w:szCs w:val="14"/>
              </w:rPr>
              <w:t>rvey Conformance Report</w:t>
            </w:r>
            <w:r w:rsidR="00463BE4">
              <w:rPr>
                <w:rFonts w:asciiTheme="majorHAnsi" w:hAnsiTheme="majorHAnsi" w:cstheme="majorHAnsi"/>
                <w:position w:val="-20"/>
                <w:sz w:val="14"/>
                <w:szCs w:val="14"/>
              </w:rPr>
              <w:t xml:space="preserve"> </w:t>
            </w:r>
            <w:r w:rsidR="0040297C" w:rsidRPr="0009346D">
              <w:rPr>
                <w:rFonts w:asciiTheme="majorHAnsi" w:hAnsiTheme="majorHAnsi" w:cstheme="minorHAnsi"/>
                <w:b/>
                <w:bCs/>
                <w:position w:val="-20"/>
                <w:sz w:val="28"/>
                <w:szCs w:val="28"/>
              </w:rPr>
              <w:t>□</w:t>
            </w:r>
            <w:r w:rsidR="0040297C" w:rsidRPr="0009346D">
              <w:rPr>
                <w:rFonts w:asciiTheme="majorHAnsi" w:hAnsiTheme="majorHAnsi"/>
                <w:b/>
                <w:bCs/>
                <w:position w:val="-20"/>
              </w:rPr>
              <w:t xml:space="preserve"> </w:t>
            </w:r>
            <w:r w:rsidR="00456C84" w:rsidRPr="0009346D">
              <w:rPr>
                <w:rFonts w:asciiTheme="majorHAnsi" w:hAnsiTheme="majorHAnsi"/>
                <w:b/>
                <w:bCs/>
                <w:position w:val="-20"/>
              </w:rPr>
              <w:t xml:space="preserve"> </w:t>
            </w:r>
          </w:p>
          <w:p w14:paraId="51A8D0A8" w14:textId="77777777" w:rsidR="0040297C" w:rsidRPr="00741190" w:rsidRDefault="0040297C" w:rsidP="00A9655D">
            <w:pPr>
              <w:pStyle w:val="SymalTableBody"/>
              <w:spacing w:before="20" w:after="20"/>
              <w:rPr>
                <w:b/>
                <w:bCs/>
                <w:szCs w:val="18"/>
              </w:rPr>
            </w:pPr>
          </w:p>
        </w:tc>
      </w:tr>
      <w:tr w:rsidR="00030E46" w:rsidRPr="00741190" w14:paraId="4B24BFC4" w14:textId="77777777" w:rsidTr="028E53E9">
        <w:trPr>
          <w:trHeight w:val="227"/>
        </w:trPr>
        <w:tc>
          <w:tcPr>
            <w:tcW w:w="559" w:type="dxa"/>
            <w:shd w:val="clear" w:color="auto" w:fill="auto"/>
            <w:vAlign w:val="center"/>
          </w:tcPr>
          <w:p w14:paraId="59958A41" w14:textId="756FFD4B" w:rsidR="0040297C" w:rsidRDefault="0040297C" w:rsidP="00A541B8">
            <w:pPr>
              <w:pStyle w:val="SymalTableBody"/>
              <w:spacing w:before="20" w:after="20"/>
              <w:rPr>
                <w:b/>
                <w:bCs/>
                <w:sz w:val="16"/>
                <w:szCs w:val="16"/>
              </w:rPr>
            </w:pPr>
            <w:r>
              <w:rPr>
                <w:b/>
                <w:bCs/>
                <w:sz w:val="16"/>
                <w:szCs w:val="16"/>
              </w:rPr>
              <w:t>4.2</w:t>
            </w:r>
          </w:p>
        </w:tc>
        <w:tc>
          <w:tcPr>
            <w:tcW w:w="2231" w:type="dxa"/>
            <w:shd w:val="clear" w:color="auto" w:fill="auto"/>
            <w:vAlign w:val="center"/>
          </w:tcPr>
          <w:p w14:paraId="58E5C4D7" w14:textId="3E7AB101" w:rsidR="0040297C" w:rsidRDefault="0040297C" w:rsidP="00A541B8">
            <w:pPr>
              <w:pStyle w:val="SymalTableBody"/>
              <w:spacing w:before="20" w:after="20"/>
              <w:rPr>
                <w:rFonts w:asciiTheme="majorHAnsi" w:hAnsiTheme="majorHAnsi" w:cstheme="majorHAnsi"/>
                <w:sz w:val="14"/>
                <w:szCs w:val="14"/>
              </w:rPr>
            </w:pPr>
            <w:r>
              <w:rPr>
                <w:rFonts w:asciiTheme="majorHAnsi" w:eastAsia="Arial Unicode MS" w:hAnsiTheme="majorHAnsi" w:cstheme="majorHAnsi"/>
                <w:sz w:val="14"/>
                <w:szCs w:val="14"/>
              </w:rPr>
              <w:t xml:space="preserve">As-built Survey  </w:t>
            </w:r>
          </w:p>
        </w:tc>
        <w:tc>
          <w:tcPr>
            <w:tcW w:w="786" w:type="dxa"/>
            <w:shd w:val="clear" w:color="auto" w:fill="auto"/>
            <w:vAlign w:val="center"/>
          </w:tcPr>
          <w:p w14:paraId="01BD5529" w14:textId="03E54317" w:rsidR="0040297C"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VR Clause 701.10</w:t>
            </w:r>
          </w:p>
        </w:tc>
        <w:tc>
          <w:tcPr>
            <w:tcW w:w="4221" w:type="dxa"/>
            <w:shd w:val="clear" w:color="auto" w:fill="auto"/>
            <w:vAlign w:val="center"/>
          </w:tcPr>
          <w:p w14:paraId="0D4B8706" w14:textId="77777777" w:rsidR="0040297C" w:rsidRPr="00AE0464" w:rsidRDefault="0040297C" w:rsidP="00A541B8">
            <w:pPr>
              <w:pStyle w:val="Tabletext"/>
              <w:jc w:val="both"/>
              <w:rPr>
                <w:rFonts w:asciiTheme="majorHAnsi" w:hAnsiTheme="majorHAnsi" w:cstheme="majorHAnsi"/>
                <w:sz w:val="14"/>
                <w:szCs w:val="14"/>
                <w:lang w:val="en-US"/>
              </w:rPr>
            </w:pPr>
            <w:r w:rsidRPr="7560615A">
              <w:rPr>
                <w:rFonts w:asciiTheme="majorHAnsi" w:hAnsiTheme="majorHAnsi" w:cstheme="majorBidi"/>
                <w:sz w:val="14"/>
                <w:szCs w:val="14"/>
              </w:rPr>
              <w:t xml:space="preserve">The </w:t>
            </w:r>
            <w:r w:rsidRPr="7560615A">
              <w:rPr>
                <w:rFonts w:asciiTheme="majorHAnsi" w:hAnsiTheme="majorHAnsi" w:cstheme="majorBidi"/>
                <w:sz w:val="14"/>
                <w:szCs w:val="14"/>
                <w:lang w:val="en-US"/>
              </w:rPr>
              <w:t xml:space="preserve">location and grade of each run of underground drainage shall be verified by a survey certificate </w:t>
            </w:r>
            <w:r w:rsidRPr="7560615A">
              <w:rPr>
                <w:rFonts w:asciiTheme="majorHAnsi" w:hAnsiTheme="majorHAnsi" w:cstheme="majorBidi"/>
                <w:b/>
                <w:sz w:val="14"/>
                <w:szCs w:val="14"/>
                <w:lang w:val="en-US"/>
              </w:rPr>
              <w:t>prior</w:t>
            </w:r>
            <w:r w:rsidRPr="7560615A">
              <w:rPr>
                <w:rFonts w:asciiTheme="majorHAnsi" w:hAnsiTheme="majorHAnsi" w:cstheme="majorBidi"/>
                <w:sz w:val="14"/>
                <w:szCs w:val="14"/>
                <w:lang w:val="en-US"/>
              </w:rPr>
              <w:t xml:space="preserve"> to backfilling the underground drainage.</w:t>
            </w:r>
          </w:p>
          <w:p w14:paraId="3246AF56" w14:textId="77777777" w:rsidR="0040297C" w:rsidRPr="00373B05" w:rsidRDefault="0040297C" w:rsidP="00A541B8">
            <w:pPr>
              <w:pStyle w:val="Tabletext"/>
              <w:jc w:val="both"/>
              <w:rPr>
                <w:rFonts w:asciiTheme="majorHAnsi" w:hAnsiTheme="majorHAnsi" w:cstheme="majorHAnsi"/>
                <w:sz w:val="14"/>
                <w:szCs w:val="14"/>
                <w:lang w:val="en-US"/>
              </w:rPr>
            </w:pPr>
            <w:r w:rsidRPr="00373B05">
              <w:rPr>
                <w:rFonts w:asciiTheme="majorHAnsi" w:hAnsiTheme="majorHAnsi" w:cstheme="majorHAnsi"/>
                <w:sz w:val="14"/>
                <w:szCs w:val="14"/>
                <w:lang w:val="en-US"/>
              </w:rPr>
              <w:t>Invert level of pipes at pits ±50 mm</w:t>
            </w:r>
          </w:p>
          <w:p w14:paraId="5CC155C6" w14:textId="77777777" w:rsidR="0040297C" w:rsidRDefault="0040297C" w:rsidP="00A541B8">
            <w:pPr>
              <w:pStyle w:val="Tabletext"/>
              <w:jc w:val="both"/>
              <w:rPr>
                <w:rFonts w:asciiTheme="majorHAnsi" w:hAnsiTheme="majorHAnsi" w:cstheme="majorHAnsi"/>
                <w:sz w:val="14"/>
                <w:szCs w:val="14"/>
                <w:lang w:val="en-US"/>
              </w:rPr>
            </w:pPr>
            <w:r w:rsidRPr="008625C4">
              <w:rPr>
                <w:rFonts w:asciiTheme="majorHAnsi" w:hAnsiTheme="majorHAnsi" w:cstheme="majorHAnsi"/>
                <w:sz w:val="14"/>
                <w:szCs w:val="14"/>
                <w:lang w:val="en-US"/>
              </w:rPr>
              <w:t>Departure from design grade of pipe runs ±10 mm in 10 m provided minimum grade is not less than 1:250</w:t>
            </w:r>
            <w:r>
              <w:rPr>
                <w:rFonts w:asciiTheme="majorHAnsi" w:hAnsiTheme="majorHAnsi" w:cstheme="majorHAnsi"/>
                <w:sz w:val="14"/>
                <w:szCs w:val="14"/>
                <w:lang w:val="en-US"/>
              </w:rPr>
              <w:t>.</w:t>
            </w:r>
          </w:p>
          <w:p w14:paraId="5778AC55" w14:textId="120AEA1E" w:rsidR="00006AD5" w:rsidRDefault="00006AD5" w:rsidP="00342397">
            <w:pPr>
              <w:pStyle w:val="SymalTableBody"/>
              <w:spacing w:before="20" w:after="20"/>
              <w:rPr>
                <w:rFonts w:asciiTheme="majorHAnsi" w:hAnsiTheme="majorHAnsi" w:cstheme="majorHAnsi"/>
                <w:sz w:val="14"/>
                <w:szCs w:val="14"/>
              </w:rPr>
            </w:pPr>
          </w:p>
        </w:tc>
        <w:tc>
          <w:tcPr>
            <w:tcW w:w="992" w:type="dxa"/>
            <w:shd w:val="clear" w:color="auto" w:fill="auto"/>
            <w:vAlign w:val="center"/>
          </w:tcPr>
          <w:p w14:paraId="1E3F20C0" w14:textId="77777777" w:rsidR="0040297C" w:rsidRDefault="0040297C" w:rsidP="00A541B8">
            <w:pPr>
              <w:pStyle w:val="SymalTableBody"/>
              <w:spacing w:before="20" w:after="20"/>
              <w:jc w:val="center"/>
              <w:rPr>
                <w:sz w:val="14"/>
                <w:szCs w:val="14"/>
              </w:rPr>
            </w:pPr>
          </w:p>
          <w:p w14:paraId="4B7819B0" w14:textId="76D82968" w:rsidR="0040297C" w:rsidRDefault="0040297C" w:rsidP="00A541B8">
            <w:pPr>
              <w:pStyle w:val="SymalTableBody"/>
              <w:spacing w:before="20" w:after="20"/>
              <w:jc w:val="center"/>
              <w:rPr>
                <w:sz w:val="14"/>
                <w:szCs w:val="14"/>
              </w:rPr>
            </w:pPr>
            <w:r>
              <w:rPr>
                <w:sz w:val="14"/>
                <w:szCs w:val="14"/>
              </w:rPr>
              <w:t>Each lot</w:t>
            </w:r>
          </w:p>
        </w:tc>
        <w:tc>
          <w:tcPr>
            <w:tcW w:w="850" w:type="dxa"/>
            <w:shd w:val="clear" w:color="auto" w:fill="auto"/>
            <w:vAlign w:val="center"/>
          </w:tcPr>
          <w:p w14:paraId="5DB97BCE" w14:textId="5A3D7363" w:rsidR="0040297C" w:rsidRDefault="0040297C" w:rsidP="00A541B8">
            <w:pPr>
              <w:pStyle w:val="SymalTableBody"/>
              <w:spacing w:before="20" w:after="20"/>
              <w:jc w:val="center"/>
              <w:rPr>
                <w:sz w:val="14"/>
                <w:szCs w:val="14"/>
              </w:rPr>
            </w:pPr>
            <w:r>
              <w:rPr>
                <w:sz w:val="14"/>
                <w:szCs w:val="14"/>
              </w:rPr>
              <w:t>R</w:t>
            </w:r>
          </w:p>
          <w:p w14:paraId="2FCF85F3" w14:textId="77777777" w:rsidR="0040297C" w:rsidRDefault="0040297C" w:rsidP="00A541B8">
            <w:pPr>
              <w:pStyle w:val="SymalTableBody"/>
              <w:spacing w:before="20" w:after="20"/>
              <w:jc w:val="center"/>
              <w:rPr>
                <w:sz w:val="14"/>
                <w:szCs w:val="14"/>
              </w:rPr>
            </w:pPr>
          </w:p>
          <w:p w14:paraId="47527546" w14:textId="77777777" w:rsidR="0040297C" w:rsidRDefault="0040297C" w:rsidP="00A541B8">
            <w:pPr>
              <w:pStyle w:val="SymalTableBody"/>
              <w:spacing w:before="20" w:after="20"/>
              <w:jc w:val="center"/>
              <w:rPr>
                <w:sz w:val="14"/>
                <w:szCs w:val="14"/>
              </w:rPr>
            </w:pPr>
          </w:p>
          <w:p w14:paraId="597E597D" w14:textId="4169C889" w:rsidR="0040297C" w:rsidRPr="00A9655D" w:rsidRDefault="0040297C" w:rsidP="00A541B8">
            <w:pPr>
              <w:pStyle w:val="SymalTableBody"/>
              <w:spacing w:before="20" w:after="20"/>
              <w:jc w:val="center"/>
              <w:rPr>
                <w:sz w:val="14"/>
                <w:szCs w:val="14"/>
              </w:rPr>
            </w:pPr>
            <w:r>
              <w:rPr>
                <w:sz w:val="14"/>
                <w:szCs w:val="14"/>
              </w:rPr>
              <w:t>I</w:t>
            </w:r>
          </w:p>
        </w:tc>
        <w:tc>
          <w:tcPr>
            <w:tcW w:w="851" w:type="dxa"/>
            <w:shd w:val="clear" w:color="auto" w:fill="auto"/>
            <w:vAlign w:val="center"/>
          </w:tcPr>
          <w:p w14:paraId="123EFBE6" w14:textId="77777777" w:rsidR="0040297C" w:rsidRDefault="0040297C" w:rsidP="00A541B8">
            <w:pPr>
              <w:pStyle w:val="SymalTableBody"/>
              <w:spacing w:before="20" w:after="20"/>
              <w:jc w:val="center"/>
              <w:rPr>
                <w:sz w:val="14"/>
                <w:szCs w:val="14"/>
              </w:rPr>
            </w:pPr>
            <w:r w:rsidRPr="00EA0774">
              <w:rPr>
                <w:sz w:val="14"/>
                <w:szCs w:val="14"/>
              </w:rPr>
              <w:t>S</w:t>
            </w:r>
            <w:r>
              <w:rPr>
                <w:sz w:val="14"/>
                <w:szCs w:val="14"/>
              </w:rPr>
              <w:t>E</w:t>
            </w:r>
          </w:p>
          <w:p w14:paraId="5F3C0778" w14:textId="73F37ABE" w:rsidR="0040297C" w:rsidRPr="00EA0774" w:rsidRDefault="0040297C" w:rsidP="00A541B8">
            <w:pPr>
              <w:pStyle w:val="SymalTableBody"/>
              <w:spacing w:before="20" w:after="20"/>
              <w:jc w:val="center"/>
              <w:rPr>
                <w:sz w:val="14"/>
                <w:szCs w:val="14"/>
              </w:rPr>
            </w:pPr>
          </w:p>
        </w:tc>
        <w:tc>
          <w:tcPr>
            <w:tcW w:w="850" w:type="dxa"/>
            <w:shd w:val="clear" w:color="auto" w:fill="auto"/>
          </w:tcPr>
          <w:p w14:paraId="1CF7787D"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5CD60A7B" w14:textId="77777777" w:rsidR="0040297C" w:rsidRPr="00A9655D" w:rsidRDefault="0040297C" w:rsidP="00A541B8">
            <w:pPr>
              <w:pStyle w:val="SymalTableBody"/>
              <w:spacing w:before="20" w:after="20"/>
              <w:jc w:val="center"/>
              <w:rPr>
                <w:sz w:val="14"/>
                <w:szCs w:val="14"/>
              </w:rPr>
            </w:pPr>
          </w:p>
        </w:tc>
        <w:tc>
          <w:tcPr>
            <w:tcW w:w="850" w:type="dxa"/>
            <w:shd w:val="clear" w:color="auto" w:fill="auto"/>
          </w:tcPr>
          <w:p w14:paraId="1A5CFDEF"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1679925F" w14:textId="77777777" w:rsidR="0040297C" w:rsidRDefault="0040297C" w:rsidP="00A541B8">
            <w:pPr>
              <w:pStyle w:val="SymalTableBody"/>
              <w:spacing w:before="20" w:after="20"/>
              <w:rPr>
                <w:rFonts w:asciiTheme="majorHAnsi" w:hAnsiTheme="majorHAnsi" w:cstheme="majorHAnsi"/>
                <w:sz w:val="14"/>
                <w:szCs w:val="14"/>
              </w:rPr>
            </w:pPr>
          </w:p>
          <w:p w14:paraId="50F0F68A" w14:textId="77777777" w:rsidR="0040297C" w:rsidRDefault="0040297C" w:rsidP="00A541B8">
            <w:pPr>
              <w:pStyle w:val="SymalTableBody"/>
              <w:spacing w:before="20" w:after="20"/>
              <w:rPr>
                <w:rFonts w:asciiTheme="majorHAnsi" w:hAnsiTheme="majorHAnsi" w:cstheme="majorHAnsi"/>
                <w:sz w:val="14"/>
                <w:szCs w:val="14"/>
              </w:rPr>
            </w:pPr>
          </w:p>
          <w:p w14:paraId="7C8666DA" w14:textId="508087CC" w:rsidR="0040297C" w:rsidRDefault="0040297C" w:rsidP="00D845E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Survey Conformance Report</w:t>
            </w:r>
            <w:r>
              <w:rPr>
                <w:b/>
                <w:bCs/>
                <w:sz w:val="14"/>
                <w:szCs w:val="14"/>
              </w:rPr>
              <w:t xml:space="preserve"> </w:t>
            </w:r>
            <w:r w:rsidRPr="00064EBA">
              <w:rPr>
                <w:rFonts w:cstheme="minorHAnsi"/>
                <w:b/>
                <w:bCs/>
                <w:sz w:val="28"/>
                <w:szCs w:val="28"/>
              </w:rPr>
              <w:t>□</w:t>
            </w:r>
            <w:r w:rsidRPr="00064EBA">
              <w:rPr>
                <w:b/>
                <w:bCs/>
              </w:rPr>
              <w:t xml:space="preserve"> </w:t>
            </w:r>
            <w:r>
              <w:rPr>
                <w:b/>
                <w:bCs/>
              </w:rPr>
              <w:t xml:space="preserve"> </w:t>
            </w:r>
          </w:p>
        </w:tc>
      </w:tr>
      <w:tr w:rsidR="00030E46" w:rsidRPr="00741190" w14:paraId="3F42C28D" w14:textId="77777777" w:rsidTr="028E53E9">
        <w:trPr>
          <w:trHeight w:val="227"/>
        </w:trPr>
        <w:tc>
          <w:tcPr>
            <w:tcW w:w="559" w:type="dxa"/>
            <w:shd w:val="clear" w:color="auto" w:fill="auto"/>
            <w:vAlign w:val="center"/>
          </w:tcPr>
          <w:p w14:paraId="0E2B6199" w14:textId="2F2FD84A" w:rsidR="0040297C" w:rsidRPr="004B6C8C" w:rsidRDefault="0040297C" w:rsidP="00A541B8">
            <w:pPr>
              <w:pStyle w:val="SymalTableBody"/>
              <w:spacing w:before="20" w:after="20"/>
              <w:rPr>
                <w:b/>
                <w:bCs/>
                <w:sz w:val="16"/>
                <w:szCs w:val="16"/>
              </w:rPr>
            </w:pPr>
            <w:r>
              <w:rPr>
                <w:b/>
                <w:bCs/>
                <w:sz w:val="16"/>
                <w:szCs w:val="16"/>
              </w:rPr>
              <w:t>4.3</w:t>
            </w:r>
          </w:p>
        </w:tc>
        <w:tc>
          <w:tcPr>
            <w:tcW w:w="2231" w:type="dxa"/>
            <w:shd w:val="clear" w:color="auto" w:fill="auto"/>
            <w:vAlign w:val="center"/>
          </w:tcPr>
          <w:p w14:paraId="314BE3C1" w14:textId="2EF385A1"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Jointing and Lifting Holes</w:t>
            </w:r>
          </w:p>
        </w:tc>
        <w:tc>
          <w:tcPr>
            <w:tcW w:w="786" w:type="dxa"/>
            <w:shd w:val="clear" w:color="auto" w:fill="auto"/>
            <w:vAlign w:val="center"/>
          </w:tcPr>
          <w:p w14:paraId="476D2D4B" w14:textId="34206BBA" w:rsidR="0040297C" w:rsidRPr="00D340C6" w:rsidRDefault="0040297C" w:rsidP="00A541B8">
            <w:pPr>
              <w:pStyle w:val="Tabletext"/>
              <w:jc w:val="center"/>
              <w:rPr>
                <w:szCs w:val="16"/>
              </w:rPr>
            </w:pPr>
            <w:r>
              <w:rPr>
                <w:rFonts w:asciiTheme="majorHAnsi" w:hAnsiTheme="majorHAnsi" w:cstheme="majorHAnsi"/>
                <w:sz w:val="14"/>
                <w:szCs w:val="14"/>
              </w:rPr>
              <w:t>VR Clause 701.18</w:t>
            </w:r>
          </w:p>
        </w:tc>
        <w:tc>
          <w:tcPr>
            <w:tcW w:w="4221" w:type="dxa"/>
            <w:shd w:val="clear" w:color="auto" w:fill="auto"/>
            <w:vAlign w:val="center"/>
          </w:tcPr>
          <w:p w14:paraId="7F419B5F" w14:textId="633B6086" w:rsidR="0040297C" w:rsidRDefault="0040297C" w:rsidP="00A541B8">
            <w:pPr>
              <w:pStyle w:val="Tabletext"/>
              <w:jc w:val="both"/>
              <w:rPr>
                <w:rFonts w:asciiTheme="majorHAnsi" w:eastAsiaTheme="minorHAnsi" w:hAnsiTheme="majorHAnsi" w:cstheme="majorHAnsi"/>
                <w:bCs w:val="0"/>
                <w:sz w:val="14"/>
                <w:szCs w:val="14"/>
                <w:lang w:val="en-US"/>
              </w:rPr>
            </w:pPr>
            <w:r>
              <w:rPr>
                <w:rFonts w:asciiTheme="majorHAnsi" w:eastAsiaTheme="minorHAnsi" w:hAnsiTheme="majorHAnsi" w:cstheme="majorHAnsi"/>
                <w:bCs w:val="0"/>
                <w:sz w:val="14"/>
                <w:szCs w:val="14"/>
                <w:lang w:val="en-US"/>
              </w:rPr>
              <w:t xml:space="preserve">All interlocking joint reinforced concrete pipes shall be mortar jointed or wrapped with a 200 mm wide external joint rubber band. </w:t>
            </w:r>
          </w:p>
          <w:p w14:paraId="12F282A7" w14:textId="77777777" w:rsidR="0040297C" w:rsidRDefault="0040297C" w:rsidP="00A541B8">
            <w:pPr>
              <w:pStyle w:val="Tabletext"/>
              <w:jc w:val="both"/>
              <w:rPr>
                <w:rFonts w:asciiTheme="majorHAnsi" w:eastAsiaTheme="minorHAnsi" w:hAnsiTheme="majorHAnsi" w:cstheme="majorHAnsi"/>
                <w:bCs w:val="0"/>
                <w:sz w:val="14"/>
                <w:szCs w:val="14"/>
                <w:lang w:val="en-US"/>
              </w:rPr>
            </w:pPr>
            <w:r w:rsidRPr="0075789F">
              <w:rPr>
                <w:rFonts w:asciiTheme="majorHAnsi" w:eastAsiaTheme="minorHAnsi" w:hAnsiTheme="majorHAnsi" w:cstheme="majorHAnsi"/>
                <w:bCs w:val="0"/>
                <w:sz w:val="14"/>
                <w:szCs w:val="14"/>
                <w:lang w:val="en-US"/>
              </w:rPr>
              <w:t>External rubber bands shall be manufactured from natural rubber and have a minimum tensile strength of 18 MPa and a minimum elongation of 400% at break</w:t>
            </w:r>
            <w:r>
              <w:rPr>
                <w:rFonts w:asciiTheme="majorHAnsi" w:eastAsiaTheme="minorHAnsi" w:hAnsiTheme="majorHAnsi" w:cstheme="majorHAnsi"/>
                <w:bCs w:val="0"/>
                <w:sz w:val="14"/>
                <w:szCs w:val="14"/>
                <w:lang w:val="en-US"/>
              </w:rPr>
              <w:t>.</w:t>
            </w:r>
          </w:p>
          <w:p w14:paraId="7C8AECF2" w14:textId="77777777" w:rsidR="0040297C" w:rsidRDefault="0040297C" w:rsidP="00A541B8">
            <w:pPr>
              <w:pStyle w:val="Tabletext"/>
              <w:jc w:val="both"/>
              <w:rPr>
                <w:rFonts w:asciiTheme="majorHAnsi" w:hAnsiTheme="majorHAnsi" w:cstheme="majorHAnsi"/>
                <w:sz w:val="14"/>
                <w:szCs w:val="14"/>
                <w:lang w:val="en-US"/>
              </w:rPr>
            </w:pPr>
            <w:r>
              <w:rPr>
                <w:rFonts w:asciiTheme="majorHAnsi" w:hAnsiTheme="majorHAnsi" w:cstheme="majorHAnsi"/>
                <w:sz w:val="14"/>
                <w:szCs w:val="14"/>
                <w:lang w:val="en-US"/>
              </w:rPr>
              <w:t>Rubber ring joint pipes shall be jointed with rubber rings. Ensure rubber rings are clean prior to installation.</w:t>
            </w:r>
          </w:p>
          <w:p w14:paraId="45AE3051" w14:textId="4F5A3E71" w:rsidR="0040297C" w:rsidRPr="00AE0464" w:rsidRDefault="0040297C" w:rsidP="00A541B8">
            <w:pPr>
              <w:pStyle w:val="Tabletext"/>
              <w:jc w:val="both"/>
              <w:rPr>
                <w:rFonts w:asciiTheme="majorHAnsi" w:eastAsiaTheme="minorHAnsi" w:hAnsiTheme="majorHAnsi" w:cstheme="majorHAnsi"/>
                <w:bCs w:val="0"/>
                <w:sz w:val="14"/>
                <w:szCs w:val="14"/>
                <w:lang w:val="en-US"/>
              </w:rPr>
            </w:pPr>
            <w:r>
              <w:rPr>
                <w:rFonts w:asciiTheme="majorHAnsi" w:hAnsiTheme="majorHAnsi" w:cstheme="majorHAnsi"/>
                <w:sz w:val="14"/>
                <w:szCs w:val="14"/>
              </w:rPr>
              <w:t xml:space="preserve">Verify joints </w:t>
            </w:r>
            <w:r w:rsidRPr="0075789F">
              <w:rPr>
                <w:rFonts w:asciiTheme="majorHAnsi" w:hAnsiTheme="majorHAnsi" w:cstheme="majorHAnsi"/>
                <w:sz w:val="14"/>
                <w:szCs w:val="14"/>
              </w:rPr>
              <w:t xml:space="preserve">by checking that the position of the rubber ring on the spigot, and the clearance and overlap between the spigot and socket </w:t>
            </w:r>
            <w:r>
              <w:rPr>
                <w:rFonts w:asciiTheme="majorHAnsi" w:hAnsiTheme="majorHAnsi" w:cstheme="majorHAnsi"/>
                <w:sz w:val="14"/>
                <w:szCs w:val="14"/>
              </w:rPr>
              <w:t xml:space="preserve">against </w:t>
            </w:r>
            <w:r w:rsidRPr="0075789F">
              <w:rPr>
                <w:rFonts w:asciiTheme="majorHAnsi" w:hAnsiTheme="majorHAnsi" w:cstheme="majorHAnsi"/>
                <w:sz w:val="14"/>
                <w:szCs w:val="14"/>
              </w:rPr>
              <w:t xml:space="preserve">the values </w:t>
            </w:r>
            <w:r w:rsidRPr="00AE0464">
              <w:rPr>
                <w:rFonts w:asciiTheme="majorHAnsi" w:eastAsiaTheme="minorHAnsi" w:hAnsiTheme="majorHAnsi" w:cstheme="majorHAnsi"/>
                <w:bCs w:val="0"/>
                <w:sz w:val="14"/>
                <w:szCs w:val="14"/>
                <w:lang w:val="en-US"/>
              </w:rPr>
              <w:t>specified by the manufacturer.</w:t>
            </w:r>
          </w:p>
          <w:p w14:paraId="485B11CE" w14:textId="7E06F436" w:rsidR="0040297C" w:rsidRDefault="0040297C" w:rsidP="00342397">
            <w:pPr>
              <w:pStyle w:val="Tabletext"/>
              <w:jc w:val="both"/>
              <w:rPr>
                <w:rFonts w:asciiTheme="majorHAnsi" w:hAnsiTheme="majorHAnsi" w:cstheme="majorHAnsi"/>
                <w:sz w:val="14"/>
                <w:szCs w:val="14"/>
              </w:rPr>
            </w:pPr>
            <w:r w:rsidRPr="00AE0464">
              <w:rPr>
                <w:rFonts w:asciiTheme="majorHAnsi" w:eastAsiaTheme="minorHAnsi" w:hAnsiTheme="majorHAnsi" w:cstheme="majorHAnsi"/>
                <w:bCs w:val="0"/>
                <w:sz w:val="14"/>
                <w:szCs w:val="14"/>
                <w:lang w:val="en-US"/>
              </w:rPr>
              <w:t>Where lifting holes are provided, the pipes shall be laid with the hole uppermost.  Lifting holes shall be plugged or otherwise closed off in accordance with the manufacturer’s instructions after the pipe is installed.</w:t>
            </w:r>
          </w:p>
          <w:p w14:paraId="426F6957" w14:textId="73D0E21C" w:rsidR="0040297C" w:rsidRPr="0038319D" w:rsidRDefault="0040297C" w:rsidP="00A541B8">
            <w:pPr>
              <w:pStyle w:val="SymalTableBody"/>
              <w:spacing w:before="20" w:after="20"/>
              <w:rPr>
                <w:rFonts w:ascii="Arial" w:hAnsi="Arial" w:cs="Arial"/>
                <w:b/>
                <w:bCs/>
                <w:sz w:val="16"/>
                <w:szCs w:val="16"/>
              </w:rPr>
            </w:pPr>
          </w:p>
        </w:tc>
        <w:tc>
          <w:tcPr>
            <w:tcW w:w="992" w:type="dxa"/>
            <w:shd w:val="clear" w:color="auto" w:fill="auto"/>
            <w:vAlign w:val="center"/>
          </w:tcPr>
          <w:p w14:paraId="4F870161" w14:textId="77777777" w:rsidR="0040297C" w:rsidRDefault="0040297C" w:rsidP="00A541B8">
            <w:pPr>
              <w:pStyle w:val="SymalTableBody"/>
              <w:spacing w:before="20" w:after="20"/>
              <w:jc w:val="center"/>
              <w:rPr>
                <w:sz w:val="14"/>
                <w:szCs w:val="14"/>
              </w:rPr>
            </w:pPr>
          </w:p>
          <w:p w14:paraId="4729194E" w14:textId="094CBFA2"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0EBC91FE" w14:textId="4BA4DC1C" w:rsidR="0040297C" w:rsidRPr="00D340C6" w:rsidRDefault="48B7D2BF" w:rsidP="3D07787B">
            <w:pPr>
              <w:pStyle w:val="SymalTableBody"/>
              <w:spacing w:before="20" w:after="20"/>
              <w:jc w:val="center"/>
              <w:rPr>
                <w:sz w:val="14"/>
                <w:szCs w:val="14"/>
              </w:rPr>
            </w:pPr>
            <w:r w:rsidRPr="3D07787B">
              <w:rPr>
                <w:sz w:val="14"/>
                <w:szCs w:val="14"/>
              </w:rPr>
              <w:t>W</w:t>
            </w:r>
          </w:p>
        </w:tc>
        <w:tc>
          <w:tcPr>
            <w:tcW w:w="851" w:type="dxa"/>
            <w:shd w:val="clear" w:color="auto" w:fill="auto"/>
            <w:vAlign w:val="center"/>
          </w:tcPr>
          <w:p w14:paraId="733969C7" w14:textId="2A270E38"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7C9BF372"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05D75BDF" w14:textId="77777777" w:rsidR="0040297C" w:rsidRPr="00741190" w:rsidRDefault="0040297C" w:rsidP="00A541B8">
            <w:pPr>
              <w:pStyle w:val="SymalTableBody"/>
              <w:spacing w:before="20" w:after="20"/>
              <w:jc w:val="center"/>
              <w:rPr>
                <w:b/>
                <w:bCs/>
                <w:szCs w:val="18"/>
              </w:rPr>
            </w:pPr>
          </w:p>
        </w:tc>
        <w:tc>
          <w:tcPr>
            <w:tcW w:w="850" w:type="dxa"/>
            <w:shd w:val="clear" w:color="auto" w:fill="auto"/>
          </w:tcPr>
          <w:p w14:paraId="31EC2C71"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635BB7E1" w14:textId="16B2723B" w:rsidR="0040297C" w:rsidRPr="0038319D" w:rsidRDefault="0040297C"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Visual Inspection: Joint Overlap</w:t>
            </w:r>
            <w:r w:rsidR="0038319D">
              <w:rPr>
                <w:b/>
                <w:bCs/>
                <w:sz w:val="20"/>
              </w:rPr>
              <w:t xml:space="preserve"> </w:t>
            </w:r>
          </w:p>
          <w:p w14:paraId="4C71A7E4" w14:textId="4CF68C33" w:rsidR="0040297C" w:rsidRPr="00741190" w:rsidRDefault="0040297C" w:rsidP="00A541B8">
            <w:pPr>
              <w:pStyle w:val="SymalTableBody"/>
              <w:spacing w:before="20" w:after="20"/>
              <w:rPr>
                <w:b/>
                <w:bCs/>
                <w:szCs w:val="18"/>
              </w:rPr>
            </w:pPr>
          </w:p>
        </w:tc>
      </w:tr>
      <w:tr w:rsidR="00901425" w:rsidRPr="00741190" w14:paraId="68916FB4" w14:textId="77777777" w:rsidTr="028E53E9">
        <w:trPr>
          <w:trHeight w:val="227"/>
        </w:trPr>
        <w:tc>
          <w:tcPr>
            <w:tcW w:w="15309" w:type="dxa"/>
            <w:gridSpan w:val="11"/>
            <w:shd w:val="clear" w:color="auto" w:fill="000000" w:themeFill="text2"/>
          </w:tcPr>
          <w:p w14:paraId="049523F7" w14:textId="682AB497" w:rsidR="00901425" w:rsidRPr="00A9655D" w:rsidRDefault="00901425" w:rsidP="00A541B8">
            <w:pPr>
              <w:pStyle w:val="SymalTableBody"/>
              <w:spacing w:before="20" w:after="20"/>
              <w:rPr>
                <w:b/>
                <w:bCs/>
                <w:sz w:val="20"/>
              </w:rPr>
            </w:pPr>
            <w:r>
              <w:rPr>
                <w:b/>
                <w:bCs/>
                <w:sz w:val="20"/>
              </w:rPr>
              <w:t xml:space="preserve">5.0 Installation of Box Culverts </w:t>
            </w:r>
          </w:p>
        </w:tc>
      </w:tr>
      <w:tr w:rsidR="00030E46" w:rsidRPr="00741190" w14:paraId="79A76FFF" w14:textId="77777777" w:rsidTr="028E53E9">
        <w:trPr>
          <w:trHeight w:val="227"/>
        </w:trPr>
        <w:tc>
          <w:tcPr>
            <w:tcW w:w="559" w:type="dxa"/>
            <w:shd w:val="clear" w:color="auto" w:fill="auto"/>
            <w:vAlign w:val="center"/>
          </w:tcPr>
          <w:p w14:paraId="2E773657" w14:textId="40F6522C" w:rsidR="0040297C" w:rsidRPr="004B6C8C" w:rsidRDefault="0040297C" w:rsidP="00A541B8">
            <w:pPr>
              <w:pStyle w:val="SymalTableBody"/>
              <w:spacing w:before="20" w:after="20"/>
              <w:rPr>
                <w:b/>
                <w:bCs/>
                <w:sz w:val="16"/>
                <w:szCs w:val="16"/>
              </w:rPr>
            </w:pPr>
            <w:r>
              <w:rPr>
                <w:b/>
                <w:bCs/>
                <w:sz w:val="16"/>
                <w:szCs w:val="16"/>
              </w:rPr>
              <w:t>5.1</w:t>
            </w:r>
          </w:p>
        </w:tc>
        <w:tc>
          <w:tcPr>
            <w:tcW w:w="2231" w:type="dxa"/>
            <w:shd w:val="clear" w:color="auto" w:fill="auto"/>
            <w:vAlign w:val="center"/>
          </w:tcPr>
          <w:p w14:paraId="2E6C7B4D" w14:textId="608FEC91"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Laying Box Culverts</w:t>
            </w:r>
          </w:p>
        </w:tc>
        <w:tc>
          <w:tcPr>
            <w:tcW w:w="786" w:type="dxa"/>
            <w:shd w:val="clear" w:color="auto" w:fill="auto"/>
            <w:vAlign w:val="center"/>
          </w:tcPr>
          <w:p w14:paraId="12C30EB2" w14:textId="1360C376" w:rsidR="0040297C" w:rsidRPr="0077197C"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VR Clause 701.17 (a) (c) (d)</w:t>
            </w:r>
          </w:p>
        </w:tc>
        <w:tc>
          <w:tcPr>
            <w:tcW w:w="4221" w:type="dxa"/>
            <w:shd w:val="clear" w:color="auto" w:fill="auto"/>
            <w:vAlign w:val="center"/>
          </w:tcPr>
          <w:p w14:paraId="748D8323" w14:textId="60615D57" w:rsidR="0040297C" w:rsidRDefault="0040297C" w:rsidP="00A541B8">
            <w:pPr>
              <w:pStyle w:val="Tabletext"/>
              <w:rPr>
                <w:rFonts w:asciiTheme="majorHAnsi" w:hAnsiTheme="majorHAnsi" w:cstheme="majorHAnsi"/>
                <w:sz w:val="14"/>
                <w:szCs w:val="14"/>
                <w:lang w:val="en-US"/>
              </w:rPr>
            </w:pPr>
            <w:r>
              <w:rPr>
                <w:rFonts w:asciiTheme="majorHAnsi" w:hAnsiTheme="majorHAnsi" w:cstheme="majorHAnsi"/>
                <w:sz w:val="14"/>
                <w:szCs w:val="14"/>
              </w:rPr>
              <w:t xml:space="preserve">Consecutive sections of box culverts shall be firmly butted together. The top sections shall match to the bottom sections and shall not be lapped over adjoining bottom section. </w:t>
            </w:r>
            <w:r w:rsidRPr="00816477">
              <w:rPr>
                <w:rFonts w:asciiTheme="majorHAnsi" w:hAnsiTheme="majorHAnsi" w:cstheme="majorHAnsi"/>
                <w:sz w:val="14"/>
                <w:szCs w:val="14"/>
                <w:lang w:val="en-US"/>
              </w:rPr>
              <w:t>The contact areas between the top and bottom sections shall be mortared.</w:t>
            </w:r>
          </w:p>
          <w:p w14:paraId="60176E58" w14:textId="3A9EAE32" w:rsidR="0040297C" w:rsidRPr="00D340C6" w:rsidRDefault="0040297C" w:rsidP="00A541B8">
            <w:pPr>
              <w:pStyle w:val="SymalTableBody"/>
              <w:spacing w:before="20" w:after="20"/>
              <w:rPr>
                <w:sz w:val="16"/>
                <w:szCs w:val="16"/>
              </w:rPr>
            </w:pPr>
          </w:p>
        </w:tc>
        <w:tc>
          <w:tcPr>
            <w:tcW w:w="992" w:type="dxa"/>
            <w:shd w:val="clear" w:color="auto" w:fill="auto"/>
            <w:vAlign w:val="center"/>
          </w:tcPr>
          <w:p w14:paraId="486233BF" w14:textId="77777777" w:rsidR="0040297C" w:rsidRDefault="0040297C" w:rsidP="00A541B8">
            <w:pPr>
              <w:pStyle w:val="SymalTableBody"/>
              <w:spacing w:before="20" w:after="20"/>
              <w:jc w:val="center"/>
              <w:rPr>
                <w:sz w:val="14"/>
                <w:szCs w:val="14"/>
              </w:rPr>
            </w:pPr>
          </w:p>
          <w:p w14:paraId="7DF12232" w14:textId="7A6803AB"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26B9DE83" w14:textId="3AD6BDB6" w:rsidR="0040297C" w:rsidRPr="00D340C6" w:rsidRDefault="1E7E3C15" w:rsidP="3D07787B">
            <w:pPr>
              <w:pStyle w:val="SymalTableBody"/>
              <w:spacing w:before="20" w:after="20" w:line="259" w:lineRule="auto"/>
              <w:jc w:val="center"/>
            </w:pPr>
            <w:r w:rsidRPr="3D07787B">
              <w:rPr>
                <w:sz w:val="14"/>
                <w:szCs w:val="14"/>
              </w:rPr>
              <w:t>R</w:t>
            </w:r>
          </w:p>
        </w:tc>
        <w:tc>
          <w:tcPr>
            <w:tcW w:w="851" w:type="dxa"/>
            <w:shd w:val="clear" w:color="auto" w:fill="auto"/>
            <w:vAlign w:val="center"/>
          </w:tcPr>
          <w:p w14:paraId="439A154A" w14:textId="739AC878"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092F9F96"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0309FFF5" w14:textId="77777777" w:rsidR="0040297C" w:rsidRPr="00741190" w:rsidRDefault="0040297C" w:rsidP="00A541B8">
            <w:pPr>
              <w:pStyle w:val="SymalTableBody"/>
              <w:spacing w:before="20" w:after="20"/>
              <w:jc w:val="center"/>
              <w:rPr>
                <w:b/>
                <w:bCs/>
                <w:szCs w:val="18"/>
              </w:rPr>
            </w:pPr>
          </w:p>
        </w:tc>
        <w:tc>
          <w:tcPr>
            <w:tcW w:w="850" w:type="dxa"/>
            <w:shd w:val="clear" w:color="auto" w:fill="auto"/>
          </w:tcPr>
          <w:p w14:paraId="31AD11E7"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579491BA" w14:textId="460BA04C" w:rsidR="0040297C" w:rsidRPr="00741190" w:rsidRDefault="0040297C" w:rsidP="00A541B8">
            <w:pPr>
              <w:pStyle w:val="SymalTableBody"/>
              <w:spacing w:before="20" w:after="20"/>
              <w:rPr>
                <w:b/>
                <w:bCs/>
                <w:szCs w:val="18"/>
              </w:rPr>
            </w:pPr>
          </w:p>
        </w:tc>
      </w:tr>
      <w:tr w:rsidR="00030E46" w:rsidRPr="00741190" w14:paraId="0E9AE258" w14:textId="77777777" w:rsidTr="028E53E9">
        <w:trPr>
          <w:trHeight w:val="227"/>
        </w:trPr>
        <w:tc>
          <w:tcPr>
            <w:tcW w:w="559" w:type="dxa"/>
            <w:shd w:val="clear" w:color="auto" w:fill="auto"/>
            <w:vAlign w:val="center"/>
          </w:tcPr>
          <w:p w14:paraId="4EB3CBF7" w14:textId="02A71137" w:rsidR="0040297C" w:rsidRPr="004B6C8C" w:rsidRDefault="0040297C" w:rsidP="00A541B8">
            <w:pPr>
              <w:pStyle w:val="SymalTableBody"/>
              <w:spacing w:before="20" w:after="20"/>
              <w:rPr>
                <w:b/>
                <w:bCs/>
                <w:sz w:val="16"/>
                <w:szCs w:val="16"/>
              </w:rPr>
            </w:pPr>
            <w:r>
              <w:rPr>
                <w:b/>
                <w:bCs/>
                <w:sz w:val="16"/>
                <w:szCs w:val="16"/>
              </w:rPr>
              <w:t>5.2</w:t>
            </w:r>
          </w:p>
        </w:tc>
        <w:tc>
          <w:tcPr>
            <w:tcW w:w="2231" w:type="dxa"/>
            <w:shd w:val="clear" w:color="auto" w:fill="auto"/>
            <w:vAlign w:val="center"/>
          </w:tcPr>
          <w:p w14:paraId="62A4A57C" w14:textId="1426703E"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 xml:space="preserve">Mortar </w:t>
            </w:r>
          </w:p>
        </w:tc>
        <w:tc>
          <w:tcPr>
            <w:tcW w:w="786" w:type="dxa"/>
            <w:shd w:val="clear" w:color="auto" w:fill="auto"/>
            <w:vAlign w:val="center"/>
          </w:tcPr>
          <w:p w14:paraId="21ACC60E" w14:textId="47F0E2DE" w:rsidR="0040297C"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VR Clause 701.09(f)</w:t>
            </w:r>
          </w:p>
          <w:p w14:paraId="616D6F52" w14:textId="7F3C2F45" w:rsidR="0040297C" w:rsidRPr="00031D18"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VR610.32</w:t>
            </w:r>
          </w:p>
        </w:tc>
        <w:tc>
          <w:tcPr>
            <w:tcW w:w="4221" w:type="dxa"/>
            <w:shd w:val="clear" w:color="auto" w:fill="auto"/>
            <w:vAlign w:val="center"/>
          </w:tcPr>
          <w:p w14:paraId="280429E3" w14:textId="6C7E3C29" w:rsidR="0040297C" w:rsidRDefault="0040297C" w:rsidP="00A541B8">
            <w:pPr>
              <w:pStyle w:val="Tabletext"/>
              <w:rPr>
                <w:rFonts w:asciiTheme="majorHAnsi" w:hAnsiTheme="majorHAnsi" w:cstheme="majorHAnsi"/>
                <w:sz w:val="14"/>
                <w:szCs w:val="14"/>
                <w:lang w:val="en-US"/>
              </w:rPr>
            </w:pPr>
            <w:r>
              <w:rPr>
                <w:rFonts w:asciiTheme="majorHAnsi" w:hAnsiTheme="majorHAnsi" w:cstheme="majorHAnsi"/>
                <w:sz w:val="14"/>
                <w:szCs w:val="14"/>
                <w:lang w:val="en-US"/>
              </w:rPr>
              <w:t>Mortar used in the laying of box culverts sections shall comply with the following requirements:</w:t>
            </w:r>
          </w:p>
          <w:p w14:paraId="42C7C3E7" w14:textId="6AD6FEB9" w:rsidR="0040297C" w:rsidRPr="00582F1E" w:rsidRDefault="0040297C" w:rsidP="00A541B8">
            <w:pPr>
              <w:pStyle w:val="Tabletext"/>
              <w:numPr>
                <w:ilvl w:val="0"/>
                <w:numId w:val="36"/>
              </w:numPr>
              <w:rPr>
                <w:rFonts w:asciiTheme="majorHAnsi" w:eastAsiaTheme="minorHAnsi" w:hAnsiTheme="majorHAnsi" w:cstheme="majorHAnsi"/>
                <w:bCs w:val="0"/>
                <w:sz w:val="14"/>
                <w:szCs w:val="14"/>
                <w:lang w:val="en-US"/>
              </w:rPr>
            </w:pPr>
            <w:r>
              <w:rPr>
                <w:rFonts w:asciiTheme="majorHAnsi" w:hAnsiTheme="majorHAnsi" w:cstheme="majorHAnsi"/>
                <w:sz w:val="14"/>
                <w:szCs w:val="14"/>
                <w:lang w:val="en-US"/>
              </w:rPr>
              <w:t>Shrinkage compensating proprietary product.</w:t>
            </w:r>
          </w:p>
          <w:p w14:paraId="04B357FA" w14:textId="29CEB974" w:rsidR="0040297C" w:rsidRPr="00582F1E" w:rsidRDefault="0040297C" w:rsidP="00A541B8">
            <w:pPr>
              <w:pStyle w:val="Tabletext"/>
              <w:numPr>
                <w:ilvl w:val="0"/>
                <w:numId w:val="36"/>
              </w:numPr>
              <w:rPr>
                <w:rFonts w:asciiTheme="majorHAnsi" w:eastAsiaTheme="minorHAnsi" w:hAnsiTheme="majorHAnsi" w:cstheme="majorHAnsi"/>
                <w:bCs w:val="0"/>
                <w:sz w:val="14"/>
                <w:szCs w:val="14"/>
                <w:lang w:val="en-US"/>
              </w:rPr>
            </w:pPr>
            <w:r>
              <w:rPr>
                <w:rFonts w:asciiTheme="majorHAnsi" w:hAnsiTheme="majorHAnsi" w:cstheme="majorHAnsi"/>
                <w:sz w:val="14"/>
                <w:szCs w:val="14"/>
                <w:lang w:val="en-US"/>
              </w:rPr>
              <w:t xml:space="preserve">Min 28-day compressive strength not less than </w:t>
            </w:r>
            <w:r w:rsidRPr="00DF1A44">
              <w:rPr>
                <w:rFonts w:asciiTheme="majorHAnsi" w:hAnsiTheme="majorHAnsi" w:cstheme="majorHAnsi"/>
                <w:b/>
                <w:bCs w:val="0"/>
                <w:sz w:val="14"/>
                <w:szCs w:val="14"/>
                <w:lang w:val="en-US"/>
              </w:rPr>
              <w:t>40 MPa</w:t>
            </w:r>
            <w:r>
              <w:rPr>
                <w:rFonts w:asciiTheme="majorHAnsi" w:hAnsiTheme="majorHAnsi" w:cstheme="majorHAnsi"/>
                <w:sz w:val="14"/>
                <w:szCs w:val="14"/>
                <w:lang w:val="en-US"/>
              </w:rPr>
              <w:t>.</w:t>
            </w:r>
          </w:p>
          <w:p w14:paraId="6F42CA3D" w14:textId="2A2CA9BF" w:rsidR="0040297C" w:rsidRPr="00582F1E" w:rsidRDefault="0040297C" w:rsidP="00A541B8">
            <w:pPr>
              <w:pStyle w:val="Tabletext"/>
              <w:numPr>
                <w:ilvl w:val="0"/>
                <w:numId w:val="36"/>
              </w:numPr>
              <w:rPr>
                <w:rFonts w:asciiTheme="majorHAnsi" w:eastAsiaTheme="minorHAnsi" w:hAnsiTheme="majorHAnsi" w:cstheme="majorHAnsi"/>
                <w:bCs w:val="0"/>
                <w:sz w:val="14"/>
                <w:szCs w:val="14"/>
                <w:lang w:val="en-US"/>
              </w:rPr>
            </w:pPr>
            <w:r>
              <w:rPr>
                <w:rFonts w:asciiTheme="majorHAnsi" w:hAnsiTheme="majorHAnsi" w:cstheme="majorHAnsi"/>
                <w:sz w:val="14"/>
                <w:szCs w:val="14"/>
                <w:lang w:val="en-US"/>
              </w:rPr>
              <w:lastRenderedPageBreak/>
              <w:t>Cementitious grouts shall be min Type C Class dual shrinkage compensating.</w:t>
            </w:r>
          </w:p>
          <w:p w14:paraId="70557DBE" w14:textId="77777777" w:rsidR="0040297C" w:rsidRDefault="0040297C" w:rsidP="00A541B8">
            <w:pPr>
              <w:pStyle w:val="Tabletext"/>
              <w:rPr>
                <w:rFonts w:asciiTheme="majorHAnsi" w:hAnsiTheme="majorHAnsi" w:cstheme="majorHAnsi"/>
                <w:sz w:val="14"/>
                <w:szCs w:val="14"/>
                <w:lang w:val="en-US"/>
              </w:rPr>
            </w:pPr>
            <w:r>
              <w:rPr>
                <w:rFonts w:asciiTheme="majorHAnsi" w:hAnsiTheme="majorHAnsi" w:cstheme="majorHAnsi"/>
                <w:sz w:val="14"/>
                <w:szCs w:val="14"/>
                <w:lang w:val="en-US"/>
              </w:rPr>
              <w:t>Testing requirements:</w:t>
            </w:r>
          </w:p>
          <w:p w14:paraId="3E547E7F" w14:textId="78FBEF73" w:rsidR="00641127" w:rsidRPr="002A0FB9" w:rsidRDefault="0040297C" w:rsidP="002A0FB9">
            <w:pPr>
              <w:pStyle w:val="Tabletext"/>
              <w:numPr>
                <w:ilvl w:val="0"/>
                <w:numId w:val="36"/>
              </w:numPr>
              <w:rPr>
                <w:rFonts w:asciiTheme="majorHAnsi" w:eastAsiaTheme="minorHAnsi" w:hAnsiTheme="majorHAnsi" w:cstheme="majorHAnsi"/>
                <w:bCs w:val="0"/>
                <w:sz w:val="14"/>
                <w:szCs w:val="14"/>
                <w:lang w:val="en-US"/>
              </w:rPr>
            </w:pPr>
            <w:r w:rsidRPr="00582F1E">
              <w:rPr>
                <w:rFonts w:asciiTheme="majorHAnsi" w:hAnsiTheme="majorHAnsi" w:cstheme="majorHAnsi"/>
                <w:sz w:val="14"/>
                <w:szCs w:val="14"/>
                <w:lang w:val="en-US"/>
              </w:rPr>
              <w:t>Three 75 mm test cubes shall be taken from the first batch of material mixed, then thre</w:t>
            </w:r>
            <w:r>
              <w:rPr>
                <w:rFonts w:asciiTheme="majorHAnsi" w:hAnsiTheme="majorHAnsi" w:cstheme="majorHAnsi"/>
                <w:sz w:val="14"/>
                <w:szCs w:val="14"/>
                <w:lang w:val="en-US"/>
              </w:rPr>
              <w:t>e</w:t>
            </w:r>
            <w:r w:rsidRPr="00582F1E">
              <w:rPr>
                <w:rFonts w:asciiTheme="majorHAnsi" w:hAnsiTheme="majorHAnsi" w:cstheme="majorHAnsi"/>
                <w:sz w:val="14"/>
                <w:szCs w:val="14"/>
                <w:lang w:val="en-US"/>
              </w:rPr>
              <w:t xml:space="preserve"> 75 mm cubes for every 100 kg of material used thereafter to test for compressive strength.</w:t>
            </w:r>
            <w:r>
              <w:rPr>
                <w:rFonts w:asciiTheme="majorHAnsi" w:hAnsiTheme="majorHAnsi" w:cstheme="majorHAnsi"/>
                <w:sz w:val="14"/>
                <w:szCs w:val="14"/>
                <w:lang w:val="en-US"/>
              </w:rPr>
              <w:t xml:space="preserve"> Following (</w:t>
            </w:r>
            <w:r w:rsidRPr="00A9655D">
              <w:rPr>
                <w:rFonts w:asciiTheme="majorHAnsi" w:hAnsiTheme="majorHAnsi" w:cstheme="majorHAnsi"/>
                <w:sz w:val="14"/>
                <w:szCs w:val="14"/>
                <w:lang w:val="en-US"/>
              </w:rPr>
              <w:t>2 x 7-day cubes, 1 x 28-day cube</w:t>
            </w:r>
            <w:r>
              <w:rPr>
                <w:rFonts w:asciiTheme="majorHAnsi" w:hAnsiTheme="majorHAnsi" w:cstheme="majorHAnsi"/>
                <w:sz w:val="14"/>
                <w:szCs w:val="14"/>
                <w:lang w:val="en-US"/>
              </w:rPr>
              <w:t>).</w:t>
            </w:r>
          </w:p>
        </w:tc>
        <w:tc>
          <w:tcPr>
            <w:tcW w:w="992" w:type="dxa"/>
            <w:shd w:val="clear" w:color="auto" w:fill="auto"/>
            <w:vAlign w:val="center"/>
          </w:tcPr>
          <w:p w14:paraId="098B0144" w14:textId="77777777" w:rsidR="0040297C" w:rsidRDefault="0040297C" w:rsidP="00A541B8">
            <w:pPr>
              <w:pStyle w:val="SymalTableBody"/>
              <w:spacing w:before="20" w:after="20"/>
              <w:jc w:val="center"/>
              <w:rPr>
                <w:sz w:val="14"/>
                <w:szCs w:val="14"/>
              </w:rPr>
            </w:pPr>
          </w:p>
          <w:p w14:paraId="4A85A295" w14:textId="34BC4707"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35FD97AC" w14:textId="45F2597C" w:rsidR="0040297C" w:rsidRPr="00A9655D" w:rsidRDefault="0040297C" w:rsidP="00A541B8">
            <w:pPr>
              <w:pStyle w:val="SymalTableBody"/>
              <w:spacing w:before="20" w:after="20"/>
              <w:jc w:val="center"/>
              <w:rPr>
                <w:sz w:val="14"/>
                <w:szCs w:val="14"/>
              </w:rPr>
            </w:pPr>
          </w:p>
          <w:p w14:paraId="5CB07EA8" w14:textId="77777777" w:rsidR="0040297C" w:rsidRPr="00A9655D" w:rsidRDefault="0040297C" w:rsidP="00A541B8">
            <w:pPr>
              <w:pStyle w:val="SymalTableBody"/>
              <w:spacing w:before="20" w:after="20"/>
              <w:rPr>
                <w:sz w:val="14"/>
                <w:szCs w:val="14"/>
              </w:rPr>
            </w:pPr>
          </w:p>
          <w:p w14:paraId="79F7DB07" w14:textId="77777777" w:rsidR="0040297C" w:rsidRPr="00A9655D" w:rsidRDefault="0040297C" w:rsidP="00A541B8">
            <w:pPr>
              <w:pStyle w:val="SymalTableBody"/>
              <w:spacing w:before="20" w:after="20"/>
              <w:jc w:val="center"/>
              <w:rPr>
                <w:sz w:val="14"/>
                <w:szCs w:val="14"/>
              </w:rPr>
            </w:pPr>
          </w:p>
          <w:p w14:paraId="2D75B464" w14:textId="1EB41D8B" w:rsidR="0040297C" w:rsidRDefault="66EC2842" w:rsidP="00A541B8">
            <w:pPr>
              <w:pStyle w:val="SymalTableBody"/>
              <w:spacing w:before="20" w:after="20"/>
              <w:jc w:val="center"/>
              <w:rPr>
                <w:sz w:val="14"/>
                <w:szCs w:val="14"/>
              </w:rPr>
            </w:pPr>
            <w:r w:rsidRPr="3D07787B">
              <w:rPr>
                <w:sz w:val="14"/>
                <w:szCs w:val="14"/>
              </w:rPr>
              <w:t>R</w:t>
            </w:r>
          </w:p>
          <w:p w14:paraId="7448EE95" w14:textId="77777777" w:rsidR="0040297C" w:rsidRDefault="0040297C" w:rsidP="00A541B8">
            <w:pPr>
              <w:pStyle w:val="SymalTableBody"/>
              <w:spacing w:before="20" w:after="20"/>
              <w:jc w:val="center"/>
              <w:rPr>
                <w:sz w:val="14"/>
                <w:szCs w:val="14"/>
              </w:rPr>
            </w:pPr>
          </w:p>
          <w:p w14:paraId="3DF22814" w14:textId="77777777" w:rsidR="0040297C" w:rsidRDefault="0040297C" w:rsidP="00A541B8">
            <w:pPr>
              <w:pStyle w:val="SymalTableBody"/>
              <w:spacing w:before="20" w:after="20"/>
              <w:jc w:val="center"/>
              <w:rPr>
                <w:sz w:val="14"/>
                <w:szCs w:val="14"/>
              </w:rPr>
            </w:pPr>
          </w:p>
          <w:p w14:paraId="03BAFCCF" w14:textId="43BA7193" w:rsidR="0040297C" w:rsidRPr="00D340C6" w:rsidRDefault="0040297C" w:rsidP="3D07787B">
            <w:pPr>
              <w:pStyle w:val="SymalTableBody"/>
              <w:spacing w:before="20" w:after="20"/>
              <w:jc w:val="center"/>
              <w:rPr>
                <w:sz w:val="14"/>
                <w:szCs w:val="14"/>
              </w:rPr>
            </w:pPr>
          </w:p>
        </w:tc>
        <w:tc>
          <w:tcPr>
            <w:tcW w:w="851" w:type="dxa"/>
            <w:shd w:val="clear" w:color="auto" w:fill="auto"/>
            <w:vAlign w:val="center"/>
          </w:tcPr>
          <w:p w14:paraId="37813A09" w14:textId="2B023860" w:rsidR="0040297C" w:rsidRPr="00D340C6" w:rsidRDefault="0040297C" w:rsidP="00A541B8">
            <w:pPr>
              <w:pStyle w:val="SymalTableBody"/>
              <w:spacing w:before="20" w:after="20"/>
              <w:jc w:val="center"/>
              <w:rPr>
                <w:sz w:val="16"/>
                <w:szCs w:val="16"/>
              </w:rPr>
            </w:pPr>
            <w:r w:rsidRPr="00EA0774">
              <w:rPr>
                <w:sz w:val="14"/>
                <w:szCs w:val="14"/>
              </w:rPr>
              <w:lastRenderedPageBreak/>
              <w:t>S</w:t>
            </w:r>
            <w:r>
              <w:rPr>
                <w:sz w:val="14"/>
                <w:szCs w:val="14"/>
              </w:rPr>
              <w:t>E</w:t>
            </w:r>
          </w:p>
        </w:tc>
        <w:tc>
          <w:tcPr>
            <w:tcW w:w="850" w:type="dxa"/>
            <w:shd w:val="clear" w:color="auto" w:fill="auto"/>
          </w:tcPr>
          <w:p w14:paraId="739C44E2"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4D0B753B" w14:textId="77777777" w:rsidR="0040297C" w:rsidRPr="00741190" w:rsidRDefault="0040297C" w:rsidP="00A541B8">
            <w:pPr>
              <w:pStyle w:val="SymalTableBody"/>
              <w:spacing w:before="20" w:after="20"/>
              <w:jc w:val="center"/>
              <w:rPr>
                <w:b/>
                <w:bCs/>
                <w:szCs w:val="18"/>
              </w:rPr>
            </w:pPr>
          </w:p>
        </w:tc>
        <w:tc>
          <w:tcPr>
            <w:tcW w:w="850" w:type="dxa"/>
            <w:shd w:val="clear" w:color="auto" w:fill="auto"/>
          </w:tcPr>
          <w:p w14:paraId="4B9D3E43"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3CA32AD2" w14:textId="77777777" w:rsidR="0040297C" w:rsidRDefault="0040297C" w:rsidP="00A541B8">
            <w:pPr>
              <w:pStyle w:val="Tabletext"/>
              <w:rPr>
                <w:rFonts w:asciiTheme="majorHAnsi" w:hAnsiTheme="majorHAnsi" w:cstheme="majorHAnsi"/>
                <w:sz w:val="14"/>
                <w:szCs w:val="14"/>
                <w:lang w:val="en-US"/>
              </w:rPr>
            </w:pPr>
          </w:p>
          <w:p w14:paraId="2B2FAC09" w14:textId="313796DB" w:rsidR="0040297C" w:rsidRDefault="0040297C" w:rsidP="00A541B8">
            <w:pPr>
              <w:pStyle w:val="Tabletext"/>
              <w:rPr>
                <w:rFonts w:asciiTheme="majorHAnsi" w:hAnsiTheme="majorHAnsi" w:cstheme="majorHAnsi"/>
                <w:sz w:val="14"/>
                <w:szCs w:val="14"/>
                <w:lang w:val="en-US"/>
              </w:rPr>
            </w:pPr>
            <w:r>
              <w:rPr>
                <w:rFonts w:asciiTheme="majorHAnsi" w:hAnsiTheme="majorHAnsi" w:cstheme="majorHAnsi"/>
                <w:sz w:val="14"/>
                <w:szCs w:val="14"/>
                <w:lang w:val="en-US"/>
              </w:rPr>
              <w:t>Technical Data Sheet</w:t>
            </w:r>
          </w:p>
          <w:p w14:paraId="3DF2DBD0" w14:textId="77777777" w:rsidR="00EE2F3F" w:rsidRDefault="0040297C" w:rsidP="00A541B8">
            <w:pPr>
              <w:pStyle w:val="SymalTableBody"/>
              <w:spacing w:before="20" w:after="20"/>
              <w:rPr>
                <w:b/>
                <w:bCs/>
                <w:sz w:val="14"/>
                <w:szCs w:val="14"/>
              </w:rPr>
            </w:pPr>
            <w:r>
              <w:rPr>
                <w:b/>
                <w:bCs/>
                <w:sz w:val="14"/>
                <w:szCs w:val="14"/>
              </w:rPr>
              <w:t xml:space="preserve">Yes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rFonts w:ascii="Arial" w:hAnsi="Arial" w:cs="Arial"/>
                <w:b/>
                <w:bCs/>
                <w:sz w:val="24"/>
                <w:szCs w:val="24"/>
              </w:rPr>
              <w:t>□</w:t>
            </w:r>
            <w:r>
              <w:rPr>
                <w:b/>
                <w:bCs/>
                <w:sz w:val="14"/>
                <w:szCs w:val="14"/>
              </w:rPr>
              <w:t xml:space="preserve">      </w:t>
            </w:r>
          </w:p>
          <w:p w14:paraId="577A01FC" w14:textId="77777777" w:rsidR="00EE2F3F" w:rsidRDefault="00EE2F3F" w:rsidP="00A541B8">
            <w:pPr>
              <w:pStyle w:val="SymalTableBody"/>
              <w:spacing w:before="20" w:after="20"/>
              <w:rPr>
                <w:b/>
                <w:bCs/>
                <w:sz w:val="14"/>
                <w:szCs w:val="14"/>
              </w:rPr>
            </w:pPr>
          </w:p>
          <w:p w14:paraId="57618724" w14:textId="29D1E315" w:rsidR="00DF1A44" w:rsidRDefault="00DF1A44" w:rsidP="00A541B8">
            <w:pPr>
              <w:pStyle w:val="SymalTableBody"/>
              <w:spacing w:before="20" w:after="20"/>
              <w:rPr>
                <w:rFonts w:asciiTheme="majorHAnsi" w:hAnsiTheme="majorHAnsi" w:cstheme="majorHAnsi"/>
                <w:sz w:val="14"/>
                <w:szCs w:val="14"/>
                <w:lang w:val="en-US"/>
              </w:rPr>
            </w:pPr>
            <w:r>
              <w:rPr>
                <w:rFonts w:asciiTheme="majorHAnsi" w:hAnsiTheme="majorHAnsi" w:cstheme="majorHAnsi"/>
                <w:sz w:val="14"/>
                <w:szCs w:val="14"/>
                <w:lang w:val="en-US"/>
              </w:rPr>
              <w:lastRenderedPageBreak/>
              <w:t xml:space="preserve">Delivery Dockets of Mortar </w:t>
            </w:r>
            <w:r w:rsidRPr="00064EBA">
              <w:rPr>
                <w:rFonts w:cstheme="minorHAnsi"/>
                <w:b/>
                <w:bCs/>
                <w:sz w:val="28"/>
                <w:szCs w:val="28"/>
              </w:rPr>
              <w:t>□</w:t>
            </w:r>
          </w:p>
          <w:p w14:paraId="40C04B08" w14:textId="078A1558" w:rsidR="0040297C" w:rsidRPr="00031D18" w:rsidRDefault="00EE2F3F" w:rsidP="00A541B8">
            <w:pPr>
              <w:pStyle w:val="SymalTableBody"/>
              <w:spacing w:before="20" w:after="20"/>
              <w:rPr>
                <w:b/>
                <w:bCs/>
                <w:sz w:val="14"/>
                <w:szCs w:val="14"/>
              </w:rPr>
            </w:pPr>
            <w:r>
              <w:rPr>
                <w:rFonts w:asciiTheme="majorHAnsi" w:hAnsiTheme="majorHAnsi" w:cstheme="majorHAnsi"/>
                <w:sz w:val="14"/>
                <w:szCs w:val="14"/>
                <w:lang w:val="en-US"/>
              </w:rPr>
              <w:t>Compressive strength Report</w:t>
            </w:r>
            <w:r w:rsidR="004F42C4">
              <w:rPr>
                <w:rFonts w:asciiTheme="majorHAnsi" w:hAnsiTheme="majorHAnsi" w:cstheme="majorHAnsi"/>
                <w:sz w:val="14"/>
                <w:szCs w:val="14"/>
                <w:lang w:val="en-US"/>
              </w:rPr>
              <w:t xml:space="preserve"> </w:t>
            </w:r>
            <w:r w:rsidR="004F42C4" w:rsidRPr="00064EBA">
              <w:rPr>
                <w:rFonts w:cstheme="minorHAnsi"/>
                <w:b/>
                <w:bCs/>
                <w:sz w:val="28"/>
                <w:szCs w:val="28"/>
              </w:rPr>
              <w:t>□</w:t>
            </w:r>
            <w:r w:rsidR="0040297C">
              <w:rPr>
                <w:b/>
                <w:bCs/>
                <w:sz w:val="14"/>
                <w:szCs w:val="14"/>
              </w:rPr>
              <w:t xml:space="preserve">  </w:t>
            </w:r>
          </w:p>
          <w:p w14:paraId="6A6A6468" w14:textId="442C4007" w:rsidR="0040297C" w:rsidRPr="00741190" w:rsidRDefault="0040297C" w:rsidP="00A541B8">
            <w:pPr>
              <w:pStyle w:val="SymalTableBody"/>
              <w:spacing w:before="20" w:after="20"/>
              <w:rPr>
                <w:b/>
                <w:bCs/>
                <w:szCs w:val="18"/>
              </w:rPr>
            </w:pPr>
          </w:p>
        </w:tc>
      </w:tr>
      <w:tr w:rsidR="00901425" w:rsidRPr="00741190" w14:paraId="3B1794C1" w14:textId="77777777" w:rsidTr="028E53E9">
        <w:trPr>
          <w:trHeight w:val="227"/>
        </w:trPr>
        <w:tc>
          <w:tcPr>
            <w:tcW w:w="15309" w:type="dxa"/>
            <w:gridSpan w:val="11"/>
            <w:shd w:val="clear" w:color="auto" w:fill="000000" w:themeFill="text2"/>
          </w:tcPr>
          <w:p w14:paraId="1B9B97B4" w14:textId="05B6F29F" w:rsidR="00901425" w:rsidRPr="00741190" w:rsidRDefault="00901425" w:rsidP="00A541B8">
            <w:pPr>
              <w:pStyle w:val="SymalTableBody"/>
              <w:spacing w:before="20" w:after="20"/>
              <w:rPr>
                <w:b/>
                <w:bCs/>
                <w:szCs w:val="18"/>
              </w:rPr>
            </w:pPr>
            <w:r w:rsidRPr="00A9655D">
              <w:rPr>
                <w:b/>
                <w:bCs/>
                <w:sz w:val="20"/>
              </w:rPr>
              <w:t>6.0</w:t>
            </w:r>
            <w:r>
              <w:rPr>
                <w:b/>
                <w:bCs/>
                <w:sz w:val="20"/>
              </w:rPr>
              <w:t xml:space="preserve"> Completion of Works and Backfilling </w:t>
            </w:r>
          </w:p>
        </w:tc>
      </w:tr>
      <w:tr w:rsidR="00030E46" w:rsidRPr="00741190" w14:paraId="0F6D0530" w14:textId="77777777" w:rsidTr="028E53E9">
        <w:trPr>
          <w:trHeight w:val="227"/>
        </w:trPr>
        <w:tc>
          <w:tcPr>
            <w:tcW w:w="559" w:type="dxa"/>
            <w:shd w:val="clear" w:color="auto" w:fill="auto"/>
            <w:vAlign w:val="center"/>
          </w:tcPr>
          <w:p w14:paraId="6D2AECAD" w14:textId="072FF6A2" w:rsidR="0040297C" w:rsidRPr="004B6C8C" w:rsidRDefault="0040297C" w:rsidP="00A541B8">
            <w:pPr>
              <w:pStyle w:val="SymalTableBody"/>
              <w:spacing w:before="20" w:after="20"/>
              <w:rPr>
                <w:b/>
                <w:bCs/>
                <w:sz w:val="16"/>
                <w:szCs w:val="16"/>
              </w:rPr>
            </w:pPr>
            <w:r>
              <w:rPr>
                <w:b/>
                <w:bCs/>
                <w:sz w:val="16"/>
                <w:szCs w:val="16"/>
              </w:rPr>
              <w:t>6.1</w:t>
            </w:r>
          </w:p>
        </w:tc>
        <w:tc>
          <w:tcPr>
            <w:tcW w:w="2231" w:type="dxa"/>
            <w:shd w:val="clear" w:color="auto" w:fill="auto"/>
            <w:vAlign w:val="center"/>
          </w:tcPr>
          <w:p w14:paraId="22C69738" w14:textId="25AEC5EC"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Backfill Underground Drainage</w:t>
            </w:r>
          </w:p>
        </w:tc>
        <w:tc>
          <w:tcPr>
            <w:tcW w:w="786" w:type="dxa"/>
            <w:shd w:val="clear" w:color="auto" w:fill="auto"/>
            <w:vAlign w:val="center"/>
          </w:tcPr>
          <w:p w14:paraId="37A40840" w14:textId="2ACAF5CB" w:rsidR="0040297C" w:rsidRPr="00031D18"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VR Clause 701.19</w:t>
            </w:r>
          </w:p>
        </w:tc>
        <w:tc>
          <w:tcPr>
            <w:tcW w:w="4221" w:type="dxa"/>
            <w:shd w:val="clear" w:color="auto" w:fill="auto"/>
            <w:vAlign w:val="center"/>
          </w:tcPr>
          <w:p w14:paraId="2859ECF0" w14:textId="77777777" w:rsidR="0040297C" w:rsidRDefault="0040297C" w:rsidP="00A541B8">
            <w:pPr>
              <w:keepNext/>
              <w:spacing w:before="19" w:line="200" w:lineRule="exact"/>
              <w:rPr>
                <w:rFonts w:asciiTheme="majorHAnsi" w:hAnsiTheme="majorHAnsi" w:cstheme="majorHAnsi"/>
                <w:sz w:val="14"/>
                <w:szCs w:val="14"/>
              </w:rPr>
            </w:pPr>
            <w:r>
              <w:rPr>
                <w:rFonts w:asciiTheme="majorHAnsi" w:hAnsiTheme="majorHAnsi" w:cstheme="majorHAnsi"/>
                <w:sz w:val="14"/>
                <w:szCs w:val="14"/>
              </w:rPr>
              <w:t>Place and compact backfill material in max loose layer thickness of 150 mm.</w:t>
            </w:r>
          </w:p>
          <w:p w14:paraId="0AB49212" w14:textId="17A0E762" w:rsidR="001539DD" w:rsidRDefault="0040297C" w:rsidP="001539DD">
            <w:pPr>
              <w:keepNext/>
              <w:spacing w:before="19" w:after="0" w:line="200" w:lineRule="exact"/>
              <w:rPr>
                <w:rFonts w:asciiTheme="majorHAnsi" w:hAnsiTheme="majorHAnsi" w:cstheme="majorHAnsi"/>
                <w:b/>
                <w:sz w:val="14"/>
                <w:szCs w:val="14"/>
              </w:rPr>
            </w:pPr>
            <w:r>
              <w:rPr>
                <w:rFonts w:asciiTheme="majorHAnsi" w:hAnsiTheme="majorHAnsi" w:cstheme="majorHAnsi"/>
                <w:sz w:val="14"/>
                <w:szCs w:val="14"/>
              </w:rPr>
              <w:t>(</w:t>
            </w:r>
            <w:proofErr w:type="spellStart"/>
            <w:r>
              <w:rPr>
                <w:rFonts w:asciiTheme="majorHAnsi" w:hAnsiTheme="majorHAnsi" w:cstheme="majorHAnsi"/>
                <w:sz w:val="14"/>
                <w:szCs w:val="14"/>
              </w:rPr>
              <w:t>i</w:t>
            </w:r>
            <w:proofErr w:type="spellEnd"/>
            <w:r>
              <w:rPr>
                <w:rFonts w:asciiTheme="majorHAnsi" w:hAnsiTheme="majorHAnsi" w:cstheme="majorHAnsi"/>
                <w:sz w:val="14"/>
                <w:szCs w:val="14"/>
              </w:rPr>
              <w:t xml:space="preserve">) </w:t>
            </w:r>
            <w:r w:rsidRPr="00CF5E66">
              <w:rPr>
                <w:rFonts w:asciiTheme="majorHAnsi" w:hAnsiTheme="majorHAnsi" w:cstheme="majorHAnsi"/>
                <w:b/>
                <w:sz w:val="14"/>
                <w:szCs w:val="14"/>
              </w:rPr>
              <w:t>Under area to be paved:</w:t>
            </w:r>
            <w:r w:rsidR="001539DD">
              <w:rPr>
                <w:rFonts w:asciiTheme="majorHAnsi" w:hAnsiTheme="majorHAnsi" w:cstheme="majorHAnsi"/>
                <w:b/>
                <w:sz w:val="14"/>
                <w:szCs w:val="14"/>
              </w:rPr>
              <w:t xml:space="preserve"> </w:t>
            </w:r>
            <w:r w:rsidR="001539DD" w:rsidRPr="00064EBA">
              <w:rPr>
                <w:rFonts w:ascii="Arial" w:hAnsi="Arial" w:cs="Arial"/>
                <w:b/>
                <w:bCs/>
                <w:sz w:val="24"/>
                <w:szCs w:val="24"/>
              </w:rPr>
              <w:t>□</w:t>
            </w:r>
            <w:r w:rsidR="001539DD">
              <w:rPr>
                <w:b/>
                <w:bCs/>
                <w:sz w:val="14"/>
                <w:szCs w:val="14"/>
              </w:rPr>
              <w:t xml:space="preserve">  </w:t>
            </w:r>
          </w:p>
          <w:p w14:paraId="1CE36E9C" w14:textId="1C5BD985" w:rsidR="0040297C" w:rsidRPr="007052CB" w:rsidRDefault="0040297C" w:rsidP="00A541B8">
            <w:pPr>
              <w:keepNext/>
              <w:spacing w:before="19" w:line="200" w:lineRule="exact"/>
              <w:rPr>
                <w:rFonts w:asciiTheme="majorHAnsi" w:hAnsiTheme="majorHAnsi" w:cstheme="majorHAnsi"/>
                <w:b/>
                <w:sz w:val="14"/>
                <w:szCs w:val="14"/>
              </w:rPr>
            </w:pPr>
            <w:r>
              <w:rPr>
                <w:rFonts w:asciiTheme="majorHAnsi" w:hAnsiTheme="majorHAnsi" w:cstheme="majorHAnsi"/>
                <w:sz w:val="14"/>
                <w:szCs w:val="14"/>
              </w:rPr>
              <w:t xml:space="preserve"> </w:t>
            </w:r>
            <w:r w:rsidRPr="005026C6">
              <w:rPr>
                <w:rFonts w:asciiTheme="majorHAnsi" w:hAnsiTheme="majorHAnsi" w:cstheme="majorHAnsi"/>
                <w:sz w:val="14"/>
                <w:szCs w:val="14"/>
              </w:rPr>
              <w:t>Where the trench has been excavated from design subgrade level or above, the trench shall be backfilled to design subgrade level with selected backfill material, and above that level with appropriate pavement material.</w:t>
            </w:r>
          </w:p>
          <w:p w14:paraId="5C170BB8" w14:textId="77777777" w:rsidR="0040297C" w:rsidRDefault="0040297C" w:rsidP="00A541B8">
            <w:pPr>
              <w:keepNext/>
              <w:spacing w:before="19" w:line="200" w:lineRule="exact"/>
              <w:rPr>
                <w:rFonts w:asciiTheme="majorHAnsi" w:hAnsiTheme="majorHAnsi" w:cstheme="majorHAnsi"/>
                <w:sz w:val="14"/>
                <w:szCs w:val="14"/>
              </w:rPr>
            </w:pPr>
            <w:r w:rsidRPr="005026C6">
              <w:rPr>
                <w:rFonts w:asciiTheme="majorHAnsi" w:hAnsiTheme="majorHAnsi" w:cstheme="majorHAnsi"/>
                <w:sz w:val="14"/>
                <w:szCs w:val="14"/>
              </w:rPr>
              <w:t>Where the trench is excavated from below design subgrade level the trench shall be filled with selected backfill material.</w:t>
            </w:r>
          </w:p>
          <w:p w14:paraId="7BC70A9A" w14:textId="12D965C2" w:rsidR="0040297C" w:rsidRDefault="0040297C"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(ii) </w:t>
            </w:r>
            <w:r w:rsidRPr="00CF5E66">
              <w:rPr>
                <w:rFonts w:asciiTheme="majorHAnsi" w:hAnsiTheme="majorHAnsi" w:cstheme="majorHAnsi"/>
                <w:b/>
                <w:sz w:val="14"/>
                <w:szCs w:val="14"/>
              </w:rPr>
              <w:t>Under area not to be paved:</w:t>
            </w:r>
            <w:r>
              <w:rPr>
                <w:rFonts w:asciiTheme="majorHAnsi" w:hAnsiTheme="majorHAnsi" w:cstheme="majorHAnsi"/>
                <w:sz w:val="14"/>
                <w:szCs w:val="14"/>
              </w:rPr>
              <w:t xml:space="preserve"> </w:t>
            </w:r>
            <w:r w:rsidR="001539DD" w:rsidRPr="00064EBA">
              <w:rPr>
                <w:rFonts w:ascii="Arial" w:hAnsi="Arial" w:cs="Arial"/>
                <w:b/>
                <w:bCs/>
                <w:sz w:val="24"/>
                <w:szCs w:val="24"/>
              </w:rPr>
              <w:t>□</w:t>
            </w:r>
            <w:r w:rsidR="001539DD">
              <w:rPr>
                <w:b/>
                <w:bCs/>
                <w:sz w:val="14"/>
                <w:szCs w:val="14"/>
              </w:rPr>
              <w:t xml:space="preserve">  </w:t>
            </w:r>
          </w:p>
          <w:p w14:paraId="2ADD4EFA" w14:textId="584C9A94" w:rsidR="0040297C" w:rsidRPr="007052CB" w:rsidRDefault="0040297C" w:rsidP="00A541B8">
            <w:pPr>
              <w:pStyle w:val="SymalTableBody"/>
              <w:spacing w:before="20" w:after="20"/>
              <w:rPr>
                <w:rFonts w:asciiTheme="majorHAnsi" w:hAnsiTheme="majorHAnsi" w:cstheme="majorHAnsi"/>
                <w:sz w:val="14"/>
                <w:szCs w:val="14"/>
              </w:rPr>
            </w:pPr>
            <w:r w:rsidRPr="00AE0464">
              <w:rPr>
                <w:rFonts w:asciiTheme="majorHAnsi" w:hAnsiTheme="majorHAnsi" w:cstheme="majorHAnsi"/>
                <w:sz w:val="14"/>
                <w:szCs w:val="14"/>
              </w:rPr>
              <w:t>The trench shall be backfilled with selected backfill material to a level 0.3 m above the top of the culvert and with ordinary backfill material above that level.</w:t>
            </w:r>
          </w:p>
        </w:tc>
        <w:tc>
          <w:tcPr>
            <w:tcW w:w="992" w:type="dxa"/>
            <w:shd w:val="clear" w:color="auto" w:fill="auto"/>
            <w:vAlign w:val="center"/>
          </w:tcPr>
          <w:p w14:paraId="6DDA7C63" w14:textId="77777777" w:rsidR="0040297C" w:rsidRDefault="0040297C" w:rsidP="00A541B8">
            <w:pPr>
              <w:pStyle w:val="SymalTableBody"/>
              <w:spacing w:before="20" w:after="20"/>
              <w:jc w:val="center"/>
              <w:rPr>
                <w:sz w:val="14"/>
                <w:szCs w:val="14"/>
              </w:rPr>
            </w:pPr>
          </w:p>
          <w:p w14:paraId="072B8A7D" w14:textId="71E2E204"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2AB43F4F" w14:textId="37612951" w:rsidR="4C610328" w:rsidRDefault="4C610328" w:rsidP="3D07787B">
            <w:pPr>
              <w:pStyle w:val="SymalTableBody"/>
              <w:spacing w:before="20" w:after="20" w:line="259" w:lineRule="auto"/>
              <w:jc w:val="center"/>
            </w:pPr>
            <w:r w:rsidRPr="3D07787B">
              <w:rPr>
                <w:sz w:val="14"/>
                <w:szCs w:val="14"/>
              </w:rPr>
              <w:t>R</w:t>
            </w:r>
          </w:p>
          <w:p w14:paraId="2C6CA3B2" w14:textId="5B33A926" w:rsidR="0040297C" w:rsidRPr="00D340C6" w:rsidRDefault="0040297C" w:rsidP="00A541B8">
            <w:pPr>
              <w:pStyle w:val="SymalTableBody"/>
              <w:spacing w:before="20" w:after="20"/>
              <w:jc w:val="center"/>
              <w:rPr>
                <w:sz w:val="16"/>
                <w:szCs w:val="16"/>
              </w:rPr>
            </w:pPr>
            <w:r>
              <w:rPr>
                <w:sz w:val="14"/>
                <w:szCs w:val="14"/>
              </w:rPr>
              <w:t>I</w:t>
            </w:r>
          </w:p>
        </w:tc>
        <w:tc>
          <w:tcPr>
            <w:tcW w:w="851" w:type="dxa"/>
            <w:shd w:val="clear" w:color="auto" w:fill="auto"/>
            <w:vAlign w:val="center"/>
          </w:tcPr>
          <w:p w14:paraId="5ED0A5AD" w14:textId="67ECEAF2"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0570B8AA"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50690AED" w14:textId="77777777" w:rsidR="0040297C" w:rsidRPr="00741190" w:rsidRDefault="0040297C" w:rsidP="00A541B8">
            <w:pPr>
              <w:pStyle w:val="SymalTableBody"/>
              <w:spacing w:before="20" w:after="20"/>
              <w:jc w:val="center"/>
              <w:rPr>
                <w:b/>
                <w:bCs/>
                <w:szCs w:val="18"/>
              </w:rPr>
            </w:pPr>
          </w:p>
        </w:tc>
        <w:tc>
          <w:tcPr>
            <w:tcW w:w="850" w:type="dxa"/>
            <w:shd w:val="clear" w:color="auto" w:fill="auto"/>
          </w:tcPr>
          <w:p w14:paraId="68D516A3"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51D264AC" w14:textId="4ADBE3D6" w:rsidR="0040297C" w:rsidRPr="00741190" w:rsidRDefault="0040297C" w:rsidP="00A541B8">
            <w:pPr>
              <w:pStyle w:val="SymalTableBody"/>
              <w:spacing w:before="20" w:after="20"/>
              <w:rPr>
                <w:b/>
                <w:bCs/>
                <w:szCs w:val="18"/>
              </w:rPr>
            </w:pPr>
          </w:p>
        </w:tc>
      </w:tr>
      <w:tr w:rsidR="00030E46" w:rsidRPr="00741190" w14:paraId="1DAD30D6" w14:textId="77777777" w:rsidTr="028E53E9">
        <w:trPr>
          <w:trHeight w:val="227"/>
        </w:trPr>
        <w:tc>
          <w:tcPr>
            <w:tcW w:w="559" w:type="dxa"/>
            <w:shd w:val="clear" w:color="auto" w:fill="auto"/>
            <w:vAlign w:val="center"/>
          </w:tcPr>
          <w:p w14:paraId="646CA8B9" w14:textId="0C82B956" w:rsidR="0040297C" w:rsidRPr="004B6C8C" w:rsidRDefault="0040297C" w:rsidP="00A541B8">
            <w:pPr>
              <w:pStyle w:val="SymalTableBody"/>
              <w:spacing w:before="20" w:after="20"/>
              <w:rPr>
                <w:b/>
                <w:bCs/>
                <w:sz w:val="16"/>
                <w:szCs w:val="16"/>
              </w:rPr>
            </w:pPr>
            <w:r>
              <w:rPr>
                <w:b/>
                <w:bCs/>
                <w:sz w:val="16"/>
                <w:szCs w:val="16"/>
              </w:rPr>
              <w:t>6.2</w:t>
            </w:r>
          </w:p>
        </w:tc>
        <w:tc>
          <w:tcPr>
            <w:tcW w:w="2231" w:type="dxa"/>
            <w:shd w:val="clear" w:color="auto" w:fill="auto"/>
            <w:vAlign w:val="center"/>
          </w:tcPr>
          <w:p w14:paraId="3791BA71" w14:textId="028A426B"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Backfill with Cement Stabilised Sand</w:t>
            </w:r>
          </w:p>
        </w:tc>
        <w:tc>
          <w:tcPr>
            <w:tcW w:w="786" w:type="dxa"/>
            <w:shd w:val="clear" w:color="auto" w:fill="auto"/>
            <w:vAlign w:val="center"/>
          </w:tcPr>
          <w:p w14:paraId="6CAA56D7" w14:textId="62052923" w:rsidR="0040297C" w:rsidRPr="00D340C6" w:rsidRDefault="0040297C" w:rsidP="00A541B8">
            <w:pPr>
              <w:pStyle w:val="SymalTableBody"/>
              <w:spacing w:before="20" w:after="20"/>
              <w:jc w:val="center"/>
              <w:rPr>
                <w:sz w:val="16"/>
                <w:szCs w:val="16"/>
              </w:rPr>
            </w:pPr>
            <w:r>
              <w:rPr>
                <w:rFonts w:asciiTheme="majorHAnsi" w:hAnsiTheme="majorHAnsi" w:cstheme="majorHAnsi"/>
                <w:sz w:val="14"/>
                <w:szCs w:val="14"/>
              </w:rPr>
              <w:t>VR Clause 701.19 (c)</w:t>
            </w:r>
          </w:p>
        </w:tc>
        <w:tc>
          <w:tcPr>
            <w:tcW w:w="4221" w:type="dxa"/>
            <w:shd w:val="clear" w:color="auto" w:fill="auto"/>
            <w:vAlign w:val="center"/>
          </w:tcPr>
          <w:p w14:paraId="5DD2757B" w14:textId="5ACADBE7" w:rsidR="0040297C" w:rsidRPr="00C63BE5" w:rsidRDefault="0040297C"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Culverts</w:t>
            </w:r>
            <w:r w:rsidRPr="0024342A">
              <w:rPr>
                <w:rFonts w:asciiTheme="majorHAnsi" w:hAnsiTheme="majorHAnsi" w:cstheme="majorHAnsi"/>
                <w:sz w:val="14"/>
                <w:szCs w:val="14"/>
              </w:rPr>
              <w:t xml:space="preserve"> in trenches may be backfilled to half the pipe diameter or box culvert height with 3% cement stabilised sand with a water content sufficient to ensure penetration beneath the pipe or box culvert invert without leaving free surface water.</w:t>
            </w:r>
          </w:p>
        </w:tc>
        <w:tc>
          <w:tcPr>
            <w:tcW w:w="992" w:type="dxa"/>
            <w:shd w:val="clear" w:color="auto" w:fill="auto"/>
            <w:vAlign w:val="center"/>
          </w:tcPr>
          <w:p w14:paraId="49945FFE" w14:textId="77777777" w:rsidR="0040297C" w:rsidRDefault="0040297C" w:rsidP="00A541B8">
            <w:pPr>
              <w:pStyle w:val="SymalTableBody"/>
              <w:spacing w:before="20" w:after="20"/>
              <w:jc w:val="center"/>
              <w:rPr>
                <w:sz w:val="14"/>
                <w:szCs w:val="14"/>
              </w:rPr>
            </w:pPr>
          </w:p>
          <w:p w14:paraId="6DF1E7CB" w14:textId="5C337188"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7456371A" w14:textId="547E1721" w:rsidR="0040297C" w:rsidRPr="00A9655D" w:rsidRDefault="0040297C" w:rsidP="00A541B8">
            <w:pPr>
              <w:pStyle w:val="SymalTableBody"/>
              <w:spacing w:before="20" w:after="20"/>
              <w:jc w:val="center"/>
              <w:rPr>
                <w:sz w:val="14"/>
                <w:szCs w:val="14"/>
              </w:rPr>
            </w:pPr>
            <w:r w:rsidRPr="3D07787B">
              <w:rPr>
                <w:sz w:val="14"/>
                <w:szCs w:val="14"/>
              </w:rPr>
              <w:t>H</w:t>
            </w:r>
          </w:p>
        </w:tc>
        <w:tc>
          <w:tcPr>
            <w:tcW w:w="851" w:type="dxa"/>
            <w:shd w:val="clear" w:color="auto" w:fill="auto"/>
            <w:vAlign w:val="center"/>
          </w:tcPr>
          <w:p w14:paraId="2A8CD110" w14:textId="5DF0D1BC"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773D2CF3"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00F253D4" w14:textId="77777777" w:rsidR="0040297C" w:rsidRPr="00741190" w:rsidRDefault="0040297C" w:rsidP="00A541B8">
            <w:pPr>
              <w:pStyle w:val="SymalTableBody"/>
              <w:spacing w:before="20" w:after="20"/>
              <w:jc w:val="center"/>
              <w:rPr>
                <w:b/>
                <w:bCs/>
                <w:szCs w:val="18"/>
              </w:rPr>
            </w:pPr>
          </w:p>
        </w:tc>
        <w:tc>
          <w:tcPr>
            <w:tcW w:w="850" w:type="dxa"/>
            <w:shd w:val="clear" w:color="auto" w:fill="auto"/>
          </w:tcPr>
          <w:p w14:paraId="6B868EB5"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40149233" w14:textId="77777777" w:rsidR="0040297C" w:rsidRDefault="0040297C" w:rsidP="00A541B8">
            <w:pPr>
              <w:pStyle w:val="Tabletext"/>
              <w:rPr>
                <w:rFonts w:asciiTheme="majorHAnsi" w:hAnsiTheme="majorHAnsi" w:cstheme="majorHAnsi"/>
                <w:sz w:val="14"/>
                <w:szCs w:val="14"/>
              </w:rPr>
            </w:pPr>
          </w:p>
          <w:p w14:paraId="241D936B" w14:textId="435CE70F" w:rsidR="0040297C" w:rsidRPr="00741190" w:rsidRDefault="006F182C" w:rsidP="00A541B8">
            <w:pPr>
              <w:pStyle w:val="SymalTableBody"/>
              <w:spacing w:before="20" w:after="20"/>
              <w:rPr>
                <w:b/>
                <w:bCs/>
                <w:szCs w:val="18"/>
              </w:rPr>
            </w:pPr>
            <w:r w:rsidRPr="006F182C">
              <w:rPr>
                <w:rFonts w:asciiTheme="majorHAnsi" w:hAnsiTheme="majorHAnsi" w:cstheme="majorHAnsi"/>
                <w:sz w:val="14"/>
                <w:szCs w:val="14"/>
              </w:rPr>
              <w:t>Delivery Dockets</w:t>
            </w:r>
            <w:r>
              <w:rPr>
                <w:rFonts w:asciiTheme="majorHAnsi" w:hAnsiTheme="majorHAnsi" w:cstheme="majorHAnsi"/>
                <w:sz w:val="14"/>
                <w:szCs w:val="14"/>
              </w:rPr>
              <w:t xml:space="preserve"> </w:t>
            </w:r>
            <w:r w:rsidRPr="00064EBA">
              <w:rPr>
                <w:rFonts w:ascii="Arial" w:hAnsi="Arial" w:cs="Arial"/>
                <w:b/>
                <w:bCs/>
                <w:sz w:val="24"/>
                <w:szCs w:val="24"/>
              </w:rPr>
              <w:t>□</w:t>
            </w:r>
          </w:p>
        </w:tc>
      </w:tr>
      <w:tr w:rsidR="00C63BE5" w:rsidRPr="00741190" w14:paraId="0996FB5B" w14:textId="77777777" w:rsidTr="028E53E9">
        <w:trPr>
          <w:trHeight w:val="227"/>
        </w:trPr>
        <w:tc>
          <w:tcPr>
            <w:tcW w:w="559" w:type="dxa"/>
            <w:shd w:val="clear" w:color="auto" w:fill="auto"/>
            <w:vAlign w:val="center"/>
          </w:tcPr>
          <w:p w14:paraId="4065F338" w14:textId="05682EF9" w:rsidR="00C63BE5" w:rsidRDefault="00C63BE5" w:rsidP="00C63BE5">
            <w:pPr>
              <w:pStyle w:val="SymalTableBody"/>
              <w:spacing w:before="20" w:after="20"/>
              <w:rPr>
                <w:b/>
                <w:bCs/>
                <w:sz w:val="16"/>
                <w:szCs w:val="16"/>
              </w:rPr>
            </w:pPr>
            <w:r>
              <w:rPr>
                <w:b/>
                <w:bCs/>
                <w:sz w:val="16"/>
                <w:szCs w:val="16"/>
              </w:rPr>
              <w:t>6.3</w:t>
            </w:r>
          </w:p>
        </w:tc>
        <w:tc>
          <w:tcPr>
            <w:tcW w:w="2231" w:type="dxa"/>
            <w:shd w:val="clear" w:color="auto" w:fill="auto"/>
            <w:vAlign w:val="center"/>
          </w:tcPr>
          <w:p w14:paraId="22306F61" w14:textId="63052437" w:rsidR="00C63BE5" w:rsidRPr="00C63BE5" w:rsidRDefault="00C63BE5" w:rsidP="00C63BE5">
            <w:pPr>
              <w:pStyle w:val="SymalTableBody"/>
              <w:spacing w:before="20" w:after="20"/>
              <w:rPr>
                <w:rFonts w:asciiTheme="majorHAnsi" w:hAnsiTheme="majorHAnsi" w:cstheme="majorHAnsi"/>
                <w:sz w:val="14"/>
                <w:szCs w:val="14"/>
              </w:rPr>
            </w:pPr>
            <w:r w:rsidRPr="00C63BE5">
              <w:rPr>
                <w:rFonts w:asciiTheme="majorHAnsi" w:hAnsiTheme="majorHAnsi" w:cstheme="majorHAnsi"/>
                <w:sz w:val="14"/>
                <w:szCs w:val="14"/>
              </w:rPr>
              <w:t>Testing – Backfill Material</w:t>
            </w:r>
          </w:p>
        </w:tc>
        <w:tc>
          <w:tcPr>
            <w:tcW w:w="786" w:type="dxa"/>
            <w:shd w:val="clear" w:color="auto" w:fill="auto"/>
            <w:vAlign w:val="center"/>
          </w:tcPr>
          <w:p w14:paraId="372DB361" w14:textId="574B3BEE" w:rsidR="00C63BE5" w:rsidRPr="00C63BE5" w:rsidRDefault="00C63BE5" w:rsidP="00C63BE5">
            <w:pPr>
              <w:pStyle w:val="SymalTableBody"/>
              <w:spacing w:before="20" w:after="20"/>
              <w:jc w:val="center"/>
              <w:rPr>
                <w:rFonts w:asciiTheme="majorHAnsi" w:hAnsiTheme="majorHAnsi" w:cstheme="majorHAnsi"/>
                <w:sz w:val="14"/>
                <w:szCs w:val="14"/>
              </w:rPr>
            </w:pPr>
            <w:r w:rsidRPr="00C63BE5">
              <w:rPr>
                <w:rFonts w:asciiTheme="majorHAnsi" w:hAnsiTheme="majorHAnsi" w:cstheme="majorHAnsi"/>
                <w:sz w:val="14"/>
                <w:szCs w:val="14"/>
              </w:rPr>
              <w:t>VR Clause 701.29</w:t>
            </w:r>
          </w:p>
        </w:tc>
        <w:tc>
          <w:tcPr>
            <w:tcW w:w="4221" w:type="dxa"/>
            <w:shd w:val="clear" w:color="auto" w:fill="auto"/>
            <w:vAlign w:val="center"/>
          </w:tcPr>
          <w:p w14:paraId="6F477397" w14:textId="46EE1A22" w:rsidR="00C63BE5" w:rsidRPr="00C63BE5" w:rsidRDefault="00C63BE5" w:rsidP="00C63BE5">
            <w:pPr>
              <w:pStyle w:val="SymalTableBody"/>
              <w:spacing w:before="20" w:after="20"/>
              <w:rPr>
                <w:rFonts w:asciiTheme="majorHAnsi" w:hAnsiTheme="majorHAnsi" w:cstheme="majorHAnsi"/>
                <w:sz w:val="14"/>
                <w:szCs w:val="14"/>
              </w:rPr>
            </w:pPr>
            <w:r w:rsidRPr="00C63BE5">
              <w:rPr>
                <w:rFonts w:asciiTheme="majorHAnsi" w:hAnsiTheme="majorHAnsi" w:cstheme="majorHAnsi"/>
                <w:sz w:val="14"/>
                <w:szCs w:val="14"/>
              </w:rPr>
              <w:t>Grading and Plasticity Index– one test per 1000 tonnes or part thereof.</w:t>
            </w:r>
          </w:p>
        </w:tc>
        <w:tc>
          <w:tcPr>
            <w:tcW w:w="992" w:type="dxa"/>
            <w:shd w:val="clear" w:color="auto" w:fill="auto"/>
            <w:vAlign w:val="center"/>
          </w:tcPr>
          <w:p w14:paraId="000E824D" w14:textId="77777777" w:rsidR="00C63BE5" w:rsidRPr="00C63BE5" w:rsidRDefault="00C63BE5" w:rsidP="00C63BE5">
            <w:pPr>
              <w:pStyle w:val="SymalTableBody"/>
              <w:spacing w:before="20" w:after="20"/>
              <w:jc w:val="center"/>
              <w:rPr>
                <w:sz w:val="14"/>
                <w:szCs w:val="14"/>
              </w:rPr>
            </w:pPr>
          </w:p>
          <w:p w14:paraId="232A6284" w14:textId="47A9737A" w:rsidR="00C63BE5" w:rsidRPr="00C63BE5" w:rsidRDefault="00C63BE5" w:rsidP="00C63BE5">
            <w:pPr>
              <w:pStyle w:val="SymalTableBody"/>
              <w:spacing w:before="20" w:after="20"/>
              <w:jc w:val="center"/>
              <w:rPr>
                <w:sz w:val="14"/>
                <w:szCs w:val="14"/>
              </w:rPr>
            </w:pPr>
            <w:r w:rsidRPr="00C63BE5">
              <w:rPr>
                <w:sz w:val="14"/>
                <w:szCs w:val="14"/>
              </w:rPr>
              <w:t>Each lot</w:t>
            </w:r>
          </w:p>
        </w:tc>
        <w:tc>
          <w:tcPr>
            <w:tcW w:w="850" w:type="dxa"/>
            <w:shd w:val="clear" w:color="auto" w:fill="auto"/>
            <w:vAlign w:val="center"/>
          </w:tcPr>
          <w:p w14:paraId="2C1222C5" w14:textId="4ABFEF4E" w:rsidR="00C63BE5" w:rsidRPr="00C63BE5" w:rsidRDefault="00C63BE5" w:rsidP="00C63BE5">
            <w:pPr>
              <w:pStyle w:val="SymalTableBody"/>
              <w:spacing w:before="20" w:after="20"/>
              <w:jc w:val="center"/>
              <w:rPr>
                <w:sz w:val="14"/>
                <w:szCs w:val="14"/>
              </w:rPr>
            </w:pPr>
            <w:r w:rsidRPr="00C63BE5">
              <w:rPr>
                <w:sz w:val="14"/>
                <w:szCs w:val="14"/>
              </w:rPr>
              <w:t>R</w:t>
            </w:r>
          </w:p>
        </w:tc>
        <w:tc>
          <w:tcPr>
            <w:tcW w:w="851" w:type="dxa"/>
            <w:shd w:val="clear" w:color="auto" w:fill="auto"/>
            <w:vAlign w:val="center"/>
          </w:tcPr>
          <w:p w14:paraId="4ECC979D" w14:textId="404C5E99" w:rsidR="00C63BE5" w:rsidRPr="00C63BE5" w:rsidRDefault="00C63BE5" w:rsidP="00C63BE5">
            <w:pPr>
              <w:pStyle w:val="SymalTableBody"/>
              <w:spacing w:before="20" w:after="20"/>
              <w:jc w:val="center"/>
              <w:rPr>
                <w:sz w:val="14"/>
                <w:szCs w:val="14"/>
              </w:rPr>
            </w:pPr>
            <w:r w:rsidRPr="00C63BE5">
              <w:rPr>
                <w:sz w:val="14"/>
                <w:szCs w:val="14"/>
              </w:rPr>
              <w:t>SE</w:t>
            </w:r>
          </w:p>
        </w:tc>
        <w:tc>
          <w:tcPr>
            <w:tcW w:w="850" w:type="dxa"/>
            <w:shd w:val="clear" w:color="auto" w:fill="auto"/>
          </w:tcPr>
          <w:p w14:paraId="19E136C8" w14:textId="77777777" w:rsidR="00C63BE5" w:rsidRPr="00C63BE5" w:rsidRDefault="00C63BE5" w:rsidP="00C63BE5">
            <w:pPr>
              <w:pStyle w:val="SymalTableBody"/>
              <w:spacing w:before="20" w:after="20"/>
              <w:jc w:val="center"/>
              <w:rPr>
                <w:b/>
                <w:bCs/>
                <w:szCs w:val="18"/>
              </w:rPr>
            </w:pPr>
          </w:p>
        </w:tc>
        <w:tc>
          <w:tcPr>
            <w:tcW w:w="851" w:type="dxa"/>
            <w:shd w:val="clear" w:color="auto" w:fill="auto"/>
          </w:tcPr>
          <w:p w14:paraId="6FFF5AD7" w14:textId="77777777" w:rsidR="00C63BE5" w:rsidRPr="00C63BE5" w:rsidRDefault="00C63BE5" w:rsidP="00C63BE5">
            <w:pPr>
              <w:pStyle w:val="SymalTableBody"/>
              <w:spacing w:before="20" w:after="20"/>
              <w:jc w:val="center"/>
              <w:rPr>
                <w:b/>
                <w:bCs/>
                <w:szCs w:val="18"/>
              </w:rPr>
            </w:pPr>
          </w:p>
        </w:tc>
        <w:tc>
          <w:tcPr>
            <w:tcW w:w="850" w:type="dxa"/>
            <w:shd w:val="clear" w:color="auto" w:fill="auto"/>
          </w:tcPr>
          <w:p w14:paraId="324CCF2F" w14:textId="77777777" w:rsidR="00C63BE5" w:rsidRPr="00C63BE5" w:rsidRDefault="00C63BE5" w:rsidP="00C63BE5">
            <w:pPr>
              <w:pStyle w:val="SymalTableBody"/>
              <w:spacing w:before="20" w:after="20"/>
              <w:jc w:val="center"/>
              <w:rPr>
                <w:b/>
                <w:bCs/>
                <w:szCs w:val="18"/>
              </w:rPr>
            </w:pPr>
          </w:p>
        </w:tc>
        <w:tc>
          <w:tcPr>
            <w:tcW w:w="2268" w:type="dxa"/>
            <w:shd w:val="clear" w:color="auto" w:fill="auto"/>
          </w:tcPr>
          <w:p w14:paraId="47B51943" w14:textId="4CD5F690" w:rsidR="00C63BE5" w:rsidRPr="00C63BE5" w:rsidRDefault="00C63BE5" w:rsidP="00C63BE5">
            <w:pPr>
              <w:pStyle w:val="Tabletext"/>
              <w:rPr>
                <w:rFonts w:asciiTheme="majorHAnsi" w:hAnsiTheme="majorHAnsi" w:cstheme="majorHAnsi"/>
                <w:sz w:val="14"/>
                <w:szCs w:val="14"/>
              </w:rPr>
            </w:pPr>
            <w:r w:rsidRPr="00C63BE5">
              <w:rPr>
                <w:rFonts w:asciiTheme="majorHAnsi" w:hAnsiTheme="majorHAnsi" w:cstheme="majorHAnsi"/>
                <w:sz w:val="14"/>
                <w:szCs w:val="14"/>
              </w:rPr>
              <w:t xml:space="preserve">NATA Test Report: Grading and PI </w:t>
            </w:r>
            <w:r w:rsidRPr="00C63BE5">
              <w:rPr>
                <w:rFonts w:cstheme="minorHAnsi"/>
                <w:b/>
                <w:sz w:val="28"/>
                <w:szCs w:val="28"/>
              </w:rPr>
              <w:t>□</w:t>
            </w:r>
          </w:p>
        </w:tc>
      </w:tr>
      <w:tr w:rsidR="00030E46" w:rsidRPr="00741190" w14:paraId="1318B204" w14:textId="77777777" w:rsidTr="028E53E9">
        <w:trPr>
          <w:trHeight w:val="227"/>
        </w:trPr>
        <w:tc>
          <w:tcPr>
            <w:tcW w:w="559" w:type="dxa"/>
            <w:shd w:val="clear" w:color="auto" w:fill="auto"/>
            <w:vAlign w:val="center"/>
          </w:tcPr>
          <w:p w14:paraId="183747BA" w14:textId="4D8E8143" w:rsidR="0040297C" w:rsidRPr="004B6C8C" w:rsidRDefault="0040297C" w:rsidP="00A541B8">
            <w:pPr>
              <w:pStyle w:val="SymalTableBody"/>
              <w:spacing w:before="20" w:after="20"/>
              <w:rPr>
                <w:b/>
                <w:bCs/>
                <w:sz w:val="16"/>
                <w:szCs w:val="16"/>
              </w:rPr>
            </w:pPr>
            <w:r>
              <w:rPr>
                <w:b/>
                <w:bCs/>
                <w:sz w:val="16"/>
                <w:szCs w:val="16"/>
              </w:rPr>
              <w:t>6.</w:t>
            </w:r>
            <w:r w:rsidR="002D5672">
              <w:rPr>
                <w:b/>
                <w:bCs/>
                <w:sz w:val="16"/>
                <w:szCs w:val="16"/>
              </w:rPr>
              <w:t>4</w:t>
            </w:r>
          </w:p>
        </w:tc>
        <w:tc>
          <w:tcPr>
            <w:tcW w:w="2231" w:type="dxa"/>
            <w:shd w:val="clear" w:color="auto" w:fill="auto"/>
            <w:vAlign w:val="center"/>
          </w:tcPr>
          <w:p w14:paraId="1BC77713" w14:textId="62E8A9FE"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Compaction: Backfill</w:t>
            </w:r>
          </w:p>
        </w:tc>
        <w:tc>
          <w:tcPr>
            <w:tcW w:w="786" w:type="dxa"/>
            <w:shd w:val="clear" w:color="auto" w:fill="auto"/>
            <w:vAlign w:val="center"/>
          </w:tcPr>
          <w:p w14:paraId="4E2FD8D6" w14:textId="10460DEB" w:rsidR="0040297C" w:rsidRPr="00D340C6" w:rsidRDefault="0040297C" w:rsidP="00A541B8">
            <w:pPr>
              <w:pStyle w:val="SymalTableBody"/>
              <w:spacing w:before="20" w:after="20"/>
              <w:jc w:val="center"/>
              <w:rPr>
                <w:sz w:val="16"/>
                <w:szCs w:val="16"/>
              </w:rPr>
            </w:pPr>
            <w:r>
              <w:rPr>
                <w:rFonts w:asciiTheme="majorHAnsi" w:hAnsiTheme="majorHAnsi" w:cstheme="majorHAnsi"/>
                <w:sz w:val="14"/>
                <w:szCs w:val="14"/>
              </w:rPr>
              <w:t>VR Clause 701.20</w:t>
            </w:r>
          </w:p>
        </w:tc>
        <w:tc>
          <w:tcPr>
            <w:tcW w:w="4221" w:type="dxa"/>
            <w:shd w:val="clear" w:color="auto" w:fill="auto"/>
            <w:vAlign w:val="center"/>
          </w:tcPr>
          <w:p w14:paraId="71DA3F98" w14:textId="77777777" w:rsidR="0040297C" w:rsidRDefault="0040297C" w:rsidP="00A541B8">
            <w:pPr>
              <w:keepNext/>
              <w:spacing w:before="19" w:line="200" w:lineRule="exact"/>
              <w:rPr>
                <w:rFonts w:asciiTheme="majorHAnsi" w:hAnsiTheme="majorHAnsi" w:cstheme="majorHAnsi"/>
                <w:sz w:val="14"/>
                <w:szCs w:val="14"/>
              </w:rPr>
            </w:pPr>
            <w:r>
              <w:rPr>
                <w:rFonts w:asciiTheme="majorHAnsi" w:hAnsiTheme="majorHAnsi" w:cstheme="majorHAnsi"/>
                <w:sz w:val="14"/>
                <w:szCs w:val="14"/>
              </w:rPr>
              <w:t xml:space="preserve">One </w:t>
            </w:r>
            <w:r w:rsidRPr="00950FFE">
              <w:rPr>
                <w:rFonts w:asciiTheme="majorHAnsi" w:hAnsiTheme="majorHAnsi" w:cstheme="majorHAnsi"/>
                <w:sz w:val="14"/>
                <w:szCs w:val="14"/>
              </w:rPr>
              <w:t>lot</w:t>
            </w:r>
            <w:r>
              <w:rPr>
                <w:rFonts w:asciiTheme="majorHAnsi" w:hAnsiTheme="majorHAnsi" w:cstheme="majorHAnsi"/>
                <w:sz w:val="14"/>
                <w:szCs w:val="14"/>
              </w:rPr>
              <w:t xml:space="preserve"> is</w:t>
            </w:r>
            <w:r w:rsidRPr="00950FFE">
              <w:rPr>
                <w:rFonts w:asciiTheme="majorHAnsi" w:hAnsiTheme="majorHAnsi" w:cstheme="majorHAnsi"/>
                <w:sz w:val="14"/>
                <w:szCs w:val="14"/>
              </w:rPr>
              <w:t xml:space="preserve"> to be raised for backfill for a culvert length (between adjacent pits or end-walls). 3 tests required per layer and </w:t>
            </w:r>
            <w:r w:rsidRPr="00A94C55">
              <w:rPr>
                <w:rFonts w:asciiTheme="majorHAnsi" w:hAnsiTheme="majorHAnsi" w:cstheme="majorHAnsi"/>
                <w:b/>
                <w:bCs/>
                <w:sz w:val="14"/>
                <w:szCs w:val="14"/>
                <w:u w:val="single"/>
              </w:rPr>
              <w:t xml:space="preserve">a </w:t>
            </w:r>
            <w:r w:rsidRPr="00A94C55">
              <w:rPr>
                <w:rFonts w:asciiTheme="majorHAnsi" w:hAnsiTheme="majorHAnsi" w:cstheme="majorHAnsi"/>
                <w:b/>
                <w:bCs/>
                <w:sz w:val="14"/>
                <w:szCs w:val="14"/>
                <w:u w:val="single"/>
              </w:rPr>
              <w:lastRenderedPageBreak/>
              <w:t>minimum of 20% of all layers for each culvert shall be tested</w:t>
            </w:r>
            <w:r w:rsidRPr="00950FFE">
              <w:rPr>
                <w:rFonts w:asciiTheme="majorHAnsi" w:hAnsiTheme="majorHAnsi" w:cstheme="majorHAnsi"/>
                <w:sz w:val="14"/>
                <w:szCs w:val="14"/>
              </w:rPr>
              <w:t>.</w:t>
            </w:r>
          </w:p>
          <w:p w14:paraId="0E527DAF" w14:textId="286AF704" w:rsidR="00FD71CA" w:rsidRPr="00FC60A9" w:rsidRDefault="00FD71CA" w:rsidP="001B088F">
            <w:pPr>
              <w:keepNext/>
              <w:spacing w:before="19" w:after="0" w:line="200" w:lineRule="exact"/>
              <w:rPr>
                <w:rFonts w:asciiTheme="majorHAnsi" w:hAnsiTheme="majorHAnsi" w:cstheme="majorHAnsi"/>
                <w:b/>
                <w:bCs/>
                <w:sz w:val="14"/>
                <w:szCs w:val="14"/>
                <w:u w:val="single"/>
              </w:rPr>
            </w:pPr>
            <w:r w:rsidRPr="00FC60A9">
              <w:rPr>
                <w:rFonts w:asciiTheme="majorHAnsi" w:hAnsiTheme="majorHAnsi" w:cstheme="majorHAnsi"/>
                <w:b/>
                <w:bCs/>
                <w:sz w:val="14"/>
                <w:szCs w:val="14"/>
                <w:u w:val="single"/>
              </w:rPr>
              <w:t>Mean density ratio:</w:t>
            </w:r>
          </w:p>
          <w:p w14:paraId="5C8F181E" w14:textId="7D167376" w:rsidR="0040297C" w:rsidRPr="00FC60A9" w:rsidRDefault="00474A5B" w:rsidP="00A541B8">
            <w:pPr>
              <w:keepNext/>
              <w:spacing w:before="19" w:line="200" w:lineRule="exact"/>
              <w:rPr>
                <w:rFonts w:asciiTheme="majorHAnsi" w:hAnsiTheme="majorHAnsi" w:cstheme="majorHAnsi"/>
                <w:bCs/>
                <w:sz w:val="14"/>
                <w:szCs w:val="14"/>
              </w:rPr>
            </w:pPr>
            <w:r w:rsidRPr="00064EBA">
              <w:rPr>
                <w:rFonts w:cstheme="minorHAnsi"/>
                <w:b/>
                <w:sz w:val="28"/>
                <w:szCs w:val="28"/>
              </w:rPr>
              <w:t>□</w:t>
            </w:r>
            <w:r>
              <w:rPr>
                <w:b/>
                <w:sz w:val="14"/>
                <w:szCs w:val="14"/>
              </w:rPr>
              <w:t xml:space="preserve">    </w:t>
            </w:r>
            <w:r w:rsidR="0040297C" w:rsidRPr="00FC60A9">
              <w:rPr>
                <w:rFonts w:asciiTheme="majorHAnsi" w:hAnsiTheme="majorHAnsi" w:cstheme="majorHAnsi"/>
                <w:bCs/>
                <w:sz w:val="14"/>
                <w:szCs w:val="14"/>
              </w:rPr>
              <w:t>Material nominal size 40 mm or less after compaction: Mean density ratio not less than 97%.</w:t>
            </w:r>
            <w:r w:rsidR="007E023D">
              <w:rPr>
                <w:b/>
                <w:sz w:val="14"/>
                <w:szCs w:val="14"/>
              </w:rPr>
              <w:t xml:space="preserve"> </w:t>
            </w:r>
          </w:p>
          <w:p w14:paraId="1C9E67C8" w14:textId="12D40704" w:rsidR="00006AD5" w:rsidRPr="00FC60A9" w:rsidRDefault="00474A5B" w:rsidP="00FC60A9">
            <w:pPr>
              <w:keepNext/>
              <w:spacing w:before="19" w:line="200" w:lineRule="exact"/>
              <w:rPr>
                <w:rFonts w:asciiTheme="majorHAnsi" w:eastAsia="Arial Unicode MS" w:hAnsiTheme="majorHAnsi" w:cstheme="majorHAnsi"/>
                <w:bCs/>
                <w:sz w:val="14"/>
                <w:szCs w:val="14"/>
              </w:rPr>
            </w:pPr>
            <w:r w:rsidRPr="00064EBA">
              <w:rPr>
                <w:rFonts w:cstheme="minorHAnsi"/>
                <w:b/>
                <w:sz w:val="28"/>
                <w:szCs w:val="28"/>
              </w:rPr>
              <w:t>□</w:t>
            </w:r>
            <w:r>
              <w:rPr>
                <w:b/>
                <w:sz w:val="14"/>
                <w:szCs w:val="14"/>
              </w:rPr>
              <w:t xml:space="preserve"> </w:t>
            </w:r>
            <w:r w:rsidR="0040297C" w:rsidRPr="00FC60A9">
              <w:rPr>
                <w:rFonts w:asciiTheme="majorHAnsi" w:hAnsiTheme="majorHAnsi" w:cstheme="majorHAnsi"/>
                <w:bCs/>
                <w:sz w:val="14"/>
                <w:szCs w:val="14"/>
              </w:rPr>
              <w:t>Material nominal size greater than 40 mm after compaction:</w:t>
            </w:r>
            <w:r w:rsidR="0040297C">
              <w:rPr>
                <w:rFonts w:asciiTheme="majorHAnsi" w:hAnsiTheme="majorHAnsi" w:cstheme="majorHAnsi"/>
                <w:sz w:val="14"/>
                <w:szCs w:val="14"/>
              </w:rPr>
              <w:t xml:space="preserve"> Submit RFI c</w:t>
            </w:r>
            <w:r w:rsidR="0040297C" w:rsidRPr="0024342A">
              <w:rPr>
                <w:rFonts w:asciiTheme="majorHAnsi" w:hAnsiTheme="majorHAnsi" w:cstheme="majorHAnsi"/>
                <w:sz w:val="14"/>
                <w:szCs w:val="14"/>
              </w:rPr>
              <w:t>ompacted using a grading, mixing, watering, and rolling procedure</w:t>
            </w:r>
            <w:r w:rsidR="0040297C">
              <w:rPr>
                <w:rFonts w:asciiTheme="majorHAnsi" w:hAnsiTheme="majorHAnsi" w:cstheme="majorHAnsi"/>
                <w:sz w:val="14"/>
                <w:szCs w:val="14"/>
              </w:rPr>
              <w:t xml:space="preserve"> that has been trialled, tested and proven.</w:t>
            </w:r>
            <w:r w:rsidR="007E023D">
              <w:rPr>
                <w:b/>
                <w:sz w:val="14"/>
                <w:szCs w:val="14"/>
              </w:rPr>
              <w:t xml:space="preserve">   </w:t>
            </w:r>
          </w:p>
        </w:tc>
        <w:tc>
          <w:tcPr>
            <w:tcW w:w="992" w:type="dxa"/>
            <w:shd w:val="clear" w:color="auto" w:fill="auto"/>
            <w:vAlign w:val="center"/>
          </w:tcPr>
          <w:p w14:paraId="4C7FC641" w14:textId="77777777" w:rsidR="0040297C" w:rsidRDefault="0040297C" w:rsidP="00A541B8">
            <w:pPr>
              <w:pStyle w:val="SymalTableBody"/>
              <w:spacing w:before="20" w:after="20"/>
              <w:jc w:val="center"/>
              <w:rPr>
                <w:sz w:val="14"/>
                <w:szCs w:val="14"/>
              </w:rPr>
            </w:pPr>
          </w:p>
          <w:p w14:paraId="04001590" w14:textId="5CE585FA"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1247E7BE" w14:textId="043E20BB" w:rsidR="0040297C" w:rsidRPr="00A9655D" w:rsidRDefault="615FC1EE" w:rsidP="3D07787B">
            <w:pPr>
              <w:pStyle w:val="SymalTableBody"/>
              <w:spacing w:before="20" w:after="20" w:line="259" w:lineRule="auto"/>
              <w:jc w:val="center"/>
            </w:pPr>
            <w:r w:rsidRPr="3D07787B">
              <w:rPr>
                <w:sz w:val="14"/>
                <w:szCs w:val="14"/>
              </w:rPr>
              <w:t>R</w:t>
            </w:r>
          </w:p>
        </w:tc>
        <w:tc>
          <w:tcPr>
            <w:tcW w:w="851" w:type="dxa"/>
            <w:shd w:val="clear" w:color="auto" w:fill="auto"/>
            <w:vAlign w:val="center"/>
          </w:tcPr>
          <w:p w14:paraId="6B9220DD" w14:textId="25747B5F"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6003AB01" w14:textId="77777777" w:rsidR="0040297C" w:rsidRPr="00741190" w:rsidRDefault="0040297C" w:rsidP="00A541B8">
            <w:pPr>
              <w:pStyle w:val="SymalTableBody"/>
              <w:spacing w:before="20" w:after="20"/>
              <w:jc w:val="center"/>
              <w:rPr>
                <w:b/>
                <w:bCs/>
                <w:szCs w:val="18"/>
              </w:rPr>
            </w:pPr>
          </w:p>
        </w:tc>
        <w:tc>
          <w:tcPr>
            <w:tcW w:w="851" w:type="dxa"/>
            <w:shd w:val="clear" w:color="auto" w:fill="auto"/>
            <w:vAlign w:val="center"/>
          </w:tcPr>
          <w:p w14:paraId="07C434C9" w14:textId="476CF9B3" w:rsidR="0040297C" w:rsidRPr="00741190" w:rsidRDefault="0040297C" w:rsidP="00A541B8">
            <w:pPr>
              <w:pStyle w:val="SymalTableBody"/>
              <w:spacing w:before="20" w:after="20"/>
              <w:jc w:val="center"/>
              <w:rPr>
                <w:b/>
                <w:bCs/>
                <w:szCs w:val="18"/>
              </w:rPr>
            </w:pPr>
            <w:r>
              <w:rPr>
                <w:sz w:val="14"/>
                <w:szCs w:val="14"/>
              </w:rPr>
              <w:t>R</w:t>
            </w:r>
          </w:p>
        </w:tc>
        <w:tc>
          <w:tcPr>
            <w:tcW w:w="850" w:type="dxa"/>
            <w:shd w:val="clear" w:color="auto" w:fill="auto"/>
          </w:tcPr>
          <w:p w14:paraId="0D29BA52"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34EEAAF2" w14:textId="77777777" w:rsidR="0040297C" w:rsidRDefault="0040297C" w:rsidP="00A541B8">
            <w:pPr>
              <w:pStyle w:val="Tabletext"/>
              <w:rPr>
                <w:rFonts w:asciiTheme="majorHAnsi" w:hAnsiTheme="majorHAnsi" w:cstheme="majorHAnsi"/>
                <w:sz w:val="14"/>
                <w:szCs w:val="14"/>
              </w:rPr>
            </w:pPr>
          </w:p>
          <w:p w14:paraId="5B3B2E91" w14:textId="77777777" w:rsidR="0040297C" w:rsidRDefault="0040297C" w:rsidP="00A541B8">
            <w:pPr>
              <w:pStyle w:val="Tabletext"/>
              <w:rPr>
                <w:rFonts w:asciiTheme="majorHAnsi" w:hAnsiTheme="majorHAnsi" w:cstheme="majorHAnsi"/>
                <w:sz w:val="14"/>
                <w:szCs w:val="14"/>
              </w:rPr>
            </w:pPr>
          </w:p>
          <w:p w14:paraId="7636BB42" w14:textId="77777777" w:rsidR="000700F2" w:rsidRDefault="000700F2" w:rsidP="00A541B8">
            <w:pPr>
              <w:pStyle w:val="Tabletext"/>
              <w:rPr>
                <w:rFonts w:asciiTheme="majorHAnsi" w:hAnsiTheme="majorHAnsi" w:cstheme="majorHAnsi"/>
                <w:sz w:val="14"/>
                <w:szCs w:val="14"/>
              </w:rPr>
            </w:pPr>
          </w:p>
          <w:p w14:paraId="6F2ED8A1" w14:textId="46BFB17E" w:rsidR="00BB063A" w:rsidRPr="00C13921" w:rsidRDefault="000700F2" w:rsidP="00A541B8">
            <w:pPr>
              <w:pStyle w:val="Tabletext"/>
              <w:rPr>
                <w:rFonts w:asciiTheme="majorHAnsi" w:hAnsiTheme="majorHAnsi" w:cstheme="majorHAnsi"/>
                <w:b/>
                <w:bCs w:val="0"/>
                <w:sz w:val="14"/>
                <w:szCs w:val="14"/>
              </w:rPr>
            </w:pPr>
            <w:r>
              <w:rPr>
                <w:rFonts w:asciiTheme="majorHAnsi" w:hAnsiTheme="majorHAnsi" w:cstheme="majorHAnsi"/>
                <w:sz w:val="14"/>
                <w:szCs w:val="14"/>
              </w:rPr>
              <w:t xml:space="preserve">Total </w:t>
            </w:r>
            <w:r w:rsidR="00BB063A">
              <w:rPr>
                <w:rFonts w:asciiTheme="majorHAnsi" w:hAnsiTheme="majorHAnsi" w:cstheme="majorHAnsi"/>
                <w:sz w:val="14"/>
                <w:szCs w:val="14"/>
              </w:rPr>
              <w:t>number of layer</w:t>
            </w:r>
            <w:r w:rsidR="00C13921">
              <w:rPr>
                <w:rFonts w:asciiTheme="majorHAnsi" w:hAnsiTheme="majorHAnsi" w:cstheme="majorHAnsi"/>
                <w:sz w:val="14"/>
                <w:szCs w:val="14"/>
              </w:rPr>
              <w:t xml:space="preserve">s: </w:t>
            </w:r>
            <w:r w:rsidR="00BB063A" w:rsidRPr="00C13921">
              <w:rPr>
                <w:rFonts w:asciiTheme="majorHAnsi" w:hAnsiTheme="majorHAnsi" w:cstheme="majorHAnsi"/>
                <w:b/>
                <w:bCs w:val="0"/>
                <w:sz w:val="14"/>
                <w:szCs w:val="14"/>
              </w:rPr>
              <w:t>…….</w:t>
            </w:r>
          </w:p>
          <w:p w14:paraId="6E3BF7B1" w14:textId="44728DAA" w:rsidR="00BC0E2F" w:rsidRDefault="00BC0E2F" w:rsidP="00A541B8">
            <w:pPr>
              <w:pStyle w:val="Tabletext"/>
              <w:rPr>
                <w:rFonts w:asciiTheme="majorHAnsi" w:hAnsiTheme="majorHAnsi" w:cstheme="majorHAnsi"/>
                <w:sz w:val="14"/>
                <w:szCs w:val="14"/>
              </w:rPr>
            </w:pPr>
            <w:r>
              <w:rPr>
                <w:rFonts w:asciiTheme="majorHAnsi" w:hAnsiTheme="majorHAnsi" w:cstheme="majorHAnsi"/>
                <w:sz w:val="14"/>
                <w:szCs w:val="14"/>
              </w:rPr>
              <w:t xml:space="preserve">Layers </w:t>
            </w:r>
            <w:proofErr w:type="gramStart"/>
            <w:r>
              <w:rPr>
                <w:rFonts w:asciiTheme="majorHAnsi" w:hAnsiTheme="majorHAnsi" w:cstheme="majorHAnsi"/>
                <w:sz w:val="14"/>
                <w:szCs w:val="14"/>
              </w:rPr>
              <w:t>Tested</w:t>
            </w:r>
            <w:r w:rsidR="00C13921">
              <w:rPr>
                <w:rFonts w:asciiTheme="majorHAnsi" w:hAnsiTheme="majorHAnsi" w:cstheme="majorHAnsi"/>
                <w:sz w:val="14"/>
                <w:szCs w:val="14"/>
              </w:rPr>
              <w:t>:</w:t>
            </w:r>
            <w:r w:rsidR="00C13921" w:rsidRPr="00C13921">
              <w:rPr>
                <w:rFonts w:asciiTheme="majorHAnsi" w:hAnsiTheme="majorHAnsi" w:cstheme="majorHAnsi"/>
                <w:b/>
                <w:bCs w:val="0"/>
                <w:sz w:val="14"/>
                <w:szCs w:val="14"/>
              </w:rPr>
              <w:t>…</w:t>
            </w:r>
            <w:proofErr w:type="gramEnd"/>
            <w:r w:rsidR="00C13921" w:rsidRPr="00C13921">
              <w:rPr>
                <w:rFonts w:asciiTheme="majorHAnsi" w:hAnsiTheme="majorHAnsi" w:cstheme="majorHAnsi"/>
                <w:b/>
                <w:bCs w:val="0"/>
                <w:sz w:val="14"/>
                <w:szCs w:val="14"/>
              </w:rPr>
              <w:t>….</w:t>
            </w:r>
            <w:r w:rsidRPr="00C13921">
              <w:rPr>
                <w:rFonts w:asciiTheme="majorHAnsi" w:hAnsiTheme="majorHAnsi" w:cstheme="majorHAnsi"/>
                <w:b/>
                <w:bCs w:val="0"/>
                <w:sz w:val="14"/>
                <w:szCs w:val="14"/>
              </w:rPr>
              <w:t>…..</w:t>
            </w:r>
          </w:p>
          <w:p w14:paraId="0E1A64B7" w14:textId="66FC0AEC" w:rsidR="0040297C" w:rsidRDefault="0040297C" w:rsidP="00A541B8">
            <w:pPr>
              <w:pStyle w:val="Tabletext"/>
              <w:rPr>
                <w:rFonts w:asciiTheme="majorHAnsi" w:hAnsiTheme="majorHAnsi" w:cstheme="majorHAnsi"/>
                <w:sz w:val="14"/>
                <w:szCs w:val="14"/>
              </w:rPr>
            </w:pPr>
            <w:r>
              <w:rPr>
                <w:rFonts w:asciiTheme="majorHAnsi" w:hAnsiTheme="majorHAnsi" w:cstheme="majorHAnsi"/>
                <w:sz w:val="14"/>
                <w:szCs w:val="14"/>
              </w:rPr>
              <w:lastRenderedPageBreak/>
              <w:t>NATA Test Report: Compaction and Moisture Content</w:t>
            </w:r>
            <w:r>
              <w:rPr>
                <w:b/>
                <w:sz w:val="14"/>
                <w:szCs w:val="14"/>
              </w:rPr>
              <w:t xml:space="preserve"> </w:t>
            </w:r>
            <w:r w:rsidRPr="00064EBA">
              <w:rPr>
                <w:rFonts w:cstheme="minorHAnsi"/>
                <w:b/>
                <w:sz w:val="28"/>
                <w:szCs w:val="28"/>
              </w:rPr>
              <w:t>□</w:t>
            </w:r>
            <w:r>
              <w:rPr>
                <w:b/>
                <w:bCs w:val="0"/>
                <w:sz w:val="14"/>
                <w:szCs w:val="14"/>
              </w:rPr>
              <w:t xml:space="preserve">        </w:t>
            </w:r>
          </w:p>
          <w:p w14:paraId="14DD9137" w14:textId="1D81D799" w:rsidR="0040297C" w:rsidRPr="00741190" w:rsidRDefault="0040297C" w:rsidP="00A541B8">
            <w:pPr>
              <w:pStyle w:val="SymalTableBody"/>
              <w:spacing w:before="20" w:after="20"/>
              <w:rPr>
                <w:b/>
                <w:bCs/>
                <w:szCs w:val="18"/>
              </w:rPr>
            </w:pPr>
          </w:p>
        </w:tc>
      </w:tr>
      <w:tr w:rsidR="00B271AA" w:rsidRPr="00741190" w14:paraId="2BC4F741" w14:textId="77777777" w:rsidTr="00DD19E0">
        <w:trPr>
          <w:trHeight w:val="227"/>
        </w:trPr>
        <w:tc>
          <w:tcPr>
            <w:tcW w:w="559" w:type="dxa"/>
            <w:shd w:val="clear" w:color="auto" w:fill="auto"/>
            <w:vAlign w:val="center"/>
          </w:tcPr>
          <w:p w14:paraId="53D4C8D6" w14:textId="00BBF963" w:rsidR="00B271AA" w:rsidRDefault="00B271AA" w:rsidP="00B271AA">
            <w:pPr>
              <w:pStyle w:val="SymalTableBody"/>
              <w:spacing w:before="20" w:after="20"/>
              <w:rPr>
                <w:b/>
                <w:bCs/>
                <w:sz w:val="16"/>
                <w:szCs w:val="16"/>
              </w:rPr>
            </w:pPr>
            <w:r>
              <w:rPr>
                <w:b/>
                <w:bCs/>
                <w:sz w:val="16"/>
                <w:szCs w:val="16"/>
              </w:rPr>
              <w:t>6.</w:t>
            </w:r>
            <w:r w:rsidR="001803AB">
              <w:rPr>
                <w:b/>
                <w:bCs/>
                <w:sz w:val="16"/>
                <w:szCs w:val="16"/>
              </w:rPr>
              <w:t>5</w:t>
            </w:r>
          </w:p>
        </w:tc>
        <w:tc>
          <w:tcPr>
            <w:tcW w:w="2231" w:type="dxa"/>
            <w:shd w:val="clear" w:color="auto" w:fill="auto"/>
            <w:vAlign w:val="center"/>
          </w:tcPr>
          <w:p w14:paraId="2529A378" w14:textId="765856B4" w:rsidR="00B271AA" w:rsidRDefault="00B271AA" w:rsidP="00B271A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Flushing of culverts</w:t>
            </w:r>
          </w:p>
        </w:tc>
        <w:tc>
          <w:tcPr>
            <w:tcW w:w="786" w:type="dxa"/>
            <w:shd w:val="clear" w:color="auto" w:fill="auto"/>
            <w:vAlign w:val="center"/>
          </w:tcPr>
          <w:p w14:paraId="4970F162" w14:textId="36032E14" w:rsidR="00B271AA" w:rsidRDefault="00B271AA" w:rsidP="00B271AA">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701.28</w:t>
            </w:r>
          </w:p>
        </w:tc>
        <w:tc>
          <w:tcPr>
            <w:tcW w:w="4221" w:type="dxa"/>
            <w:shd w:val="clear" w:color="auto" w:fill="auto"/>
            <w:vAlign w:val="center"/>
          </w:tcPr>
          <w:p w14:paraId="0CE91EB0" w14:textId="330B8451" w:rsidR="00B271AA" w:rsidRDefault="00B271AA" w:rsidP="00B271AA">
            <w:pPr>
              <w:keepNext/>
              <w:spacing w:before="19" w:line="200" w:lineRule="exact"/>
              <w:rPr>
                <w:rFonts w:asciiTheme="majorHAnsi" w:hAnsiTheme="majorHAnsi" w:cstheme="majorHAnsi"/>
                <w:sz w:val="14"/>
                <w:szCs w:val="14"/>
              </w:rPr>
            </w:pPr>
            <w:r w:rsidRPr="00F74CAB">
              <w:rPr>
                <w:rFonts w:asciiTheme="majorHAnsi" w:hAnsiTheme="majorHAnsi" w:cstheme="majorHAnsi"/>
                <w:sz w:val="14"/>
                <w:szCs w:val="14"/>
              </w:rPr>
              <w:t>All culverts shall be flushed clean from end to end on completion and maintained in proper working order.</w:t>
            </w:r>
          </w:p>
        </w:tc>
        <w:tc>
          <w:tcPr>
            <w:tcW w:w="992" w:type="dxa"/>
            <w:shd w:val="clear" w:color="auto" w:fill="auto"/>
            <w:vAlign w:val="center"/>
          </w:tcPr>
          <w:p w14:paraId="5BDFE31A" w14:textId="77777777" w:rsidR="00B271AA" w:rsidRDefault="00B271AA" w:rsidP="00B271AA">
            <w:pPr>
              <w:pStyle w:val="SymalTableBody"/>
              <w:spacing w:before="20" w:after="20"/>
              <w:jc w:val="center"/>
              <w:rPr>
                <w:sz w:val="14"/>
                <w:szCs w:val="14"/>
              </w:rPr>
            </w:pPr>
          </w:p>
          <w:p w14:paraId="664AF07F" w14:textId="371847D2" w:rsidR="00B271AA" w:rsidRDefault="00B271AA" w:rsidP="00B271AA">
            <w:pPr>
              <w:pStyle w:val="SymalTableBody"/>
              <w:spacing w:before="20" w:after="20"/>
              <w:jc w:val="center"/>
              <w:rPr>
                <w:sz w:val="14"/>
                <w:szCs w:val="14"/>
              </w:rPr>
            </w:pPr>
            <w:r>
              <w:rPr>
                <w:sz w:val="14"/>
                <w:szCs w:val="14"/>
              </w:rPr>
              <w:t>Each lot</w:t>
            </w:r>
          </w:p>
        </w:tc>
        <w:tc>
          <w:tcPr>
            <w:tcW w:w="850" w:type="dxa"/>
            <w:shd w:val="clear" w:color="auto" w:fill="auto"/>
            <w:vAlign w:val="center"/>
          </w:tcPr>
          <w:p w14:paraId="63F91891" w14:textId="398801EE" w:rsidR="00B271AA" w:rsidRPr="3D07787B" w:rsidRDefault="00B271AA" w:rsidP="00B271AA">
            <w:pPr>
              <w:pStyle w:val="SymalTableBody"/>
              <w:spacing w:before="20" w:after="20" w:line="259" w:lineRule="auto"/>
              <w:jc w:val="center"/>
              <w:rPr>
                <w:sz w:val="14"/>
                <w:szCs w:val="14"/>
              </w:rPr>
            </w:pPr>
            <w:r>
              <w:rPr>
                <w:sz w:val="14"/>
                <w:szCs w:val="14"/>
              </w:rPr>
              <w:t>W</w:t>
            </w:r>
          </w:p>
        </w:tc>
        <w:tc>
          <w:tcPr>
            <w:tcW w:w="851" w:type="dxa"/>
            <w:shd w:val="clear" w:color="auto" w:fill="auto"/>
            <w:vAlign w:val="center"/>
          </w:tcPr>
          <w:p w14:paraId="66306A1C" w14:textId="31BEDB9B" w:rsidR="00B271AA" w:rsidRPr="00EA0774" w:rsidRDefault="00B271AA" w:rsidP="00B271AA">
            <w:pPr>
              <w:pStyle w:val="SymalTableBody"/>
              <w:spacing w:before="20" w:after="20"/>
              <w:jc w:val="center"/>
              <w:rPr>
                <w:sz w:val="14"/>
                <w:szCs w:val="14"/>
              </w:rPr>
            </w:pPr>
            <w:r w:rsidRPr="00EA0774">
              <w:rPr>
                <w:sz w:val="14"/>
                <w:szCs w:val="14"/>
              </w:rPr>
              <w:t>S</w:t>
            </w:r>
            <w:r>
              <w:rPr>
                <w:sz w:val="14"/>
                <w:szCs w:val="14"/>
              </w:rPr>
              <w:t>E</w:t>
            </w:r>
          </w:p>
        </w:tc>
        <w:tc>
          <w:tcPr>
            <w:tcW w:w="850" w:type="dxa"/>
            <w:shd w:val="clear" w:color="auto" w:fill="auto"/>
          </w:tcPr>
          <w:p w14:paraId="6A63A28A" w14:textId="77777777" w:rsidR="00B271AA" w:rsidRPr="00741190" w:rsidRDefault="00B271AA" w:rsidP="00B271AA">
            <w:pPr>
              <w:pStyle w:val="SymalTableBody"/>
              <w:spacing w:before="20" w:after="20"/>
              <w:jc w:val="center"/>
              <w:rPr>
                <w:b/>
                <w:bCs/>
                <w:szCs w:val="18"/>
              </w:rPr>
            </w:pPr>
          </w:p>
        </w:tc>
        <w:tc>
          <w:tcPr>
            <w:tcW w:w="851" w:type="dxa"/>
            <w:shd w:val="clear" w:color="auto" w:fill="auto"/>
          </w:tcPr>
          <w:p w14:paraId="0B5F7754" w14:textId="77777777" w:rsidR="00B271AA" w:rsidRDefault="00B271AA" w:rsidP="00B271AA">
            <w:pPr>
              <w:pStyle w:val="SymalTableBody"/>
              <w:spacing w:before="20" w:after="20"/>
              <w:jc w:val="center"/>
              <w:rPr>
                <w:sz w:val="14"/>
                <w:szCs w:val="14"/>
              </w:rPr>
            </w:pPr>
          </w:p>
        </w:tc>
        <w:tc>
          <w:tcPr>
            <w:tcW w:w="850" w:type="dxa"/>
            <w:shd w:val="clear" w:color="auto" w:fill="auto"/>
          </w:tcPr>
          <w:p w14:paraId="68719A45" w14:textId="77777777" w:rsidR="00B271AA" w:rsidRPr="00741190" w:rsidRDefault="00B271AA" w:rsidP="00B271AA">
            <w:pPr>
              <w:pStyle w:val="SymalTableBody"/>
              <w:spacing w:before="20" w:after="20"/>
              <w:jc w:val="center"/>
              <w:rPr>
                <w:b/>
                <w:bCs/>
                <w:szCs w:val="18"/>
              </w:rPr>
            </w:pPr>
          </w:p>
        </w:tc>
        <w:tc>
          <w:tcPr>
            <w:tcW w:w="2268" w:type="dxa"/>
            <w:shd w:val="clear" w:color="auto" w:fill="auto"/>
          </w:tcPr>
          <w:p w14:paraId="69383137" w14:textId="01FBA27A" w:rsidR="00B271AA" w:rsidRDefault="00B271AA" w:rsidP="00B271AA">
            <w:pPr>
              <w:pStyle w:val="Tabletext"/>
              <w:rPr>
                <w:rFonts w:asciiTheme="majorHAnsi" w:hAnsiTheme="majorHAnsi" w:cstheme="majorHAnsi"/>
                <w:sz w:val="14"/>
                <w:szCs w:val="14"/>
              </w:rPr>
            </w:pPr>
            <w:r>
              <w:rPr>
                <w:rFonts w:asciiTheme="majorHAnsi" w:hAnsiTheme="majorHAnsi" w:cstheme="majorHAnsi"/>
                <w:sz w:val="14"/>
                <w:szCs w:val="14"/>
              </w:rPr>
              <w:t xml:space="preserve">Flush out Checklist </w:t>
            </w:r>
            <w:r w:rsidRPr="00064EBA">
              <w:rPr>
                <w:rFonts w:cstheme="minorHAnsi"/>
                <w:b/>
                <w:sz w:val="28"/>
                <w:szCs w:val="28"/>
              </w:rPr>
              <w:t>□</w:t>
            </w:r>
          </w:p>
        </w:tc>
      </w:tr>
      <w:tr w:rsidR="00030E46" w:rsidRPr="00741190" w14:paraId="641487B6" w14:textId="77777777" w:rsidTr="028E53E9">
        <w:trPr>
          <w:trHeight w:val="227"/>
        </w:trPr>
        <w:tc>
          <w:tcPr>
            <w:tcW w:w="559" w:type="dxa"/>
            <w:shd w:val="clear" w:color="auto" w:fill="auto"/>
            <w:vAlign w:val="center"/>
          </w:tcPr>
          <w:p w14:paraId="01B48D66" w14:textId="2CBA7CE6" w:rsidR="00556EE1" w:rsidRPr="009C632F" w:rsidRDefault="00556EE1" w:rsidP="00A541B8">
            <w:pPr>
              <w:pStyle w:val="SymalTableBody"/>
              <w:spacing w:before="20" w:after="20"/>
              <w:rPr>
                <w:b/>
                <w:bCs/>
                <w:sz w:val="16"/>
                <w:szCs w:val="16"/>
              </w:rPr>
            </w:pPr>
            <w:r>
              <w:rPr>
                <w:b/>
                <w:bCs/>
                <w:sz w:val="16"/>
                <w:szCs w:val="16"/>
              </w:rPr>
              <w:t>6.</w:t>
            </w:r>
            <w:r w:rsidR="001803AB">
              <w:rPr>
                <w:b/>
                <w:bCs/>
                <w:sz w:val="16"/>
                <w:szCs w:val="16"/>
              </w:rPr>
              <w:t>6</w:t>
            </w:r>
          </w:p>
        </w:tc>
        <w:tc>
          <w:tcPr>
            <w:tcW w:w="2231" w:type="dxa"/>
            <w:shd w:val="clear" w:color="auto" w:fill="auto"/>
            <w:vAlign w:val="center"/>
          </w:tcPr>
          <w:p w14:paraId="06A12799" w14:textId="0E38899A" w:rsidR="00556EE1" w:rsidRPr="009C632F" w:rsidRDefault="00556EE1"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Existing Pipes Inspection</w:t>
            </w:r>
          </w:p>
        </w:tc>
        <w:tc>
          <w:tcPr>
            <w:tcW w:w="786" w:type="dxa"/>
            <w:shd w:val="clear" w:color="auto" w:fill="auto"/>
            <w:vAlign w:val="center"/>
          </w:tcPr>
          <w:p w14:paraId="6F78CC22" w14:textId="0A31257F" w:rsidR="00556EE1" w:rsidRPr="006D11AB" w:rsidRDefault="006D11AB" w:rsidP="006D11AB">
            <w:pPr>
              <w:pStyle w:val="Tabletext"/>
              <w:spacing w:before="0" w:after="0"/>
              <w:jc w:val="center"/>
              <w:rPr>
                <w:rFonts w:asciiTheme="majorHAnsi" w:hAnsiTheme="majorHAnsi" w:cstheme="majorHAnsi"/>
                <w:sz w:val="12"/>
                <w:szCs w:val="12"/>
              </w:rPr>
            </w:pPr>
            <w:r w:rsidRPr="006D11AB">
              <w:rPr>
                <w:rFonts w:asciiTheme="majorHAnsi" w:hAnsiTheme="majorHAnsi" w:cstheme="majorHAnsi"/>
                <w:sz w:val="12"/>
                <w:szCs w:val="12"/>
              </w:rPr>
              <w:t>1630-P200-SYM-CVD-DRG-0003</w:t>
            </w:r>
          </w:p>
        </w:tc>
        <w:tc>
          <w:tcPr>
            <w:tcW w:w="4221" w:type="dxa"/>
            <w:shd w:val="clear" w:color="auto" w:fill="auto"/>
            <w:vAlign w:val="center"/>
          </w:tcPr>
          <w:p w14:paraId="2D8A7BEB" w14:textId="505328EC" w:rsidR="00556EE1" w:rsidRDefault="00556EE1" w:rsidP="3D07787B">
            <w:pPr>
              <w:tabs>
                <w:tab w:val="left" w:pos="28"/>
                <w:tab w:val="left" w:pos="91"/>
                <w:tab w:val="left" w:pos="206"/>
              </w:tabs>
              <w:spacing w:before="60"/>
              <w:ind w:right="-57"/>
              <w:rPr>
                <w:rFonts w:asciiTheme="majorHAnsi" w:hAnsiTheme="majorHAnsi" w:cstheme="majorBidi"/>
                <w:sz w:val="14"/>
                <w:szCs w:val="14"/>
              </w:rPr>
            </w:pPr>
            <w:r w:rsidRPr="3D07787B">
              <w:rPr>
                <w:rFonts w:asciiTheme="majorHAnsi" w:hAnsiTheme="majorHAnsi" w:cstheme="majorBidi"/>
                <w:sz w:val="14"/>
                <w:szCs w:val="14"/>
              </w:rPr>
              <w:t xml:space="preserve">Where existing pipes are to be retained, Symal are to undertake CCTV to confirm that pipes are in a </w:t>
            </w:r>
            <w:r w:rsidR="3878E077" w:rsidRPr="3D07787B">
              <w:rPr>
                <w:rFonts w:asciiTheme="majorHAnsi" w:hAnsiTheme="majorHAnsi" w:cstheme="majorBidi"/>
                <w:sz w:val="14"/>
                <w:szCs w:val="14"/>
              </w:rPr>
              <w:t>satisfactory condition</w:t>
            </w:r>
            <w:r w:rsidRPr="3D07787B">
              <w:rPr>
                <w:rFonts w:asciiTheme="majorHAnsi" w:hAnsiTheme="majorHAnsi" w:cstheme="majorBidi"/>
                <w:sz w:val="14"/>
                <w:szCs w:val="14"/>
              </w:rPr>
              <w:t xml:space="preserve"> and clear of silt and debris. </w:t>
            </w:r>
          </w:p>
          <w:p w14:paraId="083C23FD" w14:textId="511D22F6" w:rsidR="00006AD5" w:rsidRDefault="00556EE1" w:rsidP="3D07787B">
            <w:pPr>
              <w:tabs>
                <w:tab w:val="left" w:pos="28"/>
                <w:tab w:val="left" w:pos="91"/>
                <w:tab w:val="left" w:pos="206"/>
              </w:tabs>
              <w:spacing w:before="60"/>
              <w:ind w:right="-57"/>
              <w:rPr>
                <w:rFonts w:asciiTheme="majorHAnsi" w:hAnsiTheme="majorHAnsi" w:cstheme="majorBidi"/>
                <w:sz w:val="14"/>
                <w:szCs w:val="14"/>
              </w:rPr>
            </w:pPr>
            <w:r w:rsidRPr="3D07787B">
              <w:rPr>
                <w:rFonts w:asciiTheme="majorHAnsi" w:hAnsiTheme="majorHAnsi" w:cstheme="majorBidi"/>
                <w:sz w:val="14"/>
                <w:szCs w:val="14"/>
              </w:rPr>
              <w:t xml:space="preserve">If necessary, the existing pipe and culverts </w:t>
            </w:r>
            <w:r w:rsidR="34D35B54" w:rsidRPr="3D07787B">
              <w:rPr>
                <w:rFonts w:asciiTheme="majorHAnsi" w:hAnsiTheme="majorHAnsi" w:cstheme="majorBidi"/>
                <w:sz w:val="14"/>
                <w:szCs w:val="14"/>
              </w:rPr>
              <w:t xml:space="preserve">are </w:t>
            </w:r>
            <w:r w:rsidRPr="3D07787B">
              <w:rPr>
                <w:rFonts w:asciiTheme="majorHAnsi" w:hAnsiTheme="majorHAnsi" w:cstheme="majorBidi"/>
                <w:sz w:val="14"/>
                <w:szCs w:val="14"/>
              </w:rPr>
              <w:t xml:space="preserve">to be replaced. </w:t>
            </w:r>
          </w:p>
        </w:tc>
        <w:tc>
          <w:tcPr>
            <w:tcW w:w="992" w:type="dxa"/>
            <w:shd w:val="clear" w:color="auto" w:fill="auto"/>
            <w:vAlign w:val="center"/>
          </w:tcPr>
          <w:p w14:paraId="063D5DFB" w14:textId="4CDDAEC8" w:rsidR="00556EE1" w:rsidRDefault="00556EE1" w:rsidP="00A541B8">
            <w:pPr>
              <w:pStyle w:val="SymalTableBody"/>
              <w:spacing w:before="20" w:after="20"/>
              <w:jc w:val="center"/>
              <w:rPr>
                <w:sz w:val="14"/>
                <w:szCs w:val="14"/>
              </w:rPr>
            </w:pPr>
            <w:r>
              <w:rPr>
                <w:sz w:val="14"/>
                <w:szCs w:val="14"/>
              </w:rPr>
              <w:t>Each lot</w:t>
            </w:r>
          </w:p>
        </w:tc>
        <w:tc>
          <w:tcPr>
            <w:tcW w:w="850" w:type="dxa"/>
            <w:shd w:val="clear" w:color="auto" w:fill="auto"/>
            <w:vAlign w:val="center"/>
          </w:tcPr>
          <w:p w14:paraId="0B5AD79D" w14:textId="7B5E63BC" w:rsidR="00556EE1" w:rsidRDefault="38F0884B" w:rsidP="00A541B8">
            <w:pPr>
              <w:pStyle w:val="SymalTableBody"/>
              <w:spacing w:before="20" w:after="20"/>
              <w:jc w:val="center"/>
              <w:rPr>
                <w:sz w:val="14"/>
                <w:szCs w:val="14"/>
              </w:rPr>
            </w:pPr>
            <w:r w:rsidRPr="3D07787B">
              <w:rPr>
                <w:sz w:val="14"/>
                <w:szCs w:val="14"/>
              </w:rPr>
              <w:t>R</w:t>
            </w:r>
          </w:p>
        </w:tc>
        <w:tc>
          <w:tcPr>
            <w:tcW w:w="851" w:type="dxa"/>
            <w:shd w:val="clear" w:color="auto" w:fill="auto"/>
            <w:vAlign w:val="center"/>
          </w:tcPr>
          <w:p w14:paraId="370E5390" w14:textId="691E2678" w:rsidR="00556EE1" w:rsidRPr="00EA0774" w:rsidRDefault="38F0884B" w:rsidP="00A541B8">
            <w:pPr>
              <w:pStyle w:val="SymalTableBody"/>
              <w:spacing w:before="20" w:after="20"/>
              <w:jc w:val="center"/>
              <w:rPr>
                <w:sz w:val="14"/>
                <w:szCs w:val="14"/>
              </w:rPr>
            </w:pPr>
            <w:r w:rsidRPr="3D07787B">
              <w:rPr>
                <w:sz w:val="14"/>
                <w:szCs w:val="14"/>
              </w:rPr>
              <w:t>SE</w:t>
            </w:r>
          </w:p>
        </w:tc>
        <w:tc>
          <w:tcPr>
            <w:tcW w:w="850" w:type="dxa"/>
            <w:shd w:val="clear" w:color="auto" w:fill="auto"/>
          </w:tcPr>
          <w:p w14:paraId="3BA897A0" w14:textId="77777777" w:rsidR="00556EE1" w:rsidRPr="00741190" w:rsidRDefault="00556EE1" w:rsidP="00A541B8">
            <w:pPr>
              <w:pStyle w:val="SymalTableBody"/>
              <w:spacing w:before="20" w:after="20"/>
              <w:jc w:val="center"/>
              <w:rPr>
                <w:b/>
                <w:bCs/>
                <w:szCs w:val="18"/>
              </w:rPr>
            </w:pPr>
          </w:p>
        </w:tc>
        <w:tc>
          <w:tcPr>
            <w:tcW w:w="851" w:type="dxa"/>
            <w:shd w:val="clear" w:color="auto" w:fill="auto"/>
          </w:tcPr>
          <w:p w14:paraId="4DCDA692" w14:textId="77777777" w:rsidR="00556EE1" w:rsidRDefault="00556EE1" w:rsidP="00A541B8">
            <w:pPr>
              <w:pStyle w:val="SymalTableBody"/>
              <w:spacing w:before="20" w:after="20"/>
              <w:jc w:val="center"/>
              <w:rPr>
                <w:b/>
                <w:bCs/>
                <w:szCs w:val="18"/>
              </w:rPr>
            </w:pPr>
          </w:p>
        </w:tc>
        <w:tc>
          <w:tcPr>
            <w:tcW w:w="850" w:type="dxa"/>
            <w:shd w:val="clear" w:color="auto" w:fill="auto"/>
          </w:tcPr>
          <w:p w14:paraId="657C19E3" w14:textId="77777777" w:rsidR="00556EE1" w:rsidRPr="00741190" w:rsidRDefault="00556EE1" w:rsidP="00A541B8">
            <w:pPr>
              <w:pStyle w:val="SymalTableBody"/>
              <w:spacing w:before="20" w:after="20"/>
              <w:jc w:val="center"/>
              <w:rPr>
                <w:b/>
                <w:bCs/>
                <w:szCs w:val="18"/>
              </w:rPr>
            </w:pPr>
          </w:p>
        </w:tc>
        <w:tc>
          <w:tcPr>
            <w:tcW w:w="2268" w:type="dxa"/>
            <w:shd w:val="clear" w:color="auto" w:fill="auto"/>
          </w:tcPr>
          <w:p w14:paraId="64F9F40D" w14:textId="77777777" w:rsidR="00556EE1" w:rsidRDefault="00556EE1" w:rsidP="00A541B8">
            <w:pPr>
              <w:pStyle w:val="Tabletext"/>
              <w:rPr>
                <w:rFonts w:asciiTheme="majorHAnsi" w:hAnsiTheme="majorHAnsi" w:cstheme="majorHAnsi"/>
                <w:sz w:val="14"/>
                <w:szCs w:val="14"/>
              </w:rPr>
            </w:pPr>
          </w:p>
        </w:tc>
      </w:tr>
      <w:tr w:rsidR="00030E46" w:rsidRPr="00741190" w14:paraId="7E073E70" w14:textId="77777777" w:rsidTr="028E53E9">
        <w:trPr>
          <w:trHeight w:val="227"/>
        </w:trPr>
        <w:tc>
          <w:tcPr>
            <w:tcW w:w="559" w:type="dxa"/>
            <w:shd w:val="clear" w:color="auto" w:fill="auto"/>
            <w:vAlign w:val="center"/>
          </w:tcPr>
          <w:p w14:paraId="2F4166BD" w14:textId="4C3F176E" w:rsidR="0040297C" w:rsidRPr="009C632F" w:rsidRDefault="0040297C" w:rsidP="00A541B8">
            <w:pPr>
              <w:pStyle w:val="SymalTableBody"/>
              <w:spacing w:before="20" w:after="20"/>
              <w:rPr>
                <w:b/>
                <w:bCs/>
                <w:sz w:val="16"/>
                <w:szCs w:val="16"/>
              </w:rPr>
            </w:pPr>
            <w:r w:rsidRPr="009C632F">
              <w:rPr>
                <w:b/>
                <w:bCs/>
                <w:sz w:val="16"/>
                <w:szCs w:val="16"/>
              </w:rPr>
              <w:t>6.</w:t>
            </w:r>
            <w:r w:rsidR="001803AB">
              <w:rPr>
                <w:b/>
                <w:bCs/>
                <w:sz w:val="16"/>
                <w:szCs w:val="16"/>
              </w:rPr>
              <w:t>7</w:t>
            </w:r>
          </w:p>
        </w:tc>
        <w:tc>
          <w:tcPr>
            <w:tcW w:w="2231" w:type="dxa"/>
            <w:shd w:val="clear" w:color="auto" w:fill="auto"/>
            <w:vAlign w:val="center"/>
          </w:tcPr>
          <w:p w14:paraId="7B0F3FD1" w14:textId="347AF2A8" w:rsidR="0040297C" w:rsidRPr="009C632F" w:rsidRDefault="0040297C" w:rsidP="00A541B8">
            <w:pPr>
              <w:pStyle w:val="SymalTableBody"/>
              <w:spacing w:before="20" w:after="20"/>
              <w:rPr>
                <w:b/>
                <w:bCs/>
                <w:sz w:val="16"/>
                <w:szCs w:val="16"/>
              </w:rPr>
            </w:pPr>
            <w:r w:rsidRPr="009C632F">
              <w:rPr>
                <w:rFonts w:asciiTheme="majorHAnsi" w:hAnsiTheme="majorHAnsi" w:cstheme="majorHAnsi"/>
                <w:sz w:val="14"/>
                <w:szCs w:val="14"/>
              </w:rPr>
              <w:t>CCTV Inspection</w:t>
            </w:r>
          </w:p>
        </w:tc>
        <w:tc>
          <w:tcPr>
            <w:tcW w:w="786" w:type="dxa"/>
            <w:shd w:val="clear" w:color="auto" w:fill="auto"/>
            <w:vAlign w:val="center"/>
          </w:tcPr>
          <w:p w14:paraId="131028FE" w14:textId="28743DF5" w:rsidR="0040297C" w:rsidRPr="00031D18" w:rsidRDefault="0040297C" w:rsidP="00A541B8">
            <w:pPr>
              <w:pStyle w:val="Tabletext"/>
              <w:rPr>
                <w:rFonts w:asciiTheme="majorHAnsi" w:hAnsiTheme="majorHAnsi" w:cstheme="majorHAnsi"/>
                <w:sz w:val="14"/>
                <w:szCs w:val="14"/>
              </w:rPr>
            </w:pPr>
            <w:r>
              <w:rPr>
                <w:rFonts w:asciiTheme="majorHAnsi" w:hAnsiTheme="majorHAnsi" w:cstheme="majorHAnsi"/>
                <w:sz w:val="14"/>
                <w:szCs w:val="14"/>
              </w:rPr>
              <w:t>701.30</w:t>
            </w:r>
          </w:p>
        </w:tc>
        <w:tc>
          <w:tcPr>
            <w:tcW w:w="4221" w:type="dxa"/>
            <w:shd w:val="clear" w:color="auto" w:fill="auto"/>
            <w:vAlign w:val="center"/>
          </w:tcPr>
          <w:p w14:paraId="2D3E102D" w14:textId="1D5DE803" w:rsidR="0040297C" w:rsidRDefault="0040297C" w:rsidP="00A541B8">
            <w:pPr>
              <w:tabs>
                <w:tab w:val="left" w:pos="28"/>
                <w:tab w:val="left" w:pos="91"/>
                <w:tab w:val="left" w:pos="206"/>
              </w:tabs>
              <w:spacing w:before="60"/>
              <w:ind w:right="-57"/>
              <w:rPr>
                <w:rFonts w:asciiTheme="majorHAnsi" w:hAnsiTheme="majorHAnsi" w:cstheme="majorHAnsi"/>
                <w:sz w:val="14"/>
                <w:szCs w:val="14"/>
              </w:rPr>
            </w:pPr>
            <w:r>
              <w:rPr>
                <w:rFonts w:asciiTheme="majorHAnsi" w:hAnsiTheme="majorHAnsi" w:cstheme="majorHAnsi"/>
                <w:sz w:val="14"/>
                <w:szCs w:val="14"/>
              </w:rPr>
              <w:t>All drainage lines constructed shall be visually inspected using CCTV by an independent testing organization for the full length between pits after completion of earthworks to subgrade level and before commencement of pavement construction.</w:t>
            </w:r>
          </w:p>
          <w:p w14:paraId="6351C334" w14:textId="77777777" w:rsidR="0040297C" w:rsidRDefault="0040297C" w:rsidP="00A541B8">
            <w:pPr>
              <w:tabs>
                <w:tab w:val="left" w:pos="28"/>
                <w:tab w:val="left" w:pos="91"/>
                <w:tab w:val="left" w:pos="206"/>
              </w:tabs>
              <w:spacing w:before="60"/>
              <w:ind w:right="-57"/>
              <w:rPr>
                <w:rFonts w:asciiTheme="majorHAnsi" w:hAnsiTheme="majorHAnsi" w:cstheme="majorHAnsi"/>
                <w:sz w:val="14"/>
                <w:szCs w:val="14"/>
              </w:rPr>
            </w:pPr>
            <w:r>
              <w:rPr>
                <w:rFonts w:asciiTheme="majorHAnsi" w:hAnsiTheme="majorHAnsi" w:cstheme="majorHAnsi"/>
                <w:sz w:val="14"/>
                <w:szCs w:val="14"/>
              </w:rPr>
              <w:t>Reporting of the CCTV inspections shall be in accordance with WSA 05 2013 – Conduit Inspection Reporting Code of Australia, published by Water Services Association of Australia.</w:t>
            </w:r>
          </w:p>
          <w:p w14:paraId="202A782C" w14:textId="0C097ECA" w:rsidR="0040297C" w:rsidRDefault="0040297C" w:rsidP="00A541B8">
            <w:pPr>
              <w:tabs>
                <w:tab w:val="left" w:pos="28"/>
                <w:tab w:val="left" w:pos="91"/>
                <w:tab w:val="left" w:pos="206"/>
              </w:tabs>
              <w:spacing w:before="60"/>
              <w:ind w:right="-57"/>
              <w:rPr>
                <w:rFonts w:asciiTheme="majorHAnsi" w:hAnsiTheme="majorHAnsi" w:cstheme="majorHAnsi"/>
                <w:sz w:val="14"/>
                <w:szCs w:val="14"/>
              </w:rPr>
            </w:pPr>
            <w:r>
              <w:rPr>
                <w:rFonts w:asciiTheme="majorHAnsi" w:hAnsiTheme="majorHAnsi" w:cstheme="majorHAnsi"/>
                <w:sz w:val="14"/>
                <w:szCs w:val="14"/>
              </w:rPr>
              <w:t xml:space="preserve">Upload to the work lot, the </w:t>
            </w:r>
            <w:proofErr w:type="gramStart"/>
            <w:r>
              <w:rPr>
                <w:rFonts w:asciiTheme="majorHAnsi" w:hAnsiTheme="majorHAnsi" w:cstheme="majorHAnsi"/>
                <w:sz w:val="14"/>
                <w:szCs w:val="14"/>
              </w:rPr>
              <w:t>report</w:t>
            </w:r>
            <w:proofErr w:type="gramEnd"/>
            <w:r>
              <w:rPr>
                <w:rFonts w:asciiTheme="majorHAnsi" w:hAnsiTheme="majorHAnsi" w:cstheme="majorHAnsi"/>
                <w:sz w:val="14"/>
                <w:szCs w:val="14"/>
              </w:rPr>
              <w:t xml:space="preserve"> and the CCTV footage. The report shall include a summary of the location of any defects detected by the survey.</w:t>
            </w:r>
          </w:p>
          <w:p w14:paraId="6E0159AF" w14:textId="49316A45" w:rsidR="0040297C" w:rsidRPr="00C63BE5" w:rsidRDefault="0040297C"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The lot diagram shall clearly identify the length of drainage pipes for which the CCTV footage was inspected.</w:t>
            </w:r>
          </w:p>
        </w:tc>
        <w:tc>
          <w:tcPr>
            <w:tcW w:w="992" w:type="dxa"/>
            <w:shd w:val="clear" w:color="auto" w:fill="auto"/>
            <w:vAlign w:val="center"/>
          </w:tcPr>
          <w:p w14:paraId="6D5091CB" w14:textId="77777777" w:rsidR="0040297C" w:rsidRDefault="0040297C" w:rsidP="00A541B8">
            <w:pPr>
              <w:pStyle w:val="SymalTableBody"/>
              <w:spacing w:before="20" w:after="20"/>
              <w:jc w:val="center"/>
              <w:rPr>
                <w:sz w:val="14"/>
                <w:szCs w:val="14"/>
              </w:rPr>
            </w:pPr>
          </w:p>
          <w:p w14:paraId="44DA7E5E" w14:textId="46F5F907" w:rsidR="0040297C" w:rsidRPr="00D340C6" w:rsidRDefault="0040297C" w:rsidP="00A541B8">
            <w:pPr>
              <w:pStyle w:val="SymalTableBody"/>
              <w:spacing w:before="20" w:after="20"/>
              <w:jc w:val="center"/>
              <w:rPr>
                <w:sz w:val="16"/>
                <w:szCs w:val="16"/>
              </w:rPr>
            </w:pPr>
            <w:r>
              <w:rPr>
                <w:sz w:val="14"/>
                <w:szCs w:val="14"/>
              </w:rPr>
              <w:t>Each lot</w:t>
            </w:r>
          </w:p>
        </w:tc>
        <w:tc>
          <w:tcPr>
            <w:tcW w:w="850" w:type="dxa"/>
            <w:shd w:val="clear" w:color="auto" w:fill="auto"/>
            <w:vAlign w:val="center"/>
          </w:tcPr>
          <w:p w14:paraId="0D2EB64A" w14:textId="657DE6A8" w:rsidR="0040297C" w:rsidRPr="00D340C6" w:rsidRDefault="0040297C" w:rsidP="3D07787B">
            <w:pPr>
              <w:pStyle w:val="SymalTableBody"/>
              <w:spacing w:before="20" w:after="20"/>
              <w:jc w:val="center"/>
              <w:rPr>
                <w:sz w:val="14"/>
                <w:szCs w:val="14"/>
              </w:rPr>
            </w:pPr>
            <w:r w:rsidRPr="3D07787B">
              <w:rPr>
                <w:sz w:val="14"/>
                <w:szCs w:val="14"/>
              </w:rPr>
              <w:t>H</w:t>
            </w:r>
          </w:p>
        </w:tc>
        <w:tc>
          <w:tcPr>
            <w:tcW w:w="851" w:type="dxa"/>
            <w:shd w:val="clear" w:color="auto" w:fill="auto"/>
            <w:vAlign w:val="center"/>
          </w:tcPr>
          <w:p w14:paraId="5413FC10" w14:textId="7E230331" w:rsidR="0040297C" w:rsidRPr="00D340C6" w:rsidRDefault="0040297C" w:rsidP="00A541B8">
            <w:pPr>
              <w:pStyle w:val="SymalTableBody"/>
              <w:spacing w:before="20" w:after="20"/>
              <w:jc w:val="center"/>
              <w:rPr>
                <w:sz w:val="16"/>
                <w:szCs w:val="16"/>
              </w:rPr>
            </w:pPr>
            <w:r w:rsidRPr="00EA0774">
              <w:rPr>
                <w:sz w:val="14"/>
                <w:szCs w:val="14"/>
              </w:rPr>
              <w:t>S</w:t>
            </w:r>
            <w:r>
              <w:rPr>
                <w:sz w:val="14"/>
                <w:szCs w:val="14"/>
              </w:rPr>
              <w:t>E</w:t>
            </w:r>
          </w:p>
        </w:tc>
        <w:tc>
          <w:tcPr>
            <w:tcW w:w="850" w:type="dxa"/>
            <w:shd w:val="clear" w:color="auto" w:fill="auto"/>
          </w:tcPr>
          <w:p w14:paraId="1DB9E115" w14:textId="77777777" w:rsidR="0040297C" w:rsidRPr="00741190" w:rsidRDefault="0040297C" w:rsidP="00A541B8">
            <w:pPr>
              <w:pStyle w:val="SymalTableBody"/>
              <w:spacing w:before="20" w:after="20"/>
              <w:jc w:val="center"/>
              <w:rPr>
                <w:b/>
                <w:bCs/>
                <w:szCs w:val="18"/>
              </w:rPr>
            </w:pPr>
          </w:p>
        </w:tc>
        <w:tc>
          <w:tcPr>
            <w:tcW w:w="851" w:type="dxa"/>
            <w:shd w:val="clear" w:color="auto" w:fill="auto"/>
          </w:tcPr>
          <w:p w14:paraId="08E10704" w14:textId="41D8D936" w:rsidR="0040297C" w:rsidRDefault="0040297C" w:rsidP="00A541B8">
            <w:pPr>
              <w:pStyle w:val="SymalTableBody"/>
              <w:spacing w:before="20" w:after="20"/>
              <w:jc w:val="center"/>
              <w:rPr>
                <w:b/>
                <w:bCs/>
                <w:szCs w:val="18"/>
              </w:rPr>
            </w:pPr>
          </w:p>
          <w:p w14:paraId="3711B8F8" w14:textId="3DF1DF74" w:rsidR="0040297C" w:rsidRDefault="0040297C" w:rsidP="00A541B8">
            <w:pPr>
              <w:pStyle w:val="SymalTableBody"/>
              <w:spacing w:before="20" w:after="20"/>
              <w:jc w:val="center"/>
              <w:rPr>
                <w:b/>
                <w:bCs/>
                <w:szCs w:val="18"/>
              </w:rPr>
            </w:pPr>
          </w:p>
          <w:p w14:paraId="392830ED" w14:textId="77777777" w:rsidR="0040297C" w:rsidRDefault="0040297C" w:rsidP="00A541B8">
            <w:pPr>
              <w:pStyle w:val="SymalTableBody"/>
              <w:spacing w:before="20" w:after="20"/>
              <w:rPr>
                <w:b/>
                <w:bCs/>
                <w:szCs w:val="18"/>
              </w:rPr>
            </w:pPr>
          </w:p>
          <w:p w14:paraId="44FA508B" w14:textId="77777777" w:rsidR="007A267E" w:rsidRDefault="007A267E" w:rsidP="00A541B8">
            <w:pPr>
              <w:pStyle w:val="SymalTableBody"/>
              <w:spacing w:before="20" w:after="20"/>
              <w:rPr>
                <w:b/>
                <w:bCs/>
                <w:szCs w:val="18"/>
              </w:rPr>
            </w:pPr>
          </w:p>
          <w:p w14:paraId="4C33F0C0" w14:textId="77777777" w:rsidR="00786A51" w:rsidRDefault="00786A51" w:rsidP="00A541B8">
            <w:pPr>
              <w:pStyle w:val="SymalTableBody"/>
              <w:spacing w:before="20" w:after="20"/>
              <w:jc w:val="center"/>
              <w:rPr>
                <w:sz w:val="14"/>
                <w:szCs w:val="14"/>
              </w:rPr>
            </w:pPr>
          </w:p>
          <w:p w14:paraId="64D37A04" w14:textId="77777777" w:rsidR="00786A51" w:rsidRDefault="00786A51" w:rsidP="00A541B8">
            <w:pPr>
              <w:pStyle w:val="SymalTableBody"/>
              <w:spacing w:before="20" w:after="20"/>
              <w:jc w:val="center"/>
              <w:rPr>
                <w:sz w:val="14"/>
                <w:szCs w:val="14"/>
              </w:rPr>
            </w:pPr>
          </w:p>
          <w:p w14:paraId="41A20377" w14:textId="77777777" w:rsidR="00786A51" w:rsidRDefault="00786A51" w:rsidP="00A541B8">
            <w:pPr>
              <w:pStyle w:val="SymalTableBody"/>
              <w:spacing w:before="20" w:after="20"/>
              <w:jc w:val="center"/>
              <w:rPr>
                <w:sz w:val="14"/>
                <w:szCs w:val="14"/>
              </w:rPr>
            </w:pPr>
          </w:p>
          <w:p w14:paraId="66A59AAC" w14:textId="77777777" w:rsidR="00786A51" w:rsidRDefault="00786A51" w:rsidP="00A541B8">
            <w:pPr>
              <w:pStyle w:val="SymalTableBody"/>
              <w:spacing w:before="20" w:after="20"/>
              <w:jc w:val="center"/>
              <w:rPr>
                <w:sz w:val="14"/>
                <w:szCs w:val="14"/>
              </w:rPr>
            </w:pPr>
          </w:p>
          <w:p w14:paraId="7EFCB259" w14:textId="7F6BD3B4" w:rsidR="0040297C" w:rsidRPr="007A267E" w:rsidRDefault="0040297C" w:rsidP="00A541B8">
            <w:pPr>
              <w:pStyle w:val="SymalTableBody"/>
              <w:spacing w:before="20" w:after="20"/>
              <w:jc w:val="center"/>
              <w:rPr>
                <w:szCs w:val="18"/>
              </w:rPr>
            </w:pPr>
            <w:r w:rsidRPr="007A267E">
              <w:rPr>
                <w:sz w:val="14"/>
                <w:szCs w:val="14"/>
              </w:rPr>
              <w:t>H</w:t>
            </w:r>
          </w:p>
        </w:tc>
        <w:tc>
          <w:tcPr>
            <w:tcW w:w="850" w:type="dxa"/>
            <w:shd w:val="clear" w:color="auto" w:fill="auto"/>
          </w:tcPr>
          <w:p w14:paraId="3F530ABA"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64CBEFB5" w14:textId="5C1081CE" w:rsidR="0040297C" w:rsidRDefault="0040297C" w:rsidP="00A541B8">
            <w:pPr>
              <w:pStyle w:val="Tabletext"/>
              <w:rPr>
                <w:rFonts w:asciiTheme="majorHAnsi" w:hAnsiTheme="majorHAnsi" w:cstheme="majorHAnsi"/>
                <w:sz w:val="14"/>
                <w:szCs w:val="14"/>
              </w:rPr>
            </w:pPr>
            <w:r>
              <w:rPr>
                <w:rFonts w:asciiTheme="majorHAnsi" w:hAnsiTheme="majorHAnsi" w:cstheme="majorHAnsi"/>
                <w:sz w:val="14"/>
                <w:szCs w:val="14"/>
              </w:rPr>
              <w:t>CCTV Inspection Report</w:t>
            </w:r>
            <w:r w:rsidR="006D6B06">
              <w:rPr>
                <w:rFonts w:asciiTheme="majorHAnsi" w:hAnsiTheme="majorHAnsi" w:cstheme="majorHAnsi"/>
                <w:sz w:val="14"/>
                <w:szCs w:val="14"/>
              </w:rPr>
              <w:t xml:space="preserve"> &amp; Footage </w:t>
            </w:r>
            <w:r w:rsidRPr="00064EBA">
              <w:rPr>
                <w:rFonts w:cstheme="minorHAnsi"/>
                <w:b/>
                <w:sz w:val="28"/>
                <w:szCs w:val="28"/>
              </w:rPr>
              <w:t>□</w:t>
            </w:r>
            <w:r w:rsidRPr="00064EBA">
              <w:rPr>
                <w:b/>
                <w:sz w:val="20"/>
              </w:rPr>
              <w:t xml:space="preserve"> </w:t>
            </w:r>
          </w:p>
          <w:p w14:paraId="3D2C7A97" w14:textId="6E67D1A3" w:rsidR="0040297C" w:rsidRDefault="0040297C" w:rsidP="00A541B8">
            <w:pPr>
              <w:pStyle w:val="Tabletext"/>
              <w:rPr>
                <w:rFonts w:asciiTheme="majorHAnsi" w:hAnsiTheme="majorHAnsi" w:cstheme="majorHAnsi"/>
                <w:sz w:val="14"/>
                <w:szCs w:val="14"/>
              </w:rPr>
            </w:pPr>
          </w:p>
          <w:p w14:paraId="1FE251CD" w14:textId="4868FB6A" w:rsidR="0040297C" w:rsidRDefault="0040297C" w:rsidP="00A541B8">
            <w:pPr>
              <w:pStyle w:val="Tabletext"/>
              <w:rPr>
                <w:rFonts w:asciiTheme="majorHAnsi" w:hAnsiTheme="majorHAnsi" w:cstheme="majorHAnsi"/>
                <w:sz w:val="14"/>
                <w:szCs w:val="14"/>
              </w:rPr>
            </w:pPr>
          </w:p>
          <w:p w14:paraId="7E81F875" w14:textId="77777777" w:rsidR="0040297C" w:rsidRDefault="0040297C" w:rsidP="00A541B8">
            <w:pPr>
              <w:pStyle w:val="Tabletext"/>
              <w:rPr>
                <w:rFonts w:asciiTheme="majorHAnsi" w:hAnsiTheme="majorHAnsi" w:cstheme="majorHAnsi"/>
                <w:sz w:val="14"/>
                <w:szCs w:val="14"/>
              </w:rPr>
            </w:pPr>
          </w:p>
          <w:p w14:paraId="6FCF47ED" w14:textId="5B25905F" w:rsidR="0040297C" w:rsidRPr="00741190" w:rsidRDefault="0040297C" w:rsidP="00A541B8">
            <w:pPr>
              <w:pStyle w:val="SymalTableBody"/>
              <w:spacing w:before="20" w:after="20"/>
              <w:rPr>
                <w:b/>
                <w:bCs/>
                <w:szCs w:val="18"/>
              </w:rPr>
            </w:pPr>
          </w:p>
        </w:tc>
      </w:tr>
      <w:tr w:rsidR="00DB07DF" w:rsidRPr="00741190" w14:paraId="40445640" w14:textId="77777777" w:rsidTr="00D06F4F">
        <w:trPr>
          <w:trHeight w:val="227"/>
        </w:trPr>
        <w:tc>
          <w:tcPr>
            <w:tcW w:w="559" w:type="dxa"/>
            <w:shd w:val="clear" w:color="auto" w:fill="auto"/>
            <w:vAlign w:val="center"/>
          </w:tcPr>
          <w:p w14:paraId="7264D1AD" w14:textId="7CEA183C" w:rsidR="00DB07DF" w:rsidRDefault="00DB07DF" w:rsidP="00DB07DF">
            <w:pPr>
              <w:pStyle w:val="SymalTableBody"/>
              <w:spacing w:before="20" w:after="20"/>
              <w:rPr>
                <w:b/>
                <w:bCs/>
                <w:sz w:val="16"/>
                <w:szCs w:val="16"/>
              </w:rPr>
            </w:pPr>
            <w:r>
              <w:rPr>
                <w:b/>
                <w:bCs/>
                <w:sz w:val="16"/>
                <w:szCs w:val="16"/>
              </w:rPr>
              <w:t>6.8</w:t>
            </w:r>
          </w:p>
        </w:tc>
        <w:tc>
          <w:tcPr>
            <w:tcW w:w="2231" w:type="dxa"/>
            <w:shd w:val="clear" w:color="auto" w:fill="auto"/>
            <w:vAlign w:val="center"/>
          </w:tcPr>
          <w:p w14:paraId="20CCCE10" w14:textId="14EF9F96" w:rsidR="00DB07DF" w:rsidRDefault="00DB07DF" w:rsidP="00DB07DF">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Repairs to damaged pipes and box culverts</w:t>
            </w:r>
          </w:p>
        </w:tc>
        <w:tc>
          <w:tcPr>
            <w:tcW w:w="786" w:type="dxa"/>
            <w:shd w:val="clear" w:color="auto" w:fill="auto"/>
            <w:vAlign w:val="center"/>
          </w:tcPr>
          <w:p w14:paraId="6C0A0B29" w14:textId="47CA0B0B" w:rsidR="00DB07DF" w:rsidRDefault="00DB07DF" w:rsidP="00DB07DF">
            <w:pPr>
              <w:pStyle w:val="Tabletext"/>
              <w:rPr>
                <w:rFonts w:asciiTheme="majorHAnsi" w:hAnsiTheme="majorHAnsi" w:cstheme="majorHAnsi"/>
                <w:sz w:val="14"/>
                <w:szCs w:val="14"/>
              </w:rPr>
            </w:pPr>
            <w:r>
              <w:rPr>
                <w:rFonts w:asciiTheme="majorHAnsi" w:hAnsiTheme="majorHAnsi" w:cstheme="majorHAnsi"/>
                <w:sz w:val="14"/>
                <w:szCs w:val="14"/>
              </w:rPr>
              <w:t>VR Clause 701.31</w:t>
            </w:r>
          </w:p>
        </w:tc>
        <w:tc>
          <w:tcPr>
            <w:tcW w:w="4221" w:type="dxa"/>
            <w:shd w:val="clear" w:color="auto" w:fill="auto"/>
            <w:vAlign w:val="center"/>
          </w:tcPr>
          <w:p w14:paraId="2D167EC3" w14:textId="77777777" w:rsidR="00DB07DF" w:rsidRPr="00DE6DF6" w:rsidRDefault="00DB07DF" w:rsidP="00DB07DF">
            <w:pPr>
              <w:pStyle w:val="Tabletext"/>
              <w:rPr>
                <w:rFonts w:asciiTheme="majorHAnsi" w:hAnsiTheme="majorHAnsi" w:cstheme="majorHAnsi"/>
                <w:sz w:val="14"/>
                <w:szCs w:val="14"/>
              </w:rPr>
            </w:pPr>
            <w:r w:rsidRPr="00DE6DF6">
              <w:rPr>
                <w:rFonts w:asciiTheme="majorHAnsi" w:hAnsiTheme="majorHAnsi" w:cstheme="majorHAnsi"/>
                <w:sz w:val="14"/>
                <w:szCs w:val="14"/>
              </w:rPr>
              <w:t>Where inspections after backfilling identify any of the following defects they shall be notified as a non-conformance:</w:t>
            </w:r>
          </w:p>
          <w:p w14:paraId="5309C98B" w14:textId="77777777" w:rsidR="00DB07DF" w:rsidRPr="00DE6DF6" w:rsidRDefault="00DB07DF" w:rsidP="00DB07DF">
            <w:pPr>
              <w:pStyle w:val="Tabletext"/>
              <w:numPr>
                <w:ilvl w:val="0"/>
                <w:numId w:val="37"/>
              </w:numPr>
              <w:rPr>
                <w:rFonts w:asciiTheme="majorHAnsi" w:hAnsiTheme="majorHAnsi" w:cstheme="majorHAnsi"/>
                <w:sz w:val="14"/>
                <w:szCs w:val="14"/>
              </w:rPr>
            </w:pPr>
            <w:r w:rsidRPr="00DE6DF6">
              <w:rPr>
                <w:rFonts w:asciiTheme="majorHAnsi" w:hAnsiTheme="majorHAnsi" w:cstheme="majorHAnsi"/>
                <w:sz w:val="14"/>
                <w:szCs w:val="14"/>
              </w:rPr>
              <w:t>cracks wider than 0.5 mm</w:t>
            </w:r>
          </w:p>
          <w:p w14:paraId="3985B702" w14:textId="77777777" w:rsidR="00DB07DF" w:rsidRPr="00DE6DF6" w:rsidRDefault="00DB07DF" w:rsidP="00DB07DF">
            <w:pPr>
              <w:pStyle w:val="Tabletext"/>
              <w:numPr>
                <w:ilvl w:val="0"/>
                <w:numId w:val="37"/>
              </w:numPr>
              <w:rPr>
                <w:rFonts w:asciiTheme="majorHAnsi" w:hAnsiTheme="majorHAnsi" w:cstheme="majorHAnsi"/>
                <w:sz w:val="14"/>
                <w:szCs w:val="14"/>
              </w:rPr>
            </w:pPr>
            <w:r w:rsidRPr="00DE6DF6">
              <w:rPr>
                <w:rFonts w:asciiTheme="majorHAnsi" w:hAnsiTheme="majorHAnsi" w:cstheme="majorHAnsi"/>
                <w:sz w:val="14"/>
                <w:szCs w:val="14"/>
              </w:rPr>
              <w:t>spalling of concrete</w:t>
            </w:r>
          </w:p>
          <w:p w14:paraId="59CA9593" w14:textId="77777777" w:rsidR="00DB07DF" w:rsidRPr="00DE6DF6" w:rsidRDefault="00DB07DF" w:rsidP="00DB07DF">
            <w:pPr>
              <w:pStyle w:val="Tabletext"/>
              <w:numPr>
                <w:ilvl w:val="0"/>
                <w:numId w:val="37"/>
              </w:numPr>
              <w:rPr>
                <w:rFonts w:asciiTheme="majorHAnsi" w:hAnsiTheme="majorHAnsi" w:cstheme="majorHAnsi"/>
                <w:sz w:val="14"/>
                <w:szCs w:val="14"/>
              </w:rPr>
            </w:pPr>
            <w:r w:rsidRPr="00DE6DF6">
              <w:rPr>
                <w:rFonts w:asciiTheme="majorHAnsi" w:hAnsiTheme="majorHAnsi" w:cstheme="majorHAnsi"/>
                <w:sz w:val="14"/>
                <w:szCs w:val="14"/>
              </w:rPr>
              <w:lastRenderedPageBreak/>
              <w:t>exposed reinforcement</w:t>
            </w:r>
          </w:p>
          <w:p w14:paraId="4BD91E0A" w14:textId="77777777" w:rsidR="00DB07DF" w:rsidRPr="00DE6DF6" w:rsidRDefault="00DB07DF" w:rsidP="00DB07DF">
            <w:pPr>
              <w:pStyle w:val="Tabletext"/>
              <w:numPr>
                <w:ilvl w:val="0"/>
                <w:numId w:val="37"/>
              </w:numPr>
              <w:rPr>
                <w:rFonts w:asciiTheme="majorHAnsi" w:hAnsiTheme="majorHAnsi" w:cstheme="majorHAnsi"/>
                <w:sz w:val="14"/>
                <w:szCs w:val="14"/>
              </w:rPr>
            </w:pPr>
            <w:r w:rsidRPr="00DE6DF6">
              <w:rPr>
                <w:rFonts w:asciiTheme="majorHAnsi" w:hAnsiTheme="majorHAnsi" w:cstheme="majorHAnsi"/>
                <w:sz w:val="14"/>
                <w:szCs w:val="14"/>
              </w:rPr>
              <w:t>joints that are not fully engaged.</w:t>
            </w:r>
          </w:p>
          <w:p w14:paraId="63624637" w14:textId="77777777" w:rsidR="00DB07DF" w:rsidRPr="00DE6DF6" w:rsidRDefault="00DB07DF" w:rsidP="00DB07DF">
            <w:pPr>
              <w:pStyle w:val="Tabletext"/>
              <w:rPr>
                <w:rFonts w:asciiTheme="majorHAnsi" w:hAnsiTheme="majorHAnsi" w:cstheme="majorHAnsi"/>
                <w:sz w:val="14"/>
                <w:szCs w:val="14"/>
              </w:rPr>
            </w:pPr>
            <w:r w:rsidRPr="00DE6DF6">
              <w:rPr>
                <w:rFonts w:asciiTheme="majorHAnsi" w:hAnsiTheme="majorHAnsi" w:cstheme="majorHAnsi"/>
                <w:sz w:val="14"/>
                <w:szCs w:val="14"/>
              </w:rPr>
              <w:t>Any pipes with defects greater than the following limits shall be removed and replaced:</w:t>
            </w:r>
          </w:p>
          <w:p w14:paraId="4C2C8AFD" w14:textId="77777777" w:rsidR="00DB07DF" w:rsidRPr="00DE6DF6" w:rsidRDefault="00DB07DF" w:rsidP="00DB07DF">
            <w:pPr>
              <w:pStyle w:val="Tabletext"/>
              <w:numPr>
                <w:ilvl w:val="0"/>
                <w:numId w:val="38"/>
              </w:numPr>
              <w:rPr>
                <w:rFonts w:asciiTheme="majorHAnsi" w:hAnsiTheme="majorHAnsi" w:cstheme="majorHAnsi"/>
                <w:sz w:val="14"/>
                <w:szCs w:val="14"/>
              </w:rPr>
            </w:pPr>
            <w:r w:rsidRPr="00DE6DF6">
              <w:rPr>
                <w:rFonts w:asciiTheme="majorHAnsi" w:hAnsiTheme="majorHAnsi" w:cstheme="majorHAnsi"/>
                <w:sz w:val="14"/>
                <w:szCs w:val="14"/>
              </w:rPr>
              <w:t>longitudinal cracks greater than 2 mm</w:t>
            </w:r>
          </w:p>
          <w:p w14:paraId="63DCF209" w14:textId="77777777" w:rsidR="00DB07DF" w:rsidRPr="00DE6DF6" w:rsidRDefault="00DB07DF" w:rsidP="00DB07DF">
            <w:pPr>
              <w:pStyle w:val="Tabletext"/>
              <w:numPr>
                <w:ilvl w:val="0"/>
                <w:numId w:val="38"/>
              </w:numPr>
              <w:rPr>
                <w:rFonts w:asciiTheme="majorHAnsi" w:hAnsiTheme="majorHAnsi" w:cstheme="majorHAnsi"/>
                <w:sz w:val="14"/>
                <w:szCs w:val="14"/>
              </w:rPr>
            </w:pPr>
            <w:r w:rsidRPr="00DE6DF6">
              <w:rPr>
                <w:rFonts w:asciiTheme="majorHAnsi" w:hAnsiTheme="majorHAnsi" w:cstheme="majorHAnsi"/>
                <w:sz w:val="14"/>
                <w:szCs w:val="14"/>
              </w:rPr>
              <w:t>circumferential cracks around the full circumference with width greater than 3 mm or with lateral displacement of the cracked sections exceeding 3 mm</w:t>
            </w:r>
          </w:p>
          <w:p w14:paraId="2E3E3337" w14:textId="77777777" w:rsidR="00DB07DF" w:rsidRPr="00DE6DF6" w:rsidRDefault="00DB07DF" w:rsidP="00DB07DF">
            <w:pPr>
              <w:pStyle w:val="Tabletext"/>
              <w:numPr>
                <w:ilvl w:val="0"/>
                <w:numId w:val="38"/>
              </w:numPr>
              <w:rPr>
                <w:rFonts w:asciiTheme="majorHAnsi" w:hAnsiTheme="majorHAnsi" w:cstheme="majorHAnsi"/>
                <w:sz w:val="14"/>
                <w:szCs w:val="14"/>
              </w:rPr>
            </w:pPr>
            <w:r w:rsidRPr="00DE6DF6">
              <w:rPr>
                <w:rFonts w:asciiTheme="majorHAnsi" w:hAnsiTheme="majorHAnsi" w:cstheme="majorHAnsi"/>
                <w:sz w:val="14"/>
                <w:szCs w:val="14"/>
              </w:rPr>
              <w:t>circumferential cracks around part of the circumference with width greater than 4 mm</w:t>
            </w:r>
          </w:p>
          <w:p w14:paraId="233F86B2" w14:textId="77777777" w:rsidR="00DB07DF" w:rsidRPr="00DE6DF6" w:rsidRDefault="00DB07DF" w:rsidP="00DB07DF">
            <w:pPr>
              <w:pStyle w:val="Tabletext"/>
              <w:numPr>
                <w:ilvl w:val="0"/>
                <w:numId w:val="38"/>
              </w:numPr>
              <w:rPr>
                <w:rFonts w:asciiTheme="majorHAnsi" w:hAnsiTheme="majorHAnsi" w:cstheme="majorHAnsi"/>
                <w:sz w:val="14"/>
                <w:szCs w:val="14"/>
              </w:rPr>
            </w:pPr>
            <w:r w:rsidRPr="00DE6DF6">
              <w:rPr>
                <w:rFonts w:asciiTheme="majorHAnsi" w:hAnsiTheme="majorHAnsi" w:cstheme="majorHAnsi"/>
                <w:sz w:val="14"/>
                <w:szCs w:val="14"/>
              </w:rPr>
              <w:t>penetrations with area greater than 400 mm2</w:t>
            </w:r>
          </w:p>
          <w:p w14:paraId="571F199A" w14:textId="77777777" w:rsidR="00DB07DF" w:rsidRPr="00DE6DF6" w:rsidRDefault="00DB07DF" w:rsidP="00DB07DF">
            <w:pPr>
              <w:pStyle w:val="Tabletext"/>
              <w:numPr>
                <w:ilvl w:val="0"/>
                <w:numId w:val="38"/>
              </w:numPr>
              <w:rPr>
                <w:rFonts w:asciiTheme="majorHAnsi" w:hAnsiTheme="majorHAnsi" w:cstheme="majorHAnsi"/>
                <w:sz w:val="14"/>
                <w:szCs w:val="14"/>
              </w:rPr>
            </w:pPr>
            <w:r w:rsidRPr="00DE6DF6">
              <w:rPr>
                <w:rFonts w:asciiTheme="majorHAnsi" w:hAnsiTheme="majorHAnsi" w:cstheme="majorHAnsi"/>
                <w:sz w:val="14"/>
                <w:szCs w:val="14"/>
              </w:rPr>
              <w:t>pipe joints that are separated.</w:t>
            </w:r>
          </w:p>
          <w:p w14:paraId="5F2618F6" w14:textId="77777777" w:rsidR="00DB07DF" w:rsidRPr="00DE6DF6" w:rsidRDefault="00DB07DF" w:rsidP="00DB07DF">
            <w:pPr>
              <w:pStyle w:val="Tabletext"/>
              <w:rPr>
                <w:rFonts w:asciiTheme="majorHAnsi" w:hAnsiTheme="majorHAnsi" w:cstheme="majorHAnsi"/>
                <w:sz w:val="14"/>
                <w:szCs w:val="14"/>
              </w:rPr>
            </w:pPr>
            <w:r w:rsidRPr="00DE6DF6">
              <w:rPr>
                <w:rFonts w:asciiTheme="majorHAnsi" w:hAnsiTheme="majorHAnsi" w:cstheme="majorHAnsi"/>
                <w:sz w:val="14"/>
                <w:szCs w:val="14"/>
              </w:rPr>
              <w:t>Other types of pipes which exhibit defects or are otherwise damaged prior to laying and backfilling shall be rejected.</w:t>
            </w:r>
          </w:p>
          <w:p w14:paraId="53988469" w14:textId="77777777" w:rsidR="00DB07DF" w:rsidRPr="00DE6DF6" w:rsidRDefault="00DB07DF" w:rsidP="00DB07DF">
            <w:pPr>
              <w:pStyle w:val="Tabletext"/>
              <w:rPr>
                <w:rFonts w:asciiTheme="majorHAnsi" w:hAnsiTheme="majorHAnsi" w:cstheme="majorHAnsi"/>
                <w:sz w:val="14"/>
                <w:szCs w:val="14"/>
              </w:rPr>
            </w:pPr>
            <w:r w:rsidRPr="00DE6DF6">
              <w:rPr>
                <w:rFonts w:asciiTheme="majorHAnsi" w:hAnsiTheme="majorHAnsi" w:cstheme="majorHAnsi"/>
                <w:sz w:val="14"/>
                <w:szCs w:val="14"/>
              </w:rPr>
              <w:t>Box culverts which do not comply with the requirements of clause 619.14 prior to laying and backfilling shall be rejected and removed from the site.</w:t>
            </w:r>
          </w:p>
          <w:p w14:paraId="1D1C9154" w14:textId="77777777" w:rsidR="00DB07DF" w:rsidRPr="00DE6DF6" w:rsidRDefault="00DB07DF" w:rsidP="00DB07DF">
            <w:pPr>
              <w:pStyle w:val="Tabletext"/>
              <w:rPr>
                <w:rFonts w:asciiTheme="majorHAnsi" w:hAnsiTheme="majorHAnsi" w:cstheme="majorHAnsi"/>
                <w:sz w:val="14"/>
                <w:szCs w:val="14"/>
              </w:rPr>
            </w:pPr>
          </w:p>
          <w:p w14:paraId="6C000D8B" w14:textId="77777777" w:rsidR="00DB07DF" w:rsidRPr="00DE6DF6" w:rsidRDefault="00DB07DF" w:rsidP="00DB07DF">
            <w:pPr>
              <w:pStyle w:val="Tabletext"/>
              <w:rPr>
                <w:rFonts w:asciiTheme="majorHAnsi" w:hAnsiTheme="majorHAnsi" w:cstheme="majorHAnsi"/>
                <w:bCs w:val="0"/>
                <w:sz w:val="14"/>
                <w:szCs w:val="14"/>
                <w:lang w:val="en-US"/>
              </w:rPr>
            </w:pPr>
            <w:r w:rsidRPr="00DE6DF6">
              <w:rPr>
                <w:rFonts w:asciiTheme="majorHAnsi" w:hAnsiTheme="majorHAnsi" w:cstheme="majorHAnsi"/>
                <w:bCs w:val="0"/>
                <w:sz w:val="14"/>
                <w:szCs w:val="14"/>
                <w:lang w:val="en-US"/>
              </w:rPr>
              <w:t>The Contractor shall submit details of proposed rectification treatments including manufacturer’s product specifications and warranties, the area and thickness of repair treatment, detailed repair procedures, and inspection and test plans.</w:t>
            </w:r>
          </w:p>
          <w:p w14:paraId="585B0B72" w14:textId="59147904" w:rsidR="00DB07DF" w:rsidRPr="00F74CAB" w:rsidRDefault="00DB07DF" w:rsidP="00DB07DF">
            <w:pPr>
              <w:tabs>
                <w:tab w:val="left" w:pos="28"/>
                <w:tab w:val="left" w:pos="91"/>
                <w:tab w:val="left" w:pos="206"/>
              </w:tabs>
              <w:spacing w:before="60"/>
              <w:ind w:right="-57"/>
              <w:rPr>
                <w:rFonts w:asciiTheme="majorHAnsi" w:hAnsiTheme="majorHAnsi" w:cstheme="majorHAnsi"/>
                <w:sz w:val="14"/>
                <w:szCs w:val="14"/>
              </w:rPr>
            </w:pPr>
            <w:r w:rsidRPr="00DE6DF6">
              <w:rPr>
                <w:rFonts w:asciiTheme="majorHAnsi" w:hAnsiTheme="majorHAnsi" w:cstheme="majorHAnsi"/>
                <w:b/>
                <w:sz w:val="14"/>
                <w:szCs w:val="14"/>
              </w:rPr>
              <w:t>No repairs shall be undertaken without the Superintendent’s approval of the repair materials and procedures</w:t>
            </w:r>
            <w:r w:rsidRPr="00DE6DF6">
              <w:rPr>
                <w:rFonts w:asciiTheme="majorHAnsi" w:hAnsiTheme="majorHAnsi" w:cstheme="majorHAnsi"/>
                <w:sz w:val="14"/>
                <w:szCs w:val="14"/>
              </w:rPr>
              <w:t>.</w:t>
            </w:r>
          </w:p>
        </w:tc>
        <w:tc>
          <w:tcPr>
            <w:tcW w:w="992" w:type="dxa"/>
            <w:shd w:val="clear" w:color="auto" w:fill="auto"/>
            <w:vAlign w:val="center"/>
          </w:tcPr>
          <w:p w14:paraId="37D2EF74" w14:textId="01738179" w:rsidR="00DB07DF" w:rsidRDefault="00DB07DF" w:rsidP="00DB07DF">
            <w:pPr>
              <w:pStyle w:val="SymalTableBody"/>
              <w:spacing w:before="20" w:after="20"/>
              <w:jc w:val="center"/>
              <w:rPr>
                <w:sz w:val="14"/>
                <w:szCs w:val="14"/>
              </w:rPr>
            </w:pPr>
            <w:r>
              <w:rPr>
                <w:sz w:val="14"/>
                <w:szCs w:val="14"/>
              </w:rPr>
              <w:lastRenderedPageBreak/>
              <w:t>Each lot</w:t>
            </w:r>
          </w:p>
        </w:tc>
        <w:tc>
          <w:tcPr>
            <w:tcW w:w="850" w:type="dxa"/>
            <w:shd w:val="clear" w:color="auto" w:fill="auto"/>
            <w:vAlign w:val="center"/>
          </w:tcPr>
          <w:p w14:paraId="32390338" w14:textId="473AAB77" w:rsidR="00DB07DF" w:rsidRDefault="00DB07DF" w:rsidP="00DB07DF">
            <w:pPr>
              <w:pStyle w:val="SymalTableBody"/>
              <w:spacing w:before="20" w:after="20"/>
              <w:jc w:val="center"/>
              <w:rPr>
                <w:sz w:val="14"/>
                <w:szCs w:val="14"/>
              </w:rPr>
            </w:pPr>
            <w:r>
              <w:rPr>
                <w:sz w:val="14"/>
                <w:szCs w:val="14"/>
              </w:rPr>
              <w:t>H</w:t>
            </w:r>
          </w:p>
        </w:tc>
        <w:tc>
          <w:tcPr>
            <w:tcW w:w="851" w:type="dxa"/>
            <w:shd w:val="clear" w:color="auto" w:fill="auto"/>
            <w:vAlign w:val="center"/>
          </w:tcPr>
          <w:p w14:paraId="503D3929" w14:textId="30D0CA07" w:rsidR="00DB07DF" w:rsidRPr="00EA0774" w:rsidRDefault="00DB07DF" w:rsidP="00DB07DF">
            <w:pPr>
              <w:pStyle w:val="SymalTableBody"/>
              <w:spacing w:before="20" w:after="20"/>
              <w:jc w:val="center"/>
              <w:rPr>
                <w:sz w:val="14"/>
                <w:szCs w:val="14"/>
              </w:rPr>
            </w:pPr>
            <w:r>
              <w:rPr>
                <w:sz w:val="14"/>
                <w:szCs w:val="14"/>
              </w:rPr>
              <w:t>SE</w:t>
            </w:r>
          </w:p>
        </w:tc>
        <w:tc>
          <w:tcPr>
            <w:tcW w:w="850" w:type="dxa"/>
            <w:shd w:val="clear" w:color="auto" w:fill="auto"/>
            <w:vAlign w:val="center"/>
          </w:tcPr>
          <w:p w14:paraId="57C6AE1D" w14:textId="77777777" w:rsidR="00DB07DF" w:rsidRPr="00741190" w:rsidRDefault="00DB07DF" w:rsidP="00DB07DF">
            <w:pPr>
              <w:pStyle w:val="SymalTableBody"/>
              <w:spacing w:before="20" w:after="20"/>
              <w:jc w:val="center"/>
              <w:rPr>
                <w:b/>
                <w:bCs/>
                <w:szCs w:val="18"/>
              </w:rPr>
            </w:pPr>
          </w:p>
        </w:tc>
        <w:tc>
          <w:tcPr>
            <w:tcW w:w="851" w:type="dxa"/>
            <w:shd w:val="clear" w:color="auto" w:fill="auto"/>
            <w:vAlign w:val="center"/>
          </w:tcPr>
          <w:p w14:paraId="7C126EAA" w14:textId="54E32CA8" w:rsidR="00DB07DF" w:rsidRDefault="00DB07DF" w:rsidP="00DB07DF">
            <w:pPr>
              <w:pStyle w:val="SymalTableBody"/>
              <w:spacing w:before="20" w:after="20"/>
              <w:jc w:val="center"/>
              <w:rPr>
                <w:b/>
                <w:bCs/>
                <w:szCs w:val="18"/>
              </w:rPr>
            </w:pPr>
            <w:r w:rsidRPr="00E50E2D">
              <w:rPr>
                <w:sz w:val="14"/>
                <w:szCs w:val="14"/>
              </w:rPr>
              <w:t>H</w:t>
            </w:r>
          </w:p>
        </w:tc>
        <w:tc>
          <w:tcPr>
            <w:tcW w:w="850" w:type="dxa"/>
            <w:shd w:val="clear" w:color="auto" w:fill="auto"/>
            <w:vAlign w:val="center"/>
          </w:tcPr>
          <w:p w14:paraId="6A2C71AE" w14:textId="77777777" w:rsidR="00DB07DF" w:rsidRPr="00741190" w:rsidRDefault="00DB07DF" w:rsidP="00DB07DF">
            <w:pPr>
              <w:pStyle w:val="SymalTableBody"/>
              <w:spacing w:before="20" w:after="20"/>
              <w:jc w:val="center"/>
              <w:rPr>
                <w:b/>
                <w:bCs/>
                <w:szCs w:val="18"/>
              </w:rPr>
            </w:pPr>
          </w:p>
        </w:tc>
        <w:tc>
          <w:tcPr>
            <w:tcW w:w="2268" w:type="dxa"/>
            <w:shd w:val="clear" w:color="auto" w:fill="auto"/>
            <w:vAlign w:val="center"/>
          </w:tcPr>
          <w:p w14:paraId="46121F37" w14:textId="77777777" w:rsidR="00DB07DF" w:rsidRDefault="00DB07DF" w:rsidP="00DB07DF">
            <w:pPr>
              <w:pStyle w:val="Tabletext"/>
              <w:rPr>
                <w:rFonts w:asciiTheme="majorHAnsi" w:hAnsiTheme="majorHAnsi" w:cstheme="majorHAnsi"/>
                <w:sz w:val="14"/>
                <w:szCs w:val="14"/>
              </w:rPr>
            </w:pPr>
          </w:p>
        </w:tc>
      </w:tr>
      <w:tr w:rsidR="00901425" w:rsidRPr="003C1E57" w14:paraId="096B6C79" w14:textId="77777777" w:rsidTr="028E53E9">
        <w:trPr>
          <w:trHeight w:val="227"/>
        </w:trPr>
        <w:tc>
          <w:tcPr>
            <w:tcW w:w="15309" w:type="dxa"/>
            <w:gridSpan w:val="11"/>
            <w:shd w:val="clear" w:color="auto" w:fill="000000" w:themeFill="text2"/>
          </w:tcPr>
          <w:p w14:paraId="27808B44" w14:textId="1742A792" w:rsidR="00901425" w:rsidRPr="003C1E57" w:rsidRDefault="00901425" w:rsidP="00A541B8">
            <w:pPr>
              <w:pStyle w:val="SymalTableBody"/>
              <w:spacing w:before="20" w:after="20"/>
              <w:rPr>
                <w:b/>
                <w:bCs/>
                <w:color w:val="FFFFFF" w:themeColor="background1"/>
                <w:sz w:val="20"/>
              </w:rPr>
            </w:pPr>
            <w:r>
              <w:rPr>
                <w:b/>
                <w:bCs/>
                <w:color w:val="FFFFFF" w:themeColor="background1"/>
                <w:sz w:val="20"/>
              </w:rPr>
              <w:t>7</w:t>
            </w:r>
            <w:r w:rsidRPr="003C1E57">
              <w:rPr>
                <w:b/>
                <w:bCs/>
                <w:color w:val="FFFFFF" w:themeColor="background1"/>
                <w:sz w:val="20"/>
              </w:rPr>
              <w:t xml:space="preserve">.0 </w:t>
            </w:r>
            <w:r>
              <w:rPr>
                <w:b/>
                <w:bCs/>
                <w:color w:val="FFFFFF" w:themeColor="background1"/>
                <w:sz w:val="20"/>
              </w:rPr>
              <w:t>Close-Out</w:t>
            </w:r>
          </w:p>
        </w:tc>
      </w:tr>
      <w:tr w:rsidR="00030E46" w:rsidRPr="00741190" w14:paraId="34D9B351" w14:textId="77777777" w:rsidTr="003971F4">
        <w:trPr>
          <w:trHeight w:val="622"/>
        </w:trPr>
        <w:tc>
          <w:tcPr>
            <w:tcW w:w="559" w:type="dxa"/>
            <w:shd w:val="clear" w:color="auto" w:fill="auto"/>
            <w:vAlign w:val="center"/>
          </w:tcPr>
          <w:p w14:paraId="792D1D58" w14:textId="2F85CFF5" w:rsidR="0040297C" w:rsidRPr="00DB6BD6" w:rsidRDefault="0040297C" w:rsidP="00A541B8">
            <w:pPr>
              <w:pStyle w:val="SymalTableBody"/>
              <w:spacing w:before="20" w:after="20"/>
              <w:rPr>
                <w:b/>
                <w:bCs/>
                <w:sz w:val="16"/>
                <w:szCs w:val="16"/>
              </w:rPr>
            </w:pPr>
            <w:r>
              <w:rPr>
                <w:b/>
                <w:bCs/>
                <w:sz w:val="16"/>
                <w:szCs w:val="16"/>
              </w:rPr>
              <w:t>7.1</w:t>
            </w:r>
          </w:p>
        </w:tc>
        <w:tc>
          <w:tcPr>
            <w:tcW w:w="2231" w:type="dxa"/>
            <w:shd w:val="clear" w:color="auto" w:fill="auto"/>
            <w:vAlign w:val="center"/>
          </w:tcPr>
          <w:p w14:paraId="52CBAC6F" w14:textId="64DA7B0B"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 xml:space="preserve">Test Reports </w:t>
            </w:r>
          </w:p>
        </w:tc>
        <w:tc>
          <w:tcPr>
            <w:tcW w:w="786" w:type="dxa"/>
            <w:shd w:val="clear" w:color="auto" w:fill="auto"/>
            <w:vAlign w:val="center"/>
          </w:tcPr>
          <w:p w14:paraId="6AA2F4B7" w14:textId="187776B6" w:rsidR="0040297C" w:rsidRPr="00D340C6" w:rsidRDefault="0040297C" w:rsidP="00A541B8">
            <w:pPr>
              <w:pStyle w:val="SymalTableBody"/>
              <w:spacing w:before="20" w:after="20"/>
              <w:jc w:val="center"/>
              <w:rPr>
                <w:sz w:val="16"/>
                <w:szCs w:val="16"/>
              </w:rPr>
            </w:pPr>
          </w:p>
        </w:tc>
        <w:tc>
          <w:tcPr>
            <w:tcW w:w="4221" w:type="dxa"/>
            <w:shd w:val="clear" w:color="auto" w:fill="auto"/>
            <w:vAlign w:val="center"/>
          </w:tcPr>
          <w:p w14:paraId="0892FAE2" w14:textId="7344B382" w:rsidR="0040297C" w:rsidRPr="00D340C6" w:rsidRDefault="0040297C" w:rsidP="00A541B8">
            <w:pPr>
              <w:pStyle w:val="SymalTableBody"/>
              <w:spacing w:before="20" w:after="20"/>
              <w:rPr>
                <w:sz w:val="16"/>
                <w:szCs w:val="16"/>
              </w:rPr>
            </w:pPr>
            <w:r>
              <w:rPr>
                <w:rFonts w:asciiTheme="majorHAnsi" w:hAnsiTheme="majorHAnsi" w:cstheme="majorHAnsi"/>
                <w:sz w:val="14"/>
                <w:szCs w:val="14"/>
              </w:rPr>
              <w:t xml:space="preserve">All Test reports received and </w:t>
            </w:r>
            <w:r w:rsidR="0031579F">
              <w:rPr>
                <w:rFonts w:asciiTheme="majorHAnsi" w:hAnsiTheme="majorHAnsi" w:cstheme="majorHAnsi"/>
                <w:sz w:val="14"/>
                <w:szCs w:val="14"/>
              </w:rPr>
              <w:t>reviewed</w:t>
            </w:r>
          </w:p>
        </w:tc>
        <w:tc>
          <w:tcPr>
            <w:tcW w:w="992" w:type="dxa"/>
            <w:shd w:val="clear" w:color="auto" w:fill="auto"/>
            <w:vAlign w:val="center"/>
          </w:tcPr>
          <w:p w14:paraId="09AF60E2" w14:textId="7F890658" w:rsidR="0040297C" w:rsidRPr="00D340C6" w:rsidRDefault="0040297C" w:rsidP="00A541B8">
            <w:pPr>
              <w:pStyle w:val="SymalTableBody"/>
              <w:spacing w:before="20" w:after="20"/>
              <w:jc w:val="center"/>
              <w:rPr>
                <w:sz w:val="16"/>
                <w:szCs w:val="16"/>
              </w:rPr>
            </w:pPr>
            <w:r w:rsidRPr="00C07290">
              <w:rPr>
                <w:sz w:val="14"/>
                <w:szCs w:val="14"/>
              </w:rPr>
              <w:t xml:space="preserve">Each </w:t>
            </w:r>
            <w:r>
              <w:rPr>
                <w:sz w:val="14"/>
                <w:szCs w:val="14"/>
              </w:rPr>
              <w:t>lot</w:t>
            </w:r>
            <w:r w:rsidRPr="00C07290">
              <w:rPr>
                <w:sz w:val="14"/>
                <w:szCs w:val="14"/>
              </w:rPr>
              <w:t xml:space="preserve"> </w:t>
            </w:r>
          </w:p>
        </w:tc>
        <w:tc>
          <w:tcPr>
            <w:tcW w:w="850" w:type="dxa"/>
            <w:shd w:val="clear" w:color="auto" w:fill="auto"/>
            <w:vAlign w:val="center"/>
          </w:tcPr>
          <w:p w14:paraId="28247B18" w14:textId="4D7AE867" w:rsidR="0040297C" w:rsidRPr="00D340C6" w:rsidRDefault="0040297C" w:rsidP="00A541B8">
            <w:pPr>
              <w:pStyle w:val="SymalTableBody"/>
              <w:spacing w:before="20" w:after="20"/>
              <w:jc w:val="center"/>
              <w:rPr>
                <w:sz w:val="16"/>
                <w:szCs w:val="16"/>
              </w:rPr>
            </w:pPr>
            <w:r w:rsidRPr="00C07290">
              <w:rPr>
                <w:sz w:val="14"/>
                <w:szCs w:val="14"/>
              </w:rPr>
              <w:t>R</w:t>
            </w:r>
          </w:p>
        </w:tc>
        <w:tc>
          <w:tcPr>
            <w:tcW w:w="851" w:type="dxa"/>
            <w:shd w:val="clear" w:color="auto" w:fill="auto"/>
            <w:vAlign w:val="center"/>
          </w:tcPr>
          <w:p w14:paraId="1A931C04" w14:textId="1B7B7E04" w:rsidR="0040297C" w:rsidRPr="00D340C6" w:rsidRDefault="0040297C" w:rsidP="00A541B8">
            <w:pPr>
              <w:pStyle w:val="SymalTableBody"/>
              <w:spacing w:before="20" w:after="20"/>
              <w:jc w:val="center"/>
              <w:rPr>
                <w:sz w:val="16"/>
                <w:szCs w:val="16"/>
              </w:rPr>
            </w:pPr>
            <w:r w:rsidRPr="00C07290">
              <w:rPr>
                <w:sz w:val="14"/>
                <w:szCs w:val="14"/>
              </w:rPr>
              <w:t>SE</w:t>
            </w:r>
          </w:p>
        </w:tc>
        <w:tc>
          <w:tcPr>
            <w:tcW w:w="850" w:type="dxa"/>
            <w:shd w:val="clear" w:color="auto" w:fill="auto"/>
            <w:vAlign w:val="center"/>
          </w:tcPr>
          <w:p w14:paraId="18A68632" w14:textId="77777777" w:rsidR="0040297C" w:rsidRPr="00741190" w:rsidRDefault="0040297C" w:rsidP="00A541B8">
            <w:pPr>
              <w:pStyle w:val="SymalTableBody"/>
              <w:spacing w:before="20" w:after="20"/>
              <w:jc w:val="center"/>
              <w:rPr>
                <w:b/>
                <w:bCs/>
                <w:szCs w:val="18"/>
              </w:rPr>
            </w:pPr>
          </w:p>
        </w:tc>
        <w:tc>
          <w:tcPr>
            <w:tcW w:w="851" w:type="dxa"/>
            <w:shd w:val="clear" w:color="auto" w:fill="auto"/>
            <w:vAlign w:val="center"/>
          </w:tcPr>
          <w:p w14:paraId="4776DD3E" w14:textId="77777777" w:rsidR="0040297C" w:rsidRPr="00741190" w:rsidRDefault="0040297C" w:rsidP="00A541B8">
            <w:pPr>
              <w:pStyle w:val="SymalTableBody"/>
              <w:spacing w:before="20" w:after="20"/>
              <w:jc w:val="center"/>
              <w:rPr>
                <w:b/>
                <w:bCs/>
                <w:szCs w:val="18"/>
              </w:rPr>
            </w:pPr>
          </w:p>
        </w:tc>
        <w:tc>
          <w:tcPr>
            <w:tcW w:w="850" w:type="dxa"/>
            <w:shd w:val="clear" w:color="auto" w:fill="auto"/>
            <w:vAlign w:val="center"/>
          </w:tcPr>
          <w:p w14:paraId="36126C64"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6B9E0F8E" w14:textId="77777777" w:rsidR="0040297C" w:rsidRDefault="0040297C" w:rsidP="00A541B8">
            <w:pPr>
              <w:pStyle w:val="Tabletext"/>
              <w:rPr>
                <w:rFonts w:asciiTheme="majorHAnsi" w:hAnsiTheme="majorHAnsi" w:cstheme="majorHAnsi"/>
                <w:sz w:val="14"/>
                <w:szCs w:val="14"/>
              </w:rPr>
            </w:pPr>
          </w:p>
          <w:p w14:paraId="29C7ABF4" w14:textId="29E7B622" w:rsidR="0040297C" w:rsidRDefault="0040297C" w:rsidP="00A541B8">
            <w:pPr>
              <w:pStyle w:val="Tabletext"/>
              <w:rPr>
                <w:rFonts w:asciiTheme="majorHAnsi" w:hAnsiTheme="majorHAnsi" w:cstheme="majorHAnsi"/>
                <w:sz w:val="14"/>
                <w:szCs w:val="14"/>
              </w:rPr>
            </w:pPr>
            <w:r>
              <w:rPr>
                <w:rFonts w:asciiTheme="majorHAnsi" w:hAnsiTheme="majorHAnsi" w:cstheme="majorHAnsi"/>
                <w:sz w:val="14"/>
                <w:szCs w:val="14"/>
              </w:rPr>
              <w:t xml:space="preserve">NATA Endorsed Test Reports </w:t>
            </w:r>
            <w:r w:rsidR="00670490" w:rsidRPr="00064EBA">
              <w:rPr>
                <w:rFonts w:cstheme="minorHAnsi"/>
                <w:b/>
                <w:sz w:val="28"/>
                <w:szCs w:val="28"/>
              </w:rPr>
              <w:t>□</w:t>
            </w:r>
          </w:p>
          <w:p w14:paraId="7BD4FC23" w14:textId="77777777" w:rsidR="0040297C" w:rsidRPr="00741190" w:rsidRDefault="0040297C" w:rsidP="00A541B8">
            <w:pPr>
              <w:pStyle w:val="SymalTableBody"/>
              <w:spacing w:before="20" w:after="20"/>
              <w:rPr>
                <w:b/>
                <w:bCs/>
                <w:szCs w:val="18"/>
              </w:rPr>
            </w:pPr>
          </w:p>
        </w:tc>
      </w:tr>
      <w:tr w:rsidR="00030E46" w:rsidRPr="00741190" w14:paraId="7777C3B2" w14:textId="77777777" w:rsidTr="028E53E9">
        <w:trPr>
          <w:trHeight w:val="227"/>
        </w:trPr>
        <w:tc>
          <w:tcPr>
            <w:tcW w:w="559" w:type="dxa"/>
            <w:shd w:val="clear" w:color="auto" w:fill="auto"/>
            <w:vAlign w:val="center"/>
          </w:tcPr>
          <w:p w14:paraId="1EC0F3C8" w14:textId="252BC978" w:rsidR="0040297C" w:rsidRPr="00DB6BD6" w:rsidRDefault="0040297C" w:rsidP="00A541B8">
            <w:pPr>
              <w:pStyle w:val="SymalTableBody"/>
              <w:spacing w:before="20" w:after="20"/>
              <w:rPr>
                <w:b/>
                <w:bCs/>
                <w:sz w:val="16"/>
                <w:szCs w:val="16"/>
              </w:rPr>
            </w:pPr>
            <w:r>
              <w:rPr>
                <w:b/>
                <w:bCs/>
                <w:sz w:val="16"/>
                <w:szCs w:val="16"/>
              </w:rPr>
              <w:t>7.2</w:t>
            </w:r>
          </w:p>
        </w:tc>
        <w:tc>
          <w:tcPr>
            <w:tcW w:w="2231" w:type="dxa"/>
            <w:shd w:val="clear" w:color="auto" w:fill="auto"/>
            <w:vAlign w:val="center"/>
          </w:tcPr>
          <w:p w14:paraId="6B5512D3" w14:textId="1CD050FF"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Product Non-Conformance</w:t>
            </w:r>
          </w:p>
        </w:tc>
        <w:tc>
          <w:tcPr>
            <w:tcW w:w="786" w:type="dxa"/>
            <w:shd w:val="clear" w:color="auto" w:fill="auto"/>
            <w:vAlign w:val="center"/>
          </w:tcPr>
          <w:p w14:paraId="39C01A52" w14:textId="345C203D" w:rsidR="0040297C" w:rsidRPr="00D340C6" w:rsidRDefault="0040297C" w:rsidP="00A541B8">
            <w:pPr>
              <w:pStyle w:val="SymalTableBody"/>
              <w:spacing w:before="20" w:after="20"/>
              <w:jc w:val="center"/>
              <w:rPr>
                <w:sz w:val="16"/>
                <w:szCs w:val="16"/>
              </w:rPr>
            </w:pPr>
            <w:r>
              <w:rPr>
                <w:rFonts w:asciiTheme="majorHAnsi" w:hAnsiTheme="majorHAnsi" w:cstheme="majorHAnsi"/>
                <w:sz w:val="14"/>
                <w:szCs w:val="14"/>
              </w:rPr>
              <w:t>QMP</w:t>
            </w:r>
          </w:p>
        </w:tc>
        <w:tc>
          <w:tcPr>
            <w:tcW w:w="4221" w:type="dxa"/>
            <w:shd w:val="clear" w:color="auto" w:fill="auto"/>
            <w:vAlign w:val="center"/>
          </w:tcPr>
          <w:p w14:paraId="29B0D0C1" w14:textId="77777777" w:rsidR="0040297C" w:rsidRDefault="0040297C" w:rsidP="00A541B8">
            <w:pPr>
              <w:pStyle w:val="SymalTableBody"/>
              <w:spacing w:before="20" w:after="20"/>
              <w:rPr>
                <w:rFonts w:asciiTheme="majorHAnsi" w:hAnsiTheme="majorHAnsi" w:cstheme="majorHAnsi"/>
                <w:sz w:val="14"/>
                <w:szCs w:val="14"/>
              </w:rPr>
            </w:pPr>
          </w:p>
          <w:p w14:paraId="7F45520D" w14:textId="77777777" w:rsidR="0040297C" w:rsidRDefault="0040297C" w:rsidP="00A541B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Product Non-Conformance(s) recorded and closed (if applicable) </w:t>
            </w:r>
          </w:p>
          <w:p w14:paraId="19BE8466" w14:textId="77777777" w:rsidR="0040297C" w:rsidRPr="00D340C6" w:rsidRDefault="0040297C" w:rsidP="00A541B8">
            <w:pPr>
              <w:pStyle w:val="SymalTableBody"/>
              <w:spacing w:before="20" w:after="20"/>
              <w:rPr>
                <w:sz w:val="16"/>
                <w:szCs w:val="16"/>
              </w:rPr>
            </w:pPr>
          </w:p>
        </w:tc>
        <w:tc>
          <w:tcPr>
            <w:tcW w:w="992" w:type="dxa"/>
            <w:shd w:val="clear" w:color="auto" w:fill="auto"/>
            <w:vAlign w:val="center"/>
          </w:tcPr>
          <w:p w14:paraId="3CE9F0E8" w14:textId="2169CA0A" w:rsidR="0040297C" w:rsidRPr="00D340C6" w:rsidRDefault="0040297C" w:rsidP="00A541B8">
            <w:pPr>
              <w:pStyle w:val="SymalTableBody"/>
              <w:spacing w:before="20" w:after="20"/>
              <w:jc w:val="center"/>
              <w:rPr>
                <w:sz w:val="16"/>
                <w:szCs w:val="16"/>
              </w:rPr>
            </w:pPr>
            <w:r w:rsidRPr="00C07290">
              <w:rPr>
                <w:sz w:val="14"/>
                <w:szCs w:val="14"/>
              </w:rPr>
              <w:t xml:space="preserve">Each </w:t>
            </w:r>
            <w:r>
              <w:rPr>
                <w:sz w:val="14"/>
                <w:szCs w:val="14"/>
              </w:rPr>
              <w:t>lot</w:t>
            </w:r>
          </w:p>
        </w:tc>
        <w:tc>
          <w:tcPr>
            <w:tcW w:w="850" w:type="dxa"/>
            <w:shd w:val="clear" w:color="auto" w:fill="auto"/>
            <w:vAlign w:val="center"/>
          </w:tcPr>
          <w:p w14:paraId="75CBC26E" w14:textId="71FEED93" w:rsidR="0040297C" w:rsidRPr="00D340C6" w:rsidRDefault="0040297C" w:rsidP="00A541B8">
            <w:pPr>
              <w:pStyle w:val="SymalTableBody"/>
              <w:spacing w:before="20" w:after="20"/>
              <w:jc w:val="center"/>
              <w:rPr>
                <w:sz w:val="16"/>
                <w:szCs w:val="16"/>
              </w:rPr>
            </w:pPr>
            <w:r w:rsidRPr="00C07290">
              <w:rPr>
                <w:sz w:val="14"/>
                <w:szCs w:val="14"/>
              </w:rPr>
              <w:t>R</w:t>
            </w:r>
          </w:p>
        </w:tc>
        <w:tc>
          <w:tcPr>
            <w:tcW w:w="851" w:type="dxa"/>
            <w:shd w:val="clear" w:color="auto" w:fill="auto"/>
            <w:vAlign w:val="center"/>
          </w:tcPr>
          <w:p w14:paraId="24EEE11C" w14:textId="1A4FFE91" w:rsidR="0040297C" w:rsidRPr="00D340C6" w:rsidRDefault="0040297C" w:rsidP="00A541B8">
            <w:pPr>
              <w:pStyle w:val="SymalTableBody"/>
              <w:spacing w:before="20" w:after="20"/>
              <w:jc w:val="center"/>
              <w:rPr>
                <w:sz w:val="16"/>
                <w:szCs w:val="16"/>
              </w:rPr>
            </w:pPr>
            <w:r w:rsidRPr="00C07290">
              <w:rPr>
                <w:sz w:val="14"/>
                <w:szCs w:val="14"/>
              </w:rPr>
              <w:t>SE</w:t>
            </w:r>
          </w:p>
        </w:tc>
        <w:tc>
          <w:tcPr>
            <w:tcW w:w="850" w:type="dxa"/>
            <w:shd w:val="clear" w:color="auto" w:fill="auto"/>
            <w:vAlign w:val="center"/>
          </w:tcPr>
          <w:p w14:paraId="7B3EBF6B" w14:textId="77777777" w:rsidR="0040297C" w:rsidRPr="00741190" w:rsidRDefault="0040297C" w:rsidP="00A541B8">
            <w:pPr>
              <w:pStyle w:val="SymalTableBody"/>
              <w:spacing w:before="20" w:after="20"/>
              <w:jc w:val="center"/>
              <w:rPr>
                <w:b/>
                <w:bCs/>
                <w:szCs w:val="18"/>
              </w:rPr>
            </w:pPr>
          </w:p>
        </w:tc>
        <w:tc>
          <w:tcPr>
            <w:tcW w:w="851" w:type="dxa"/>
            <w:shd w:val="clear" w:color="auto" w:fill="auto"/>
            <w:vAlign w:val="center"/>
          </w:tcPr>
          <w:p w14:paraId="31425A51" w14:textId="77777777" w:rsidR="0040297C" w:rsidRPr="00741190" w:rsidRDefault="0040297C" w:rsidP="00A541B8">
            <w:pPr>
              <w:pStyle w:val="SymalTableBody"/>
              <w:spacing w:before="20" w:after="20"/>
              <w:jc w:val="center"/>
              <w:rPr>
                <w:b/>
                <w:bCs/>
                <w:szCs w:val="18"/>
              </w:rPr>
            </w:pPr>
          </w:p>
        </w:tc>
        <w:tc>
          <w:tcPr>
            <w:tcW w:w="850" w:type="dxa"/>
            <w:shd w:val="clear" w:color="auto" w:fill="auto"/>
            <w:vAlign w:val="center"/>
          </w:tcPr>
          <w:p w14:paraId="598FA55F"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09E5BBA6" w14:textId="77777777" w:rsidR="0040297C" w:rsidRDefault="0040297C" w:rsidP="00A541B8">
            <w:pPr>
              <w:pStyle w:val="Tabletext"/>
              <w:rPr>
                <w:rFonts w:asciiTheme="majorHAnsi" w:hAnsiTheme="majorHAnsi" w:cstheme="majorHAnsi"/>
                <w:sz w:val="14"/>
                <w:szCs w:val="14"/>
              </w:rPr>
            </w:pPr>
          </w:p>
          <w:p w14:paraId="4D5C80E8" w14:textId="0D629E60" w:rsidR="0040297C" w:rsidRDefault="0040297C" w:rsidP="00A541B8">
            <w:pPr>
              <w:pStyle w:val="Tabletext"/>
              <w:rPr>
                <w:rFonts w:asciiTheme="majorHAnsi" w:hAnsiTheme="majorHAnsi" w:cstheme="majorHAnsi"/>
                <w:sz w:val="14"/>
                <w:szCs w:val="14"/>
              </w:rPr>
            </w:pPr>
            <w:r w:rsidRPr="00A96932">
              <w:rPr>
                <w:rFonts w:asciiTheme="majorHAnsi" w:hAnsiTheme="majorHAnsi" w:cstheme="majorHAnsi"/>
                <w:sz w:val="14"/>
                <w:szCs w:val="14"/>
              </w:rPr>
              <w:t>NCR No</w:t>
            </w:r>
            <w:r>
              <w:rPr>
                <w:rFonts w:asciiTheme="majorHAnsi" w:hAnsiTheme="majorHAnsi" w:cstheme="majorHAnsi"/>
                <w:sz w:val="14"/>
                <w:szCs w:val="14"/>
              </w:rPr>
              <w:t>___________</w:t>
            </w:r>
          </w:p>
          <w:p w14:paraId="70CA278F" w14:textId="77777777" w:rsidR="0040297C" w:rsidRDefault="0040297C" w:rsidP="00A541B8">
            <w:pPr>
              <w:pStyle w:val="Tabletext"/>
              <w:rPr>
                <w:rFonts w:asciiTheme="majorHAnsi" w:hAnsiTheme="majorHAnsi" w:cstheme="majorHAnsi"/>
                <w:sz w:val="14"/>
                <w:szCs w:val="14"/>
              </w:rPr>
            </w:pPr>
          </w:p>
          <w:p w14:paraId="165C8CA4" w14:textId="77777777" w:rsidR="0040297C" w:rsidRDefault="0040297C" w:rsidP="00A541B8">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6C82671" w14:textId="77777777" w:rsidR="0040297C" w:rsidRPr="00741190" w:rsidRDefault="0040297C" w:rsidP="00A541B8">
            <w:pPr>
              <w:pStyle w:val="SymalTableBody"/>
              <w:spacing w:before="20" w:after="20"/>
              <w:rPr>
                <w:b/>
                <w:bCs/>
                <w:szCs w:val="18"/>
              </w:rPr>
            </w:pPr>
          </w:p>
        </w:tc>
      </w:tr>
      <w:tr w:rsidR="00030E46" w:rsidRPr="00741190" w14:paraId="0EAE67A2" w14:textId="77777777" w:rsidTr="028E53E9">
        <w:trPr>
          <w:trHeight w:val="227"/>
        </w:trPr>
        <w:tc>
          <w:tcPr>
            <w:tcW w:w="559" w:type="dxa"/>
            <w:shd w:val="clear" w:color="auto" w:fill="auto"/>
            <w:vAlign w:val="center"/>
          </w:tcPr>
          <w:p w14:paraId="489B6D3D" w14:textId="22AEE3FA" w:rsidR="0040297C" w:rsidRPr="00DB6BD6" w:rsidRDefault="0040297C" w:rsidP="00A541B8">
            <w:pPr>
              <w:pStyle w:val="SymalTableBody"/>
              <w:spacing w:before="20" w:after="20"/>
              <w:rPr>
                <w:b/>
                <w:bCs/>
                <w:sz w:val="16"/>
                <w:szCs w:val="16"/>
              </w:rPr>
            </w:pPr>
            <w:r>
              <w:rPr>
                <w:b/>
                <w:bCs/>
                <w:sz w:val="16"/>
                <w:szCs w:val="16"/>
              </w:rPr>
              <w:t>7.3</w:t>
            </w:r>
          </w:p>
        </w:tc>
        <w:tc>
          <w:tcPr>
            <w:tcW w:w="2231" w:type="dxa"/>
            <w:shd w:val="clear" w:color="auto" w:fill="auto"/>
            <w:vAlign w:val="center"/>
          </w:tcPr>
          <w:p w14:paraId="0DBA9474" w14:textId="58C483C1" w:rsidR="0040297C" w:rsidRPr="00D340C6" w:rsidRDefault="0040297C" w:rsidP="00A541B8">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786" w:type="dxa"/>
            <w:shd w:val="clear" w:color="auto" w:fill="auto"/>
            <w:vAlign w:val="center"/>
          </w:tcPr>
          <w:p w14:paraId="05FF5FA7" w14:textId="77777777" w:rsidR="0040297C" w:rsidRDefault="0040297C" w:rsidP="00A541B8">
            <w:pPr>
              <w:pStyle w:val="Tabletext"/>
              <w:jc w:val="center"/>
              <w:rPr>
                <w:rFonts w:asciiTheme="majorHAnsi" w:hAnsiTheme="majorHAnsi" w:cstheme="majorHAnsi"/>
                <w:sz w:val="14"/>
                <w:szCs w:val="14"/>
              </w:rPr>
            </w:pPr>
            <w:r>
              <w:rPr>
                <w:rFonts w:asciiTheme="majorHAnsi" w:hAnsiTheme="majorHAnsi" w:cstheme="majorHAnsi"/>
                <w:sz w:val="14"/>
                <w:szCs w:val="14"/>
              </w:rPr>
              <w:t>CQMP</w:t>
            </w:r>
          </w:p>
          <w:p w14:paraId="49DDF112" w14:textId="310549A8" w:rsidR="0040297C" w:rsidRPr="00D340C6" w:rsidRDefault="0040297C" w:rsidP="00A541B8">
            <w:pPr>
              <w:pStyle w:val="SymalTableBody"/>
              <w:spacing w:before="20" w:after="20"/>
              <w:jc w:val="center"/>
              <w:rPr>
                <w:sz w:val="16"/>
                <w:szCs w:val="16"/>
              </w:rPr>
            </w:pPr>
            <w:r w:rsidRPr="00A96932">
              <w:rPr>
                <w:rFonts w:asciiTheme="majorHAnsi" w:hAnsiTheme="majorHAnsi" w:cstheme="majorHAnsi"/>
                <w:sz w:val="14"/>
                <w:szCs w:val="14"/>
              </w:rPr>
              <w:lastRenderedPageBreak/>
              <w:t>Lot Records</w:t>
            </w:r>
          </w:p>
        </w:tc>
        <w:tc>
          <w:tcPr>
            <w:tcW w:w="4221" w:type="dxa"/>
            <w:shd w:val="clear" w:color="auto" w:fill="auto"/>
            <w:vAlign w:val="center"/>
          </w:tcPr>
          <w:p w14:paraId="62760B97" w14:textId="32E79084" w:rsidR="0040297C" w:rsidRPr="00D340C6" w:rsidRDefault="0040297C" w:rsidP="00A541B8">
            <w:pPr>
              <w:pStyle w:val="SymalTableBody"/>
              <w:spacing w:before="20" w:after="20"/>
              <w:rPr>
                <w:sz w:val="16"/>
                <w:szCs w:val="16"/>
              </w:rPr>
            </w:pPr>
            <w:r>
              <w:rPr>
                <w:rFonts w:asciiTheme="majorHAnsi" w:hAnsiTheme="majorHAnsi" w:cstheme="majorHAnsi"/>
                <w:sz w:val="14"/>
                <w:szCs w:val="14"/>
              </w:rPr>
              <w:lastRenderedPageBreak/>
              <w:t>All above criteria met, and records identified attached.</w:t>
            </w:r>
          </w:p>
        </w:tc>
        <w:tc>
          <w:tcPr>
            <w:tcW w:w="992" w:type="dxa"/>
            <w:shd w:val="clear" w:color="auto" w:fill="auto"/>
            <w:vAlign w:val="center"/>
          </w:tcPr>
          <w:p w14:paraId="65A787B4" w14:textId="789FF3AA" w:rsidR="0040297C" w:rsidRPr="00D340C6" w:rsidRDefault="0040297C" w:rsidP="00A541B8">
            <w:pPr>
              <w:pStyle w:val="SymalTableBody"/>
              <w:spacing w:before="20" w:after="20"/>
              <w:jc w:val="center"/>
              <w:rPr>
                <w:sz w:val="16"/>
                <w:szCs w:val="16"/>
              </w:rPr>
            </w:pPr>
            <w:r w:rsidRPr="00C07290">
              <w:rPr>
                <w:sz w:val="14"/>
                <w:szCs w:val="14"/>
              </w:rPr>
              <w:t>Each</w:t>
            </w:r>
            <w:r>
              <w:rPr>
                <w:sz w:val="14"/>
                <w:szCs w:val="14"/>
              </w:rPr>
              <w:t xml:space="preserve"> lot</w:t>
            </w:r>
            <w:r w:rsidRPr="00C07290">
              <w:rPr>
                <w:sz w:val="14"/>
                <w:szCs w:val="14"/>
              </w:rPr>
              <w:t xml:space="preserve"> </w:t>
            </w:r>
          </w:p>
        </w:tc>
        <w:tc>
          <w:tcPr>
            <w:tcW w:w="850" w:type="dxa"/>
            <w:shd w:val="clear" w:color="auto" w:fill="auto"/>
            <w:vAlign w:val="center"/>
          </w:tcPr>
          <w:p w14:paraId="670DFB26" w14:textId="4CA666EF" w:rsidR="0040297C" w:rsidRPr="00D340C6" w:rsidRDefault="0040297C" w:rsidP="00A541B8">
            <w:pPr>
              <w:pStyle w:val="SymalTableBody"/>
              <w:spacing w:before="20" w:after="20"/>
              <w:jc w:val="center"/>
              <w:rPr>
                <w:sz w:val="16"/>
                <w:szCs w:val="16"/>
              </w:rPr>
            </w:pPr>
            <w:r w:rsidRPr="00C07290">
              <w:rPr>
                <w:sz w:val="14"/>
                <w:szCs w:val="14"/>
              </w:rPr>
              <w:t>R</w:t>
            </w:r>
          </w:p>
        </w:tc>
        <w:tc>
          <w:tcPr>
            <w:tcW w:w="851" w:type="dxa"/>
            <w:shd w:val="clear" w:color="auto" w:fill="auto"/>
            <w:vAlign w:val="center"/>
          </w:tcPr>
          <w:p w14:paraId="1E68DD30" w14:textId="43419B9A" w:rsidR="0040297C" w:rsidRPr="00D340C6" w:rsidRDefault="0040297C" w:rsidP="00A541B8">
            <w:pPr>
              <w:pStyle w:val="SymalTableBody"/>
              <w:spacing w:before="20" w:after="20"/>
              <w:jc w:val="center"/>
              <w:rPr>
                <w:sz w:val="16"/>
                <w:szCs w:val="16"/>
              </w:rPr>
            </w:pPr>
            <w:r w:rsidRPr="00C07290">
              <w:rPr>
                <w:sz w:val="14"/>
                <w:szCs w:val="14"/>
              </w:rPr>
              <w:t>SE</w:t>
            </w:r>
          </w:p>
        </w:tc>
        <w:tc>
          <w:tcPr>
            <w:tcW w:w="850" w:type="dxa"/>
            <w:shd w:val="clear" w:color="auto" w:fill="auto"/>
            <w:vAlign w:val="center"/>
          </w:tcPr>
          <w:p w14:paraId="37FA41FF" w14:textId="77777777" w:rsidR="0040297C" w:rsidRPr="00741190" w:rsidRDefault="0040297C" w:rsidP="00A541B8">
            <w:pPr>
              <w:pStyle w:val="SymalTableBody"/>
              <w:spacing w:before="20" w:after="20"/>
              <w:jc w:val="center"/>
              <w:rPr>
                <w:b/>
                <w:bCs/>
                <w:szCs w:val="18"/>
              </w:rPr>
            </w:pPr>
          </w:p>
        </w:tc>
        <w:tc>
          <w:tcPr>
            <w:tcW w:w="851" w:type="dxa"/>
            <w:shd w:val="clear" w:color="auto" w:fill="auto"/>
            <w:vAlign w:val="center"/>
          </w:tcPr>
          <w:p w14:paraId="16C29906" w14:textId="77777777" w:rsidR="0040297C" w:rsidRPr="00741190" w:rsidRDefault="0040297C" w:rsidP="00A541B8">
            <w:pPr>
              <w:pStyle w:val="SymalTableBody"/>
              <w:spacing w:before="20" w:after="20"/>
              <w:jc w:val="center"/>
              <w:rPr>
                <w:b/>
                <w:bCs/>
                <w:szCs w:val="18"/>
              </w:rPr>
            </w:pPr>
          </w:p>
        </w:tc>
        <w:tc>
          <w:tcPr>
            <w:tcW w:w="850" w:type="dxa"/>
            <w:shd w:val="clear" w:color="auto" w:fill="auto"/>
            <w:vAlign w:val="center"/>
          </w:tcPr>
          <w:p w14:paraId="4275364C" w14:textId="77777777" w:rsidR="0040297C" w:rsidRPr="00741190" w:rsidRDefault="0040297C" w:rsidP="00A541B8">
            <w:pPr>
              <w:pStyle w:val="SymalTableBody"/>
              <w:spacing w:before="20" w:after="20"/>
              <w:jc w:val="center"/>
              <w:rPr>
                <w:b/>
                <w:bCs/>
                <w:szCs w:val="18"/>
              </w:rPr>
            </w:pPr>
          </w:p>
        </w:tc>
        <w:tc>
          <w:tcPr>
            <w:tcW w:w="2268" w:type="dxa"/>
            <w:shd w:val="clear" w:color="auto" w:fill="auto"/>
          </w:tcPr>
          <w:p w14:paraId="46FB4181" w14:textId="77777777" w:rsidR="0040297C" w:rsidRDefault="0040297C" w:rsidP="00A541B8">
            <w:pPr>
              <w:pStyle w:val="SymalTableBody"/>
              <w:spacing w:before="20" w:after="20"/>
              <w:rPr>
                <w:rFonts w:asciiTheme="majorHAnsi" w:hAnsiTheme="majorHAnsi" w:cstheme="majorHAnsi"/>
                <w:sz w:val="14"/>
                <w:szCs w:val="14"/>
              </w:rPr>
            </w:pPr>
          </w:p>
          <w:p w14:paraId="25B0E784" w14:textId="6D31961A" w:rsidR="0040297C" w:rsidRPr="00741190" w:rsidRDefault="0040297C" w:rsidP="00006AD5">
            <w:pPr>
              <w:pStyle w:val="SymalTableBody"/>
              <w:spacing w:before="20" w:after="20"/>
              <w:rPr>
                <w:b/>
                <w:bCs/>
                <w:szCs w:val="18"/>
              </w:rPr>
            </w:pPr>
            <w:r w:rsidRPr="00A96932">
              <w:rPr>
                <w:rFonts w:asciiTheme="majorHAnsi" w:hAnsiTheme="majorHAnsi" w:cstheme="majorHAnsi"/>
                <w:sz w:val="14"/>
                <w:szCs w:val="14"/>
              </w:rPr>
              <w:lastRenderedPageBreak/>
              <w:t>Completed Checklist (if applicable) and reports and other compliance records attached.</w:t>
            </w:r>
          </w:p>
        </w:tc>
      </w:tr>
    </w:tbl>
    <w:p w14:paraId="0229E511"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2BB0FED1" w14:textId="77777777" w:rsidTr="3D07787B">
        <w:tc>
          <w:tcPr>
            <w:tcW w:w="2547" w:type="dxa"/>
            <w:gridSpan w:val="2"/>
            <w:tcBorders>
              <w:top w:val="nil"/>
              <w:left w:val="nil"/>
              <w:bottom w:val="nil"/>
              <w:right w:val="nil"/>
            </w:tcBorders>
            <w:tcMar>
              <w:left w:w="0" w:type="dxa"/>
              <w:right w:w="0" w:type="dxa"/>
            </w:tcMar>
            <w:vAlign w:val="bottom"/>
          </w:tcPr>
          <w:p w14:paraId="1C45742D" w14:textId="54C69A70" w:rsidR="005056E3" w:rsidRPr="005056E3" w:rsidRDefault="005056E3" w:rsidP="005056E3">
            <w:pPr>
              <w:pStyle w:val="SymalBodycopylvl1"/>
              <w:spacing w:before="120" w:after="0"/>
              <w:rPr>
                <w:b/>
                <w:bCs/>
                <w:sz w:val="18"/>
                <w:szCs w:val="18"/>
              </w:rPr>
            </w:pPr>
            <w:r w:rsidRPr="3D07787B">
              <w:rPr>
                <w:b/>
                <w:bCs/>
                <w:sz w:val="18"/>
                <w:szCs w:val="18"/>
              </w:rPr>
              <w:t>Works complete (signer S</w:t>
            </w:r>
            <w:r w:rsidR="01EDB024" w:rsidRPr="3D07787B">
              <w:rPr>
                <w:b/>
                <w:bCs/>
                <w:sz w:val="18"/>
                <w:szCs w:val="18"/>
              </w:rPr>
              <w:t>E</w:t>
            </w:r>
            <w:r w:rsidRPr="3D07787B">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2F86A244"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B0BD2DC"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6FA518B0" w14:textId="77777777" w:rsidR="005056E3" w:rsidRPr="005056E3" w:rsidRDefault="005056E3" w:rsidP="005056E3">
            <w:pPr>
              <w:pStyle w:val="SymalBodycopylvl1"/>
              <w:spacing w:before="120" w:after="0"/>
              <w:rPr>
                <w:b/>
                <w:bCs/>
                <w:sz w:val="18"/>
                <w:szCs w:val="18"/>
              </w:rPr>
            </w:pPr>
          </w:p>
        </w:tc>
      </w:tr>
      <w:tr w:rsidR="005056E3" w:rsidRPr="005056E3" w14:paraId="4DB8B6C1" w14:textId="77777777" w:rsidTr="3D07787B">
        <w:trPr>
          <w:trHeight w:val="133"/>
        </w:trPr>
        <w:tc>
          <w:tcPr>
            <w:tcW w:w="2263" w:type="dxa"/>
            <w:tcBorders>
              <w:top w:val="nil"/>
              <w:left w:val="nil"/>
              <w:bottom w:val="nil"/>
              <w:right w:val="nil"/>
            </w:tcBorders>
            <w:tcMar>
              <w:left w:w="0" w:type="dxa"/>
              <w:right w:w="0" w:type="dxa"/>
            </w:tcMar>
            <w:vAlign w:val="bottom"/>
          </w:tcPr>
          <w:p w14:paraId="402C5A8A"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009A25F8"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34AF59A9"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460F7592"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5A1E4AD3"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57296EA5"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B86A2A7"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271AE465" w14:textId="77777777" w:rsidR="005056E3" w:rsidRPr="005056E3" w:rsidRDefault="005056E3" w:rsidP="005056E3">
            <w:pPr>
              <w:pStyle w:val="SymalBodycopylvl1"/>
              <w:spacing w:before="120" w:after="0"/>
              <w:rPr>
                <w:b/>
                <w:bCs/>
                <w:sz w:val="18"/>
                <w:szCs w:val="18"/>
              </w:rPr>
            </w:pPr>
          </w:p>
        </w:tc>
      </w:tr>
    </w:tbl>
    <w:p w14:paraId="4247EF91" w14:textId="77777777" w:rsidR="005056E3" w:rsidRDefault="005056E3" w:rsidP="00B27F39">
      <w:pPr>
        <w:pStyle w:val="SymalBodycopylvl1"/>
        <w:spacing w:before="60" w:after="0"/>
      </w:pPr>
    </w:p>
    <w:p w14:paraId="5CBE6544" w14:textId="7F741088"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2C020C">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22AB3A4D" w14:textId="38BF906B" w:rsidR="00EA0774" w:rsidRPr="005056E3" w:rsidRDefault="00031D18" w:rsidP="005056E3">
      <w:pPr>
        <w:spacing w:before="120" w:after="120"/>
        <w:rPr>
          <w:rFonts w:ascii="Arial" w:hAnsi="Arial" w:cs="Arial"/>
          <w:b/>
          <w:sz w:val="18"/>
          <w:szCs w:val="18"/>
        </w:rPr>
      </w:pPr>
      <w:r>
        <w:rPr>
          <w:rFonts w:ascii="Arial" w:hAnsi="Arial" w:cs="Arial"/>
          <w:b/>
          <w:bCs/>
          <w:sz w:val="18"/>
          <w:szCs w:val="18"/>
        </w:rPr>
        <w:t>SI</w:t>
      </w:r>
      <w:r w:rsidR="00EA0774" w:rsidRPr="00EA0774">
        <w:rPr>
          <w:rFonts w:ascii="Arial" w:hAnsi="Arial" w:cs="Arial"/>
          <w:b/>
          <w:bCs/>
          <w:sz w:val="18"/>
          <w:szCs w:val="18"/>
        </w:rPr>
        <w:t xml:space="preserve"> – </w:t>
      </w:r>
      <w:r w:rsidR="007E30AF">
        <w:rPr>
          <w:rFonts w:ascii="Arial" w:hAnsi="Arial" w:cs="Arial"/>
          <w:sz w:val="18"/>
          <w:szCs w:val="18"/>
        </w:rPr>
        <w:t>Superintendent</w:t>
      </w:r>
      <w:r w:rsidR="00EA0774">
        <w:rPr>
          <w:rFonts w:ascii="Arial" w:hAnsi="Arial" w:cs="Arial"/>
          <w:sz w:val="18"/>
          <w:szCs w:val="18"/>
        </w:rPr>
        <w:t xml:space="preserve"> </w:t>
      </w:r>
    </w:p>
    <w:p w14:paraId="63CBBE20" w14:textId="0E30AD00" w:rsidR="00A9655D" w:rsidRDefault="005056E3" w:rsidP="00EB133B">
      <w:pPr>
        <w:spacing w:before="120" w:after="120"/>
        <w:rPr>
          <w:rFonts w:ascii="Arial" w:hAnsi="Arial" w:cs="Arial"/>
          <w:sz w:val="18"/>
          <w:szCs w:val="18"/>
        </w:rPr>
      </w:pPr>
      <w:r w:rsidRPr="005056E3">
        <w:rPr>
          <w:rFonts w:ascii="Arial" w:hAnsi="Arial" w:cs="Arial"/>
          <w:b/>
          <w:sz w:val="18"/>
          <w:szCs w:val="18"/>
        </w:rPr>
        <w:t xml:space="preserve">Inspection </w:t>
      </w:r>
      <w:r w:rsidR="00EA0774" w:rsidRPr="005056E3">
        <w:rPr>
          <w:rFonts w:ascii="Arial" w:hAnsi="Arial" w:cs="Arial"/>
          <w:b/>
          <w:sz w:val="18"/>
          <w:szCs w:val="18"/>
        </w:rPr>
        <w:t>Key:</w:t>
      </w:r>
      <w:r w:rsidRPr="005056E3">
        <w:rPr>
          <w:rFonts w:ascii="Arial" w:hAnsi="Arial" w:cs="Arial"/>
          <w:b/>
          <w:sz w:val="18"/>
          <w:szCs w:val="18"/>
        </w:rPr>
        <w:t xml:space="preserve">  W – </w:t>
      </w:r>
      <w:r w:rsidRPr="005056E3">
        <w:rPr>
          <w:rFonts w:ascii="Arial" w:hAnsi="Arial" w:cs="Arial"/>
          <w:sz w:val="18"/>
          <w:szCs w:val="18"/>
        </w:rPr>
        <w:t xml:space="preserve">Witness, </w:t>
      </w:r>
      <w:r w:rsidRPr="005056E3">
        <w:rPr>
          <w:rFonts w:ascii="Arial" w:hAnsi="Arial" w:cs="Arial"/>
          <w:b/>
          <w:sz w:val="18"/>
          <w:szCs w:val="18"/>
        </w:rPr>
        <w:t xml:space="preserve">H – </w:t>
      </w:r>
      <w:r w:rsidRPr="005056E3">
        <w:rPr>
          <w:rFonts w:ascii="Arial" w:hAnsi="Arial" w:cs="Arial"/>
          <w:sz w:val="18"/>
          <w:szCs w:val="18"/>
        </w:rPr>
        <w:t xml:space="preserve">Hold Point, </w:t>
      </w:r>
      <w:r w:rsidRPr="005056E3">
        <w:rPr>
          <w:rFonts w:ascii="Arial" w:hAnsi="Arial" w:cs="Arial"/>
          <w:b/>
          <w:sz w:val="18"/>
          <w:szCs w:val="18"/>
        </w:rPr>
        <w:t xml:space="preserve">S </w:t>
      </w:r>
      <w:r w:rsidR="00EA0774">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EA0774">
        <w:rPr>
          <w:rFonts w:ascii="Arial" w:hAnsi="Arial" w:cs="Arial"/>
          <w:sz w:val="18"/>
          <w:szCs w:val="18"/>
        </w:rPr>
        <w:t xml:space="preserve">, </w:t>
      </w:r>
      <w:r w:rsidR="00EA0774" w:rsidRPr="00EA0774">
        <w:rPr>
          <w:rFonts w:ascii="Arial" w:hAnsi="Arial" w:cs="Arial"/>
          <w:b/>
          <w:bCs/>
          <w:sz w:val="18"/>
          <w:szCs w:val="18"/>
        </w:rPr>
        <w:t xml:space="preserve">R – </w:t>
      </w:r>
      <w:r w:rsidR="00EA0774">
        <w:rPr>
          <w:rFonts w:ascii="Arial" w:hAnsi="Arial" w:cs="Arial"/>
          <w:sz w:val="18"/>
          <w:szCs w:val="18"/>
        </w:rPr>
        <w:t xml:space="preserve">Review Point, </w:t>
      </w:r>
      <w:r w:rsidR="00EA0774" w:rsidRPr="00EA0774">
        <w:rPr>
          <w:rFonts w:ascii="Arial" w:hAnsi="Arial" w:cs="Arial"/>
          <w:b/>
          <w:bCs/>
          <w:sz w:val="18"/>
          <w:szCs w:val="18"/>
        </w:rPr>
        <w:t xml:space="preserve">I – </w:t>
      </w:r>
      <w:r w:rsidR="00EA0774">
        <w:rPr>
          <w:rFonts w:ascii="Arial" w:hAnsi="Arial" w:cs="Arial"/>
          <w:sz w:val="18"/>
          <w:szCs w:val="18"/>
        </w:rPr>
        <w:t>Inspection Point</w:t>
      </w:r>
      <w:r w:rsidR="002C020C">
        <w:rPr>
          <w:rFonts w:ascii="Arial" w:hAnsi="Arial" w:cs="Arial"/>
          <w:sz w:val="18"/>
          <w:szCs w:val="18"/>
        </w:rPr>
        <w:t>.</w:t>
      </w:r>
    </w:p>
    <w:p w14:paraId="5CFB6BC7" w14:textId="1C6B302F" w:rsidR="00914ED8" w:rsidRDefault="00914ED8" w:rsidP="00EB133B">
      <w:pPr>
        <w:spacing w:before="120" w:after="120"/>
        <w:rPr>
          <w:rFonts w:ascii="Arial" w:hAnsi="Arial" w:cs="Arial"/>
          <w:sz w:val="18"/>
          <w:szCs w:val="18"/>
        </w:rPr>
      </w:pPr>
      <w:r w:rsidRPr="00733716">
        <w:rPr>
          <w:rFonts w:ascii="Arial" w:hAnsi="Arial" w:cs="Arial"/>
          <w:noProof/>
          <w:sz w:val="18"/>
          <w:szCs w:val="18"/>
        </w:rPr>
        <w:drawing>
          <wp:inline distT="0" distB="0" distL="0" distR="0" wp14:anchorId="57244687" wp14:editId="23547592">
            <wp:extent cx="2889739" cy="1136501"/>
            <wp:effectExtent l="0" t="0" r="6350" b="6985"/>
            <wp:docPr id="174032582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5824" name="Picture 1" descr="A table with numbers and text&#10;&#10;Description automatically generated"/>
                    <pic:cNvPicPr/>
                  </pic:nvPicPr>
                  <pic:blipFill>
                    <a:blip r:embed="rId16"/>
                    <a:stretch>
                      <a:fillRect/>
                    </a:stretch>
                  </pic:blipFill>
                  <pic:spPr>
                    <a:xfrm>
                      <a:off x="0" y="0"/>
                      <a:ext cx="2916344" cy="1146964"/>
                    </a:xfrm>
                    <a:prstGeom prst="rect">
                      <a:avLst/>
                    </a:prstGeom>
                  </pic:spPr>
                </pic:pic>
              </a:graphicData>
            </a:graphic>
          </wp:inline>
        </w:drawing>
      </w:r>
    </w:p>
    <w:p w14:paraId="7756ABA6" w14:textId="77777777" w:rsidR="00914ED8" w:rsidRDefault="00914ED8" w:rsidP="00EB133B">
      <w:pPr>
        <w:spacing w:before="120" w:after="120"/>
        <w:rPr>
          <w:rFonts w:ascii="Arial" w:hAnsi="Arial" w:cs="Arial"/>
          <w:sz w:val="18"/>
          <w:szCs w:val="18"/>
        </w:rPr>
      </w:pPr>
    </w:p>
    <w:p w14:paraId="5AB5F840" w14:textId="46470E86" w:rsidR="00914ED8" w:rsidRDefault="00914ED8" w:rsidP="00EB133B">
      <w:pPr>
        <w:spacing w:before="120" w:after="120"/>
        <w:rPr>
          <w:rFonts w:ascii="Arial" w:hAnsi="Arial" w:cs="Arial"/>
          <w:sz w:val="18"/>
          <w:szCs w:val="18"/>
        </w:rPr>
      </w:pPr>
      <w:r w:rsidRPr="00914ED8">
        <w:rPr>
          <w:rFonts w:ascii="Arial" w:hAnsi="Arial" w:cs="Arial"/>
          <w:noProof/>
          <w:sz w:val="18"/>
          <w:szCs w:val="18"/>
        </w:rPr>
        <w:drawing>
          <wp:inline distT="0" distB="0" distL="0" distR="0" wp14:anchorId="2F05093E" wp14:editId="120511B9">
            <wp:extent cx="2532185" cy="896684"/>
            <wp:effectExtent l="0" t="0" r="1905" b="0"/>
            <wp:docPr id="122302567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25670" name="Picture 1" descr="A close-up of a number&#10;&#10;Description automatically generated"/>
                    <pic:cNvPicPr/>
                  </pic:nvPicPr>
                  <pic:blipFill>
                    <a:blip r:embed="rId17"/>
                    <a:stretch>
                      <a:fillRect/>
                    </a:stretch>
                  </pic:blipFill>
                  <pic:spPr>
                    <a:xfrm>
                      <a:off x="0" y="0"/>
                      <a:ext cx="2534721" cy="897582"/>
                    </a:xfrm>
                    <a:prstGeom prst="rect">
                      <a:avLst/>
                    </a:prstGeom>
                  </pic:spPr>
                </pic:pic>
              </a:graphicData>
            </a:graphic>
          </wp:inline>
        </w:drawing>
      </w:r>
    </w:p>
    <w:p w14:paraId="493F72B8" w14:textId="77777777" w:rsidR="00733716" w:rsidRDefault="00733716" w:rsidP="00EB133B">
      <w:pPr>
        <w:spacing w:before="120" w:after="120"/>
        <w:rPr>
          <w:rFonts w:ascii="Arial" w:hAnsi="Arial" w:cs="Arial"/>
          <w:sz w:val="18"/>
          <w:szCs w:val="18"/>
        </w:rPr>
      </w:pPr>
    </w:p>
    <w:p w14:paraId="63EC65CF" w14:textId="763692C7" w:rsidR="00733716" w:rsidRPr="00EB133B" w:rsidRDefault="00733716" w:rsidP="00EB133B">
      <w:pPr>
        <w:spacing w:before="120" w:after="120"/>
        <w:rPr>
          <w:rFonts w:ascii="Arial" w:hAnsi="Arial" w:cs="Arial"/>
          <w:sz w:val="18"/>
          <w:szCs w:val="18"/>
        </w:rPr>
      </w:pPr>
    </w:p>
    <w:sectPr w:rsidR="00733716" w:rsidRPr="00EB133B"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E7F29" w14:textId="77777777" w:rsidR="00491991" w:rsidRDefault="00491991" w:rsidP="007617B0">
      <w:pPr>
        <w:spacing w:after="0"/>
      </w:pPr>
      <w:r>
        <w:separator/>
      </w:r>
    </w:p>
  </w:endnote>
  <w:endnote w:type="continuationSeparator" w:id="0">
    <w:p w14:paraId="5F1CBDB3" w14:textId="77777777" w:rsidR="00491991" w:rsidRDefault="00491991" w:rsidP="007617B0">
      <w:pPr>
        <w:spacing w:after="0"/>
      </w:pPr>
      <w:r>
        <w:continuationSeparator/>
      </w:r>
    </w:p>
  </w:endnote>
  <w:endnote w:type="continuationNotice" w:id="1">
    <w:p w14:paraId="46A01BA5" w14:textId="77777777" w:rsidR="00491991" w:rsidRDefault="004919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5E6ED18F" w14:textId="77777777" w:rsidTr="21E557C4">
      <w:trPr>
        <w:trHeight w:val="285"/>
      </w:trPr>
      <w:tc>
        <w:tcPr>
          <w:tcW w:w="1764" w:type="pct"/>
          <w:tcMar>
            <w:left w:w="0" w:type="dxa"/>
            <w:right w:w="0" w:type="dxa"/>
          </w:tcMar>
        </w:tcPr>
        <w:p w14:paraId="4C4BDD9A"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158148B2" w14:textId="5AF19DFB" w:rsidR="00D340C6" w:rsidRPr="00AD0710" w:rsidRDefault="21E557C4" w:rsidP="00453327">
          <w:pPr>
            <w:pStyle w:val="Footer"/>
            <w:tabs>
              <w:tab w:val="clear" w:pos="9000"/>
            </w:tabs>
            <w:spacing w:before="0"/>
            <w:jc w:val="center"/>
          </w:pPr>
          <w:r>
            <w:t xml:space="preserve">Revision </w:t>
          </w:r>
          <w:r w:rsidR="00584594">
            <w:t>01</w:t>
          </w:r>
          <w:r>
            <w:t xml:space="preserve"> Issue date </w:t>
          </w:r>
          <w:r w:rsidR="00584594">
            <w:t>15</w:t>
          </w:r>
          <w:r>
            <w:t>/</w:t>
          </w:r>
          <w:r w:rsidR="00584594">
            <w:t>11</w:t>
          </w:r>
          <w:r>
            <w:t>/2023</w:t>
          </w:r>
        </w:p>
      </w:tc>
      <w:tc>
        <w:tcPr>
          <w:tcW w:w="1667" w:type="pct"/>
          <w:tcMar>
            <w:left w:w="0" w:type="dxa"/>
            <w:right w:w="0" w:type="dxa"/>
          </w:tcMar>
        </w:tcPr>
        <w:p w14:paraId="1BCE8FC9"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5C6A35FC"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C469"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6C519311" w14:textId="77777777" w:rsidTr="0095774A">
      <w:trPr>
        <w:trHeight w:val="285"/>
      </w:trPr>
      <w:tc>
        <w:tcPr>
          <w:tcW w:w="1764" w:type="pct"/>
          <w:tcMar>
            <w:left w:w="0" w:type="dxa"/>
            <w:right w:w="0" w:type="dxa"/>
          </w:tcMar>
        </w:tcPr>
        <w:p w14:paraId="16A0A2A6"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2B8C7E1E" w14:textId="27A3DA3D" w:rsidR="00D340C6" w:rsidRPr="00AD0710" w:rsidRDefault="00031D18" w:rsidP="00FB2D51">
          <w:pPr>
            <w:pStyle w:val="Footer"/>
            <w:tabs>
              <w:tab w:val="clear" w:pos="9000"/>
            </w:tabs>
            <w:spacing w:before="0"/>
            <w:jc w:val="center"/>
            <w:rPr>
              <w:szCs w:val="16"/>
            </w:rPr>
          </w:pPr>
          <w:r>
            <w:rPr>
              <w:szCs w:val="16"/>
            </w:rPr>
            <w:t>Revision</w:t>
          </w:r>
          <w:r w:rsidRPr="00AD0710">
            <w:rPr>
              <w:szCs w:val="16"/>
            </w:rPr>
            <w:t xml:space="preserve"> </w:t>
          </w:r>
          <w:r w:rsidR="00BC767A">
            <w:rPr>
              <w:szCs w:val="16"/>
            </w:rPr>
            <w:t>0</w:t>
          </w:r>
          <w:r w:rsidR="00584594">
            <w:rPr>
              <w:szCs w:val="16"/>
            </w:rPr>
            <w:t>1</w:t>
          </w:r>
          <w:r w:rsidRPr="00AD0710">
            <w:rPr>
              <w:szCs w:val="16"/>
            </w:rPr>
            <w:t xml:space="preserve"> Issue date </w:t>
          </w:r>
          <w:r w:rsidR="00904571">
            <w:rPr>
              <w:szCs w:val="16"/>
            </w:rPr>
            <w:t>1</w:t>
          </w:r>
          <w:r w:rsidR="00584594">
            <w:rPr>
              <w:szCs w:val="16"/>
            </w:rPr>
            <w:t>5</w:t>
          </w:r>
          <w:r w:rsidR="00FB2D51">
            <w:rPr>
              <w:szCs w:val="16"/>
            </w:rPr>
            <w:t>/</w:t>
          </w:r>
          <w:r w:rsidR="00584594">
            <w:rPr>
              <w:szCs w:val="16"/>
            </w:rPr>
            <w:t>11</w:t>
          </w:r>
          <w:r w:rsidRPr="00AD0710">
            <w:rPr>
              <w:szCs w:val="16"/>
            </w:rPr>
            <w:t>/202</w:t>
          </w:r>
          <w:r w:rsidR="00FB2D51">
            <w:rPr>
              <w:szCs w:val="16"/>
            </w:rPr>
            <w:t>3</w:t>
          </w:r>
        </w:p>
      </w:tc>
      <w:tc>
        <w:tcPr>
          <w:tcW w:w="1667" w:type="pct"/>
          <w:tcMar>
            <w:left w:w="0" w:type="dxa"/>
            <w:right w:w="0" w:type="dxa"/>
          </w:tcMar>
        </w:tcPr>
        <w:p w14:paraId="47CF0723"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1083ECB6"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C9E00" w14:textId="77777777" w:rsidR="00491991" w:rsidRDefault="00491991" w:rsidP="007617B0">
      <w:pPr>
        <w:spacing w:after="0"/>
      </w:pPr>
      <w:r>
        <w:separator/>
      </w:r>
    </w:p>
  </w:footnote>
  <w:footnote w:type="continuationSeparator" w:id="0">
    <w:p w14:paraId="52CF6A22" w14:textId="77777777" w:rsidR="00491991" w:rsidRDefault="00491991" w:rsidP="007617B0">
      <w:pPr>
        <w:spacing w:after="0"/>
      </w:pPr>
      <w:r>
        <w:continuationSeparator/>
      </w:r>
    </w:p>
  </w:footnote>
  <w:footnote w:type="continuationNotice" w:id="1">
    <w:p w14:paraId="58C654C5" w14:textId="77777777" w:rsidR="00491991" w:rsidRDefault="004919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4EEC57E3" w14:textId="77777777" w:rsidR="00E00F9E" w:rsidRDefault="0012160E" w:rsidP="00D340C6">
        <w:pPr>
          <w:pStyle w:val="Header"/>
          <w:spacing w:before="0" w:after="120"/>
          <w:jc w:val="right"/>
        </w:pPr>
        <w:r>
          <w:rPr>
            <w:noProof/>
          </w:rPr>
          <w:drawing>
            <wp:inline distT="0" distB="0" distL="0" distR="0" wp14:anchorId="1ADCB63B" wp14:editId="2047C875">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BFBB" w14:textId="77777777" w:rsidR="00012FBA" w:rsidRPr="00830B96" w:rsidRDefault="00012FBA" w:rsidP="00C1751B">
    <w:pPr>
      <w:pStyle w:val="SymalBodycopylvl1"/>
      <w:spacing w:before="360" w:after="0"/>
      <w:jc w:val="right"/>
    </w:pPr>
    <w:r>
      <w:rPr>
        <w:noProof/>
      </w:rPr>
      <w:drawing>
        <wp:inline distT="0" distB="0" distL="0" distR="0" wp14:anchorId="7CE1EDDE" wp14:editId="026F54CA">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4CC116D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713"/>
    <w:multiLevelType w:val="hybridMultilevel"/>
    <w:tmpl w:val="0A5CA5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3" w15:restartNumberingAfterBreak="0">
    <w:nsid w:val="19CC5BFC"/>
    <w:multiLevelType w:val="hybridMultilevel"/>
    <w:tmpl w:val="A8925672"/>
    <w:lvl w:ilvl="0" w:tplc="09FED3CA">
      <w:start w:val="610"/>
      <w:numFmt w:val="bullet"/>
      <w:lvlText w:val="-"/>
      <w:lvlJc w:val="left"/>
      <w:pPr>
        <w:ind w:left="360" w:hanging="360"/>
      </w:pPr>
      <w:rPr>
        <w:rFonts w:ascii="Arial" w:eastAsia="Times New Roman"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5"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D114D61"/>
    <w:multiLevelType w:val="hybridMultilevel"/>
    <w:tmpl w:val="B388D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9"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1" w15:restartNumberingAfterBreak="0">
    <w:nsid w:val="2DBF3D93"/>
    <w:multiLevelType w:val="hybridMultilevel"/>
    <w:tmpl w:val="C0F4DB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3" w15:restartNumberingAfterBreak="0">
    <w:nsid w:val="495E6204"/>
    <w:multiLevelType w:val="hybridMultilevel"/>
    <w:tmpl w:val="F16C8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5" w15:restartNumberingAfterBreak="0">
    <w:nsid w:val="58B72305"/>
    <w:multiLevelType w:val="hybridMultilevel"/>
    <w:tmpl w:val="139A702E"/>
    <w:lvl w:ilvl="0" w:tplc="E3802544">
      <w:start w:val="1"/>
      <w:numFmt w:val="lowerLetter"/>
      <w:lvlText w:val="(%1)"/>
      <w:lvlJc w:val="left"/>
      <w:pPr>
        <w:ind w:left="720" w:hanging="360"/>
      </w:pPr>
      <w:rPr>
        <w:b w:val="0"/>
        <w:strike w:val="0"/>
        <w:dstrike w:val="0"/>
        <w:u w:val="none"/>
        <w:effect w:val="none"/>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1"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2" w15:restartNumberingAfterBreak="0">
    <w:nsid w:val="7EE3122B"/>
    <w:multiLevelType w:val="multilevel"/>
    <w:tmpl w:val="38B6FA6E"/>
    <w:numStyleLink w:val="CivLegal"/>
  </w:abstractNum>
  <w:abstractNum w:abstractNumId="23" w15:restartNumberingAfterBreak="0">
    <w:nsid w:val="7EF26BDF"/>
    <w:multiLevelType w:val="hybridMultilevel"/>
    <w:tmpl w:val="543CE700"/>
    <w:lvl w:ilvl="0" w:tplc="E58AA52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2425930">
    <w:abstractNumId w:val="16"/>
  </w:num>
  <w:num w:numId="2" w16cid:durableId="2122873767">
    <w:abstractNumId w:val="12"/>
  </w:num>
  <w:num w:numId="3" w16cid:durableId="1329208707">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521699839">
    <w:abstractNumId w:val="4"/>
  </w:num>
  <w:num w:numId="5" w16cid:durableId="194124944">
    <w:abstractNumId w:val="17"/>
  </w:num>
  <w:num w:numId="6" w16cid:durableId="537856692">
    <w:abstractNumId w:val="5"/>
  </w:num>
  <w:num w:numId="7" w16cid:durableId="1230505032">
    <w:abstractNumId w:val="7"/>
  </w:num>
  <w:num w:numId="8" w16cid:durableId="746074373">
    <w:abstractNumId w:val="2"/>
  </w:num>
  <w:num w:numId="9" w16cid:durableId="2083680214">
    <w:abstractNumId w:val="8"/>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20908047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16035747">
    <w:abstractNumId w:val="14"/>
  </w:num>
  <w:num w:numId="12" w16cid:durableId="13932351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728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579948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72403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160250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11554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53145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302840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86791590">
    <w:abstractNumId w:val="1"/>
  </w:num>
  <w:num w:numId="21" w16cid:durableId="1645769466">
    <w:abstractNumId w:val="10"/>
  </w:num>
  <w:num w:numId="22" w16cid:durableId="1643389734">
    <w:abstractNumId w:val="2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90993591">
    <w:abstractNumId w:val="19"/>
  </w:num>
  <w:num w:numId="24" w16cid:durableId="16780577">
    <w:abstractNumId w:val="22"/>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9671219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9475711">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553274939">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1611353870">
    <w:abstractNumId w:val="18"/>
  </w:num>
  <w:num w:numId="29" w16cid:durableId="802651395">
    <w:abstractNumId w:val="9"/>
  </w:num>
  <w:num w:numId="30" w16cid:durableId="157039739">
    <w:abstractNumId w:val="8"/>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355572814">
    <w:abstractNumId w:val="21"/>
  </w:num>
  <w:num w:numId="32" w16cid:durableId="13670949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0422785">
    <w:abstractNumId w:val="11"/>
  </w:num>
  <w:num w:numId="34" w16cid:durableId="1840847490">
    <w:abstractNumId w:val="15"/>
  </w:num>
  <w:num w:numId="35" w16cid:durableId="1341195888">
    <w:abstractNumId w:val="23"/>
  </w:num>
  <w:num w:numId="36" w16cid:durableId="733314807">
    <w:abstractNumId w:val="3"/>
  </w:num>
  <w:num w:numId="37" w16cid:durableId="823207250">
    <w:abstractNumId w:val="6"/>
  </w:num>
  <w:num w:numId="38" w16cid:durableId="1835339023">
    <w:abstractNumId w:val="13"/>
  </w:num>
  <w:num w:numId="39" w16cid:durableId="138233155">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ytjQ3MzA1N7M0MzJV0lEKTi0uzszPAykwqwUAYukGbCwAAAA="/>
  </w:docVars>
  <w:rsids>
    <w:rsidRoot w:val="00EA0774"/>
    <w:rsid w:val="00006AD5"/>
    <w:rsid w:val="00012FBA"/>
    <w:rsid w:val="00013E57"/>
    <w:rsid w:val="000158DC"/>
    <w:rsid w:val="00015DA0"/>
    <w:rsid w:val="00021F49"/>
    <w:rsid w:val="00030E46"/>
    <w:rsid w:val="00031D18"/>
    <w:rsid w:val="0003431C"/>
    <w:rsid w:val="00035C95"/>
    <w:rsid w:val="00042A87"/>
    <w:rsid w:val="0004421D"/>
    <w:rsid w:val="00046F51"/>
    <w:rsid w:val="000628FA"/>
    <w:rsid w:val="000700F2"/>
    <w:rsid w:val="000759B7"/>
    <w:rsid w:val="000802C9"/>
    <w:rsid w:val="00080579"/>
    <w:rsid w:val="000820F9"/>
    <w:rsid w:val="00086B45"/>
    <w:rsid w:val="00091863"/>
    <w:rsid w:val="000918CF"/>
    <w:rsid w:val="00093207"/>
    <w:rsid w:val="0009346D"/>
    <w:rsid w:val="0009555B"/>
    <w:rsid w:val="0009630B"/>
    <w:rsid w:val="000A7F02"/>
    <w:rsid w:val="000B695B"/>
    <w:rsid w:val="000B6999"/>
    <w:rsid w:val="000C28DA"/>
    <w:rsid w:val="000C5C94"/>
    <w:rsid w:val="000D0E97"/>
    <w:rsid w:val="000D77FD"/>
    <w:rsid w:val="000F0D88"/>
    <w:rsid w:val="000F6E06"/>
    <w:rsid w:val="000F7544"/>
    <w:rsid w:val="000F7C10"/>
    <w:rsid w:val="00112853"/>
    <w:rsid w:val="001153A9"/>
    <w:rsid w:val="0012160E"/>
    <w:rsid w:val="00123A2C"/>
    <w:rsid w:val="001329E3"/>
    <w:rsid w:val="001334E4"/>
    <w:rsid w:val="0013432E"/>
    <w:rsid w:val="00136359"/>
    <w:rsid w:val="00145C21"/>
    <w:rsid w:val="00150155"/>
    <w:rsid w:val="00150E01"/>
    <w:rsid w:val="00152695"/>
    <w:rsid w:val="00152A1E"/>
    <w:rsid w:val="001539DD"/>
    <w:rsid w:val="00154520"/>
    <w:rsid w:val="001643B4"/>
    <w:rsid w:val="00164930"/>
    <w:rsid w:val="00164D07"/>
    <w:rsid w:val="0017068C"/>
    <w:rsid w:val="00172EB3"/>
    <w:rsid w:val="00176D42"/>
    <w:rsid w:val="001803AB"/>
    <w:rsid w:val="001811DA"/>
    <w:rsid w:val="0018362E"/>
    <w:rsid w:val="00191711"/>
    <w:rsid w:val="00195C7E"/>
    <w:rsid w:val="00197DA9"/>
    <w:rsid w:val="001A7888"/>
    <w:rsid w:val="001B06FE"/>
    <w:rsid w:val="001B088F"/>
    <w:rsid w:val="001B4060"/>
    <w:rsid w:val="001C2875"/>
    <w:rsid w:val="001D2696"/>
    <w:rsid w:val="001D6AD5"/>
    <w:rsid w:val="001E02D6"/>
    <w:rsid w:val="001E1FBF"/>
    <w:rsid w:val="001E260A"/>
    <w:rsid w:val="001E5EB5"/>
    <w:rsid w:val="001F3ABC"/>
    <w:rsid w:val="001F3C27"/>
    <w:rsid w:val="001F4330"/>
    <w:rsid w:val="001F5EAE"/>
    <w:rsid w:val="001F64B0"/>
    <w:rsid w:val="0020352B"/>
    <w:rsid w:val="002129DE"/>
    <w:rsid w:val="00213887"/>
    <w:rsid w:val="002144FE"/>
    <w:rsid w:val="0022227C"/>
    <w:rsid w:val="00227C46"/>
    <w:rsid w:val="00227E3C"/>
    <w:rsid w:val="002316C5"/>
    <w:rsid w:val="0023248D"/>
    <w:rsid w:val="0024535F"/>
    <w:rsid w:val="0024627B"/>
    <w:rsid w:val="00247D34"/>
    <w:rsid w:val="00252821"/>
    <w:rsid w:val="00254B48"/>
    <w:rsid w:val="0025506A"/>
    <w:rsid w:val="002608E7"/>
    <w:rsid w:val="00264F3C"/>
    <w:rsid w:val="00266BB0"/>
    <w:rsid w:val="00276E10"/>
    <w:rsid w:val="00280FAE"/>
    <w:rsid w:val="00281140"/>
    <w:rsid w:val="00282680"/>
    <w:rsid w:val="0028562B"/>
    <w:rsid w:val="00290DBD"/>
    <w:rsid w:val="00293374"/>
    <w:rsid w:val="002A0451"/>
    <w:rsid w:val="002A0FB9"/>
    <w:rsid w:val="002A4E2D"/>
    <w:rsid w:val="002A6B5B"/>
    <w:rsid w:val="002B33D2"/>
    <w:rsid w:val="002B6E42"/>
    <w:rsid w:val="002B7C52"/>
    <w:rsid w:val="002C020C"/>
    <w:rsid w:val="002C40D8"/>
    <w:rsid w:val="002D08B8"/>
    <w:rsid w:val="002D5672"/>
    <w:rsid w:val="002E08A0"/>
    <w:rsid w:val="002E1EBA"/>
    <w:rsid w:val="002E46E4"/>
    <w:rsid w:val="002F0AAD"/>
    <w:rsid w:val="002F7E9F"/>
    <w:rsid w:val="00301828"/>
    <w:rsid w:val="00305A59"/>
    <w:rsid w:val="003141E2"/>
    <w:rsid w:val="0031420F"/>
    <w:rsid w:val="0031579F"/>
    <w:rsid w:val="00315EAA"/>
    <w:rsid w:val="00337228"/>
    <w:rsid w:val="0033732E"/>
    <w:rsid w:val="00342397"/>
    <w:rsid w:val="00345D7B"/>
    <w:rsid w:val="00346FF0"/>
    <w:rsid w:val="00351D72"/>
    <w:rsid w:val="00373B05"/>
    <w:rsid w:val="00375737"/>
    <w:rsid w:val="00375AEB"/>
    <w:rsid w:val="003830B3"/>
    <w:rsid w:val="0038319D"/>
    <w:rsid w:val="003868C5"/>
    <w:rsid w:val="00386D74"/>
    <w:rsid w:val="0039441E"/>
    <w:rsid w:val="00395F0F"/>
    <w:rsid w:val="003971F4"/>
    <w:rsid w:val="003A1A4C"/>
    <w:rsid w:val="003A2DF5"/>
    <w:rsid w:val="003B1DA5"/>
    <w:rsid w:val="003B361E"/>
    <w:rsid w:val="003B3B14"/>
    <w:rsid w:val="003B57A1"/>
    <w:rsid w:val="003C1E57"/>
    <w:rsid w:val="003C2BA2"/>
    <w:rsid w:val="003D6B95"/>
    <w:rsid w:val="003D7204"/>
    <w:rsid w:val="003E111A"/>
    <w:rsid w:val="003E2E17"/>
    <w:rsid w:val="003E4005"/>
    <w:rsid w:val="003E791A"/>
    <w:rsid w:val="003F1AC6"/>
    <w:rsid w:val="003F22E3"/>
    <w:rsid w:val="003F396E"/>
    <w:rsid w:val="0040297C"/>
    <w:rsid w:val="004110DC"/>
    <w:rsid w:val="004121D0"/>
    <w:rsid w:val="00414B29"/>
    <w:rsid w:val="00422652"/>
    <w:rsid w:val="00426CA1"/>
    <w:rsid w:val="004310D2"/>
    <w:rsid w:val="00434660"/>
    <w:rsid w:val="004379F9"/>
    <w:rsid w:val="0044465E"/>
    <w:rsid w:val="004446C0"/>
    <w:rsid w:val="00453327"/>
    <w:rsid w:val="00456C84"/>
    <w:rsid w:val="004601B7"/>
    <w:rsid w:val="00460ED2"/>
    <w:rsid w:val="004632F3"/>
    <w:rsid w:val="00463BE4"/>
    <w:rsid w:val="00463EF2"/>
    <w:rsid w:val="00465924"/>
    <w:rsid w:val="00465C9A"/>
    <w:rsid w:val="004661B2"/>
    <w:rsid w:val="00474A5B"/>
    <w:rsid w:val="00475BB5"/>
    <w:rsid w:val="004769B2"/>
    <w:rsid w:val="0047722B"/>
    <w:rsid w:val="00481DBA"/>
    <w:rsid w:val="00482E78"/>
    <w:rsid w:val="00484408"/>
    <w:rsid w:val="00484490"/>
    <w:rsid w:val="0048718F"/>
    <w:rsid w:val="004908DD"/>
    <w:rsid w:val="00491991"/>
    <w:rsid w:val="00492A2D"/>
    <w:rsid w:val="00493F30"/>
    <w:rsid w:val="004A01BE"/>
    <w:rsid w:val="004A0E5D"/>
    <w:rsid w:val="004A2B42"/>
    <w:rsid w:val="004A405A"/>
    <w:rsid w:val="004A4EDE"/>
    <w:rsid w:val="004A5144"/>
    <w:rsid w:val="004A7E34"/>
    <w:rsid w:val="004B6C8C"/>
    <w:rsid w:val="004B7DF8"/>
    <w:rsid w:val="004C0D19"/>
    <w:rsid w:val="004C10ED"/>
    <w:rsid w:val="004D1370"/>
    <w:rsid w:val="004D1AFB"/>
    <w:rsid w:val="004D39F9"/>
    <w:rsid w:val="004E1444"/>
    <w:rsid w:val="004E23FF"/>
    <w:rsid w:val="004F0428"/>
    <w:rsid w:val="004F42C4"/>
    <w:rsid w:val="004F4C75"/>
    <w:rsid w:val="004F7DCE"/>
    <w:rsid w:val="005009B9"/>
    <w:rsid w:val="0050180D"/>
    <w:rsid w:val="0050215F"/>
    <w:rsid w:val="00502856"/>
    <w:rsid w:val="005056E3"/>
    <w:rsid w:val="00505D2E"/>
    <w:rsid w:val="0052741B"/>
    <w:rsid w:val="00527AFB"/>
    <w:rsid w:val="00527F70"/>
    <w:rsid w:val="00534122"/>
    <w:rsid w:val="005371C9"/>
    <w:rsid w:val="00537E2F"/>
    <w:rsid w:val="00537E86"/>
    <w:rsid w:val="00541D39"/>
    <w:rsid w:val="005448B5"/>
    <w:rsid w:val="00544906"/>
    <w:rsid w:val="005462B0"/>
    <w:rsid w:val="00552FA3"/>
    <w:rsid w:val="00556EE1"/>
    <w:rsid w:val="00562EFE"/>
    <w:rsid w:val="00567B07"/>
    <w:rsid w:val="0057088F"/>
    <w:rsid w:val="005731EC"/>
    <w:rsid w:val="0057414C"/>
    <w:rsid w:val="00581148"/>
    <w:rsid w:val="0058363C"/>
    <w:rsid w:val="00584594"/>
    <w:rsid w:val="00587F35"/>
    <w:rsid w:val="0059509B"/>
    <w:rsid w:val="005A2DB2"/>
    <w:rsid w:val="005B6F26"/>
    <w:rsid w:val="005B7315"/>
    <w:rsid w:val="005C244C"/>
    <w:rsid w:val="005D294B"/>
    <w:rsid w:val="005D4700"/>
    <w:rsid w:val="005D7F6B"/>
    <w:rsid w:val="005E1C0B"/>
    <w:rsid w:val="005E1E7C"/>
    <w:rsid w:val="005E1EEB"/>
    <w:rsid w:val="005E7C7F"/>
    <w:rsid w:val="005F20A8"/>
    <w:rsid w:val="00600E4F"/>
    <w:rsid w:val="00607B0C"/>
    <w:rsid w:val="00607D46"/>
    <w:rsid w:val="00610C6D"/>
    <w:rsid w:val="00612627"/>
    <w:rsid w:val="00613248"/>
    <w:rsid w:val="006239C8"/>
    <w:rsid w:val="00624ADE"/>
    <w:rsid w:val="006256B0"/>
    <w:rsid w:val="00626F76"/>
    <w:rsid w:val="00635B53"/>
    <w:rsid w:val="00640BAA"/>
    <w:rsid w:val="00641127"/>
    <w:rsid w:val="00644773"/>
    <w:rsid w:val="0065381A"/>
    <w:rsid w:val="00653EE2"/>
    <w:rsid w:val="00657AFA"/>
    <w:rsid w:val="006660B9"/>
    <w:rsid w:val="00670490"/>
    <w:rsid w:val="00671642"/>
    <w:rsid w:val="0068372A"/>
    <w:rsid w:val="00684AC4"/>
    <w:rsid w:val="00697598"/>
    <w:rsid w:val="006A7E1F"/>
    <w:rsid w:val="006B7AF5"/>
    <w:rsid w:val="006B7EE7"/>
    <w:rsid w:val="006C07B0"/>
    <w:rsid w:val="006C1CE9"/>
    <w:rsid w:val="006D11AB"/>
    <w:rsid w:val="006D5AF1"/>
    <w:rsid w:val="006D6B06"/>
    <w:rsid w:val="006E29C0"/>
    <w:rsid w:val="006E50F4"/>
    <w:rsid w:val="006F182C"/>
    <w:rsid w:val="006F6674"/>
    <w:rsid w:val="006F6C26"/>
    <w:rsid w:val="007020DA"/>
    <w:rsid w:val="00702FA5"/>
    <w:rsid w:val="007052CB"/>
    <w:rsid w:val="00706B2D"/>
    <w:rsid w:val="007101DE"/>
    <w:rsid w:val="00713840"/>
    <w:rsid w:val="0071393C"/>
    <w:rsid w:val="0072138D"/>
    <w:rsid w:val="007332CD"/>
    <w:rsid w:val="00733716"/>
    <w:rsid w:val="00741190"/>
    <w:rsid w:val="007502EC"/>
    <w:rsid w:val="007531BF"/>
    <w:rsid w:val="00753AB2"/>
    <w:rsid w:val="00753B1F"/>
    <w:rsid w:val="00754283"/>
    <w:rsid w:val="007617B0"/>
    <w:rsid w:val="00770D7E"/>
    <w:rsid w:val="0077197C"/>
    <w:rsid w:val="00786A51"/>
    <w:rsid w:val="00797266"/>
    <w:rsid w:val="007A267E"/>
    <w:rsid w:val="007A3D8B"/>
    <w:rsid w:val="007A578A"/>
    <w:rsid w:val="007B1964"/>
    <w:rsid w:val="007B51B3"/>
    <w:rsid w:val="007C033B"/>
    <w:rsid w:val="007C1745"/>
    <w:rsid w:val="007C1826"/>
    <w:rsid w:val="007C18AE"/>
    <w:rsid w:val="007C54C4"/>
    <w:rsid w:val="007D11CD"/>
    <w:rsid w:val="007D1801"/>
    <w:rsid w:val="007D2294"/>
    <w:rsid w:val="007E023D"/>
    <w:rsid w:val="007E30AF"/>
    <w:rsid w:val="007F409D"/>
    <w:rsid w:val="007F5D0E"/>
    <w:rsid w:val="007F7B79"/>
    <w:rsid w:val="00800969"/>
    <w:rsid w:val="00801085"/>
    <w:rsid w:val="008042D6"/>
    <w:rsid w:val="00804B35"/>
    <w:rsid w:val="00807516"/>
    <w:rsid w:val="00812D80"/>
    <w:rsid w:val="00815CB5"/>
    <w:rsid w:val="00836163"/>
    <w:rsid w:val="00837123"/>
    <w:rsid w:val="008460EF"/>
    <w:rsid w:val="00846130"/>
    <w:rsid w:val="00846784"/>
    <w:rsid w:val="00846D58"/>
    <w:rsid w:val="00847B71"/>
    <w:rsid w:val="00852A26"/>
    <w:rsid w:val="00854579"/>
    <w:rsid w:val="00857276"/>
    <w:rsid w:val="008658C5"/>
    <w:rsid w:val="0087666C"/>
    <w:rsid w:val="00876F99"/>
    <w:rsid w:val="00892EDB"/>
    <w:rsid w:val="008969A1"/>
    <w:rsid w:val="008A6BBF"/>
    <w:rsid w:val="008A6FA5"/>
    <w:rsid w:val="008B032A"/>
    <w:rsid w:val="008B2C5A"/>
    <w:rsid w:val="008B3132"/>
    <w:rsid w:val="008B3A4E"/>
    <w:rsid w:val="008B44D5"/>
    <w:rsid w:val="008C49C0"/>
    <w:rsid w:val="008D0815"/>
    <w:rsid w:val="008D7258"/>
    <w:rsid w:val="008F52D6"/>
    <w:rsid w:val="008F658D"/>
    <w:rsid w:val="00901425"/>
    <w:rsid w:val="00904571"/>
    <w:rsid w:val="00905271"/>
    <w:rsid w:val="009113FF"/>
    <w:rsid w:val="009122A5"/>
    <w:rsid w:val="00914ED8"/>
    <w:rsid w:val="0092310D"/>
    <w:rsid w:val="009317A5"/>
    <w:rsid w:val="00934D59"/>
    <w:rsid w:val="00947D2E"/>
    <w:rsid w:val="009555A8"/>
    <w:rsid w:val="0095617A"/>
    <w:rsid w:val="00956461"/>
    <w:rsid w:val="0095774A"/>
    <w:rsid w:val="009612AB"/>
    <w:rsid w:val="00961D22"/>
    <w:rsid w:val="00962810"/>
    <w:rsid w:val="00967143"/>
    <w:rsid w:val="00967B1A"/>
    <w:rsid w:val="00976256"/>
    <w:rsid w:val="0097797F"/>
    <w:rsid w:val="009922C3"/>
    <w:rsid w:val="0099656E"/>
    <w:rsid w:val="00997E2B"/>
    <w:rsid w:val="00997ED4"/>
    <w:rsid w:val="009A2F10"/>
    <w:rsid w:val="009A3D1A"/>
    <w:rsid w:val="009A4487"/>
    <w:rsid w:val="009B08F6"/>
    <w:rsid w:val="009B0F20"/>
    <w:rsid w:val="009B6FD8"/>
    <w:rsid w:val="009B7B58"/>
    <w:rsid w:val="009B7C00"/>
    <w:rsid w:val="009C100B"/>
    <w:rsid w:val="009C3FB2"/>
    <w:rsid w:val="009C632F"/>
    <w:rsid w:val="009C6D48"/>
    <w:rsid w:val="009D2A75"/>
    <w:rsid w:val="009D67E4"/>
    <w:rsid w:val="009E216E"/>
    <w:rsid w:val="009E54C2"/>
    <w:rsid w:val="009E61A6"/>
    <w:rsid w:val="009F2F7F"/>
    <w:rsid w:val="00A00479"/>
    <w:rsid w:val="00A037F8"/>
    <w:rsid w:val="00A1068F"/>
    <w:rsid w:val="00A17054"/>
    <w:rsid w:val="00A230A9"/>
    <w:rsid w:val="00A237D3"/>
    <w:rsid w:val="00A263D2"/>
    <w:rsid w:val="00A265F2"/>
    <w:rsid w:val="00A31E56"/>
    <w:rsid w:val="00A3252B"/>
    <w:rsid w:val="00A37F27"/>
    <w:rsid w:val="00A41887"/>
    <w:rsid w:val="00A4264E"/>
    <w:rsid w:val="00A541B8"/>
    <w:rsid w:val="00A55A8E"/>
    <w:rsid w:val="00A567BF"/>
    <w:rsid w:val="00A62A1A"/>
    <w:rsid w:val="00A64F70"/>
    <w:rsid w:val="00A65C9F"/>
    <w:rsid w:val="00A71811"/>
    <w:rsid w:val="00A7458C"/>
    <w:rsid w:val="00A76AD2"/>
    <w:rsid w:val="00A82F0E"/>
    <w:rsid w:val="00A85D35"/>
    <w:rsid w:val="00A86E92"/>
    <w:rsid w:val="00A93158"/>
    <w:rsid w:val="00A939A2"/>
    <w:rsid w:val="00A94C55"/>
    <w:rsid w:val="00A9655D"/>
    <w:rsid w:val="00AA52D9"/>
    <w:rsid w:val="00AB1CA0"/>
    <w:rsid w:val="00AB2FD2"/>
    <w:rsid w:val="00AC5039"/>
    <w:rsid w:val="00AD4192"/>
    <w:rsid w:val="00AD4512"/>
    <w:rsid w:val="00AD4DCF"/>
    <w:rsid w:val="00AE0464"/>
    <w:rsid w:val="00AE0476"/>
    <w:rsid w:val="00AF0F69"/>
    <w:rsid w:val="00AF198A"/>
    <w:rsid w:val="00AF1ECC"/>
    <w:rsid w:val="00B052DD"/>
    <w:rsid w:val="00B057CE"/>
    <w:rsid w:val="00B12B15"/>
    <w:rsid w:val="00B16CEB"/>
    <w:rsid w:val="00B1720B"/>
    <w:rsid w:val="00B21349"/>
    <w:rsid w:val="00B271AA"/>
    <w:rsid w:val="00B272DB"/>
    <w:rsid w:val="00B27F39"/>
    <w:rsid w:val="00B324A8"/>
    <w:rsid w:val="00B34D25"/>
    <w:rsid w:val="00B37CBD"/>
    <w:rsid w:val="00B409C1"/>
    <w:rsid w:val="00B42D48"/>
    <w:rsid w:val="00B53353"/>
    <w:rsid w:val="00B53B5D"/>
    <w:rsid w:val="00B6161F"/>
    <w:rsid w:val="00B72C8F"/>
    <w:rsid w:val="00B74C7E"/>
    <w:rsid w:val="00B864E4"/>
    <w:rsid w:val="00B950F8"/>
    <w:rsid w:val="00B96C42"/>
    <w:rsid w:val="00BA0363"/>
    <w:rsid w:val="00BA0FF7"/>
    <w:rsid w:val="00BB063A"/>
    <w:rsid w:val="00BB3A03"/>
    <w:rsid w:val="00BB4E37"/>
    <w:rsid w:val="00BB508E"/>
    <w:rsid w:val="00BC0E2F"/>
    <w:rsid w:val="00BC6BA6"/>
    <w:rsid w:val="00BC767A"/>
    <w:rsid w:val="00BD00A2"/>
    <w:rsid w:val="00BD6AFB"/>
    <w:rsid w:val="00BE22A5"/>
    <w:rsid w:val="00BE348D"/>
    <w:rsid w:val="00BE3698"/>
    <w:rsid w:val="00BE62B0"/>
    <w:rsid w:val="00BE7AC7"/>
    <w:rsid w:val="00BF43D4"/>
    <w:rsid w:val="00C0210A"/>
    <w:rsid w:val="00C0328A"/>
    <w:rsid w:val="00C10D9F"/>
    <w:rsid w:val="00C12783"/>
    <w:rsid w:val="00C13921"/>
    <w:rsid w:val="00C14D23"/>
    <w:rsid w:val="00C1631D"/>
    <w:rsid w:val="00C16D96"/>
    <w:rsid w:val="00C16F2F"/>
    <w:rsid w:val="00C1751B"/>
    <w:rsid w:val="00C17BFF"/>
    <w:rsid w:val="00C27496"/>
    <w:rsid w:val="00C32626"/>
    <w:rsid w:val="00C35E2A"/>
    <w:rsid w:val="00C40179"/>
    <w:rsid w:val="00C476DA"/>
    <w:rsid w:val="00C52318"/>
    <w:rsid w:val="00C5331B"/>
    <w:rsid w:val="00C54893"/>
    <w:rsid w:val="00C5707D"/>
    <w:rsid w:val="00C60631"/>
    <w:rsid w:val="00C6169C"/>
    <w:rsid w:val="00C63BE5"/>
    <w:rsid w:val="00C648FE"/>
    <w:rsid w:val="00C64D7F"/>
    <w:rsid w:val="00C64D89"/>
    <w:rsid w:val="00C72C85"/>
    <w:rsid w:val="00C75123"/>
    <w:rsid w:val="00C76539"/>
    <w:rsid w:val="00C76E0B"/>
    <w:rsid w:val="00C86A51"/>
    <w:rsid w:val="00C910F0"/>
    <w:rsid w:val="00CA14F8"/>
    <w:rsid w:val="00CA2371"/>
    <w:rsid w:val="00CA29FD"/>
    <w:rsid w:val="00CA47C1"/>
    <w:rsid w:val="00CB5C8B"/>
    <w:rsid w:val="00CC5FAD"/>
    <w:rsid w:val="00CC61F8"/>
    <w:rsid w:val="00CD03BA"/>
    <w:rsid w:val="00CD3805"/>
    <w:rsid w:val="00CD489C"/>
    <w:rsid w:val="00CD63E2"/>
    <w:rsid w:val="00CE09EE"/>
    <w:rsid w:val="00CE1751"/>
    <w:rsid w:val="00CE7217"/>
    <w:rsid w:val="00CE72C7"/>
    <w:rsid w:val="00D044E2"/>
    <w:rsid w:val="00D12376"/>
    <w:rsid w:val="00D156BC"/>
    <w:rsid w:val="00D20314"/>
    <w:rsid w:val="00D2101B"/>
    <w:rsid w:val="00D3125A"/>
    <w:rsid w:val="00D32161"/>
    <w:rsid w:val="00D340C6"/>
    <w:rsid w:val="00D3691D"/>
    <w:rsid w:val="00D42FCD"/>
    <w:rsid w:val="00D44CD7"/>
    <w:rsid w:val="00D45C06"/>
    <w:rsid w:val="00D56D6D"/>
    <w:rsid w:val="00D60E1B"/>
    <w:rsid w:val="00D640F0"/>
    <w:rsid w:val="00D65EB3"/>
    <w:rsid w:val="00D65FB7"/>
    <w:rsid w:val="00D67B67"/>
    <w:rsid w:val="00D705C8"/>
    <w:rsid w:val="00D72C3B"/>
    <w:rsid w:val="00D73579"/>
    <w:rsid w:val="00D75468"/>
    <w:rsid w:val="00D81159"/>
    <w:rsid w:val="00D811F3"/>
    <w:rsid w:val="00D83E1A"/>
    <w:rsid w:val="00D845E3"/>
    <w:rsid w:val="00D874E1"/>
    <w:rsid w:val="00D87DCD"/>
    <w:rsid w:val="00D91A8F"/>
    <w:rsid w:val="00DA2F1B"/>
    <w:rsid w:val="00DA696F"/>
    <w:rsid w:val="00DB03AF"/>
    <w:rsid w:val="00DB07DF"/>
    <w:rsid w:val="00DB2E8D"/>
    <w:rsid w:val="00DB6BD6"/>
    <w:rsid w:val="00DC03D8"/>
    <w:rsid w:val="00DC0FBE"/>
    <w:rsid w:val="00DC1373"/>
    <w:rsid w:val="00DC33F4"/>
    <w:rsid w:val="00DC4011"/>
    <w:rsid w:val="00DC6889"/>
    <w:rsid w:val="00DD3223"/>
    <w:rsid w:val="00DD4E84"/>
    <w:rsid w:val="00DD5BA4"/>
    <w:rsid w:val="00DE21F2"/>
    <w:rsid w:val="00DE3AEC"/>
    <w:rsid w:val="00DE6DF6"/>
    <w:rsid w:val="00DF0570"/>
    <w:rsid w:val="00DF1A44"/>
    <w:rsid w:val="00DF6544"/>
    <w:rsid w:val="00E00F9E"/>
    <w:rsid w:val="00E02F93"/>
    <w:rsid w:val="00E106BE"/>
    <w:rsid w:val="00E106CA"/>
    <w:rsid w:val="00E123B5"/>
    <w:rsid w:val="00E1531E"/>
    <w:rsid w:val="00E207DC"/>
    <w:rsid w:val="00E24A1E"/>
    <w:rsid w:val="00E31A35"/>
    <w:rsid w:val="00E33B96"/>
    <w:rsid w:val="00E34823"/>
    <w:rsid w:val="00E36C70"/>
    <w:rsid w:val="00E42DEF"/>
    <w:rsid w:val="00E471FA"/>
    <w:rsid w:val="00E50E2D"/>
    <w:rsid w:val="00E52B4F"/>
    <w:rsid w:val="00E57CDF"/>
    <w:rsid w:val="00E634AB"/>
    <w:rsid w:val="00E6382E"/>
    <w:rsid w:val="00E75CA8"/>
    <w:rsid w:val="00E81208"/>
    <w:rsid w:val="00E83298"/>
    <w:rsid w:val="00E83487"/>
    <w:rsid w:val="00E84D5B"/>
    <w:rsid w:val="00E85AF9"/>
    <w:rsid w:val="00E861EC"/>
    <w:rsid w:val="00E86D4E"/>
    <w:rsid w:val="00E9273C"/>
    <w:rsid w:val="00EA0774"/>
    <w:rsid w:val="00EB133B"/>
    <w:rsid w:val="00EB232B"/>
    <w:rsid w:val="00EB240D"/>
    <w:rsid w:val="00EB6C8A"/>
    <w:rsid w:val="00EC0602"/>
    <w:rsid w:val="00EC6377"/>
    <w:rsid w:val="00ED07F6"/>
    <w:rsid w:val="00ED28AC"/>
    <w:rsid w:val="00ED3E59"/>
    <w:rsid w:val="00EE2F3F"/>
    <w:rsid w:val="00EE2F54"/>
    <w:rsid w:val="00EE5319"/>
    <w:rsid w:val="00EF0267"/>
    <w:rsid w:val="00EF5FB1"/>
    <w:rsid w:val="00F0190C"/>
    <w:rsid w:val="00F10639"/>
    <w:rsid w:val="00F10C6A"/>
    <w:rsid w:val="00F16641"/>
    <w:rsid w:val="00F16A35"/>
    <w:rsid w:val="00F22A43"/>
    <w:rsid w:val="00F250EE"/>
    <w:rsid w:val="00F26607"/>
    <w:rsid w:val="00F2679E"/>
    <w:rsid w:val="00F273A4"/>
    <w:rsid w:val="00F27BD7"/>
    <w:rsid w:val="00F28388"/>
    <w:rsid w:val="00F30B1B"/>
    <w:rsid w:val="00F318A3"/>
    <w:rsid w:val="00F3483A"/>
    <w:rsid w:val="00F3522A"/>
    <w:rsid w:val="00F3524C"/>
    <w:rsid w:val="00F369BC"/>
    <w:rsid w:val="00F46A02"/>
    <w:rsid w:val="00F47D83"/>
    <w:rsid w:val="00F50191"/>
    <w:rsid w:val="00F52793"/>
    <w:rsid w:val="00F54238"/>
    <w:rsid w:val="00F561DA"/>
    <w:rsid w:val="00F57852"/>
    <w:rsid w:val="00F63AB4"/>
    <w:rsid w:val="00F67E9F"/>
    <w:rsid w:val="00F71032"/>
    <w:rsid w:val="00F72B96"/>
    <w:rsid w:val="00F738A0"/>
    <w:rsid w:val="00F74CAB"/>
    <w:rsid w:val="00F90A08"/>
    <w:rsid w:val="00FA1963"/>
    <w:rsid w:val="00FA1CAD"/>
    <w:rsid w:val="00FA4586"/>
    <w:rsid w:val="00FA7189"/>
    <w:rsid w:val="00FB1C3B"/>
    <w:rsid w:val="00FB2D51"/>
    <w:rsid w:val="00FB57C8"/>
    <w:rsid w:val="00FC60A9"/>
    <w:rsid w:val="00FD0603"/>
    <w:rsid w:val="00FD71CA"/>
    <w:rsid w:val="00FE1A9D"/>
    <w:rsid w:val="00FE2E6B"/>
    <w:rsid w:val="00FE3562"/>
    <w:rsid w:val="00FE3E04"/>
    <w:rsid w:val="00FE76C3"/>
    <w:rsid w:val="00FE7A7B"/>
    <w:rsid w:val="01E6A52A"/>
    <w:rsid w:val="01EDB024"/>
    <w:rsid w:val="023CD6F0"/>
    <w:rsid w:val="028E53E9"/>
    <w:rsid w:val="05A6735A"/>
    <w:rsid w:val="0C01586B"/>
    <w:rsid w:val="10DF3A45"/>
    <w:rsid w:val="1317951C"/>
    <w:rsid w:val="1852836C"/>
    <w:rsid w:val="1CD47796"/>
    <w:rsid w:val="1D06733E"/>
    <w:rsid w:val="1E7E3C15"/>
    <w:rsid w:val="1FEEF62F"/>
    <w:rsid w:val="21E557C4"/>
    <w:rsid w:val="21F6EEAC"/>
    <w:rsid w:val="2289DF55"/>
    <w:rsid w:val="25F6CFC6"/>
    <w:rsid w:val="2A779500"/>
    <w:rsid w:val="312575DE"/>
    <w:rsid w:val="34054EE9"/>
    <w:rsid w:val="34D35B54"/>
    <w:rsid w:val="3878E077"/>
    <w:rsid w:val="38F0884B"/>
    <w:rsid w:val="39E9DF39"/>
    <w:rsid w:val="3A47BED4"/>
    <w:rsid w:val="3B3A5470"/>
    <w:rsid w:val="3D011F87"/>
    <w:rsid w:val="3D07787B"/>
    <w:rsid w:val="3E5D42F6"/>
    <w:rsid w:val="48408EB0"/>
    <w:rsid w:val="48B7D2BF"/>
    <w:rsid w:val="4C31B76D"/>
    <w:rsid w:val="4C610328"/>
    <w:rsid w:val="4C6F35E3"/>
    <w:rsid w:val="4D99AF4C"/>
    <w:rsid w:val="540045B0"/>
    <w:rsid w:val="559522D2"/>
    <w:rsid w:val="5B888039"/>
    <w:rsid w:val="615FC1EE"/>
    <w:rsid w:val="617FB709"/>
    <w:rsid w:val="65110B24"/>
    <w:rsid w:val="66C612C4"/>
    <w:rsid w:val="66EC2842"/>
    <w:rsid w:val="673E46E1"/>
    <w:rsid w:val="6A6A7586"/>
    <w:rsid w:val="7273F30D"/>
    <w:rsid w:val="7560615A"/>
    <w:rsid w:val="786807A2"/>
    <w:rsid w:val="7A903759"/>
    <w:rsid w:val="7B2F35A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2E203"/>
  <w15:chartTrackingRefBased/>
  <w15:docId w15:val="{23CE5D9D-7E1A-4553-8945-6106F380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4B6C8C"/>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9729">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631400945">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252273229">
      <w:bodyDiv w:val="1"/>
      <w:marLeft w:val="0"/>
      <w:marRight w:val="0"/>
      <w:marTop w:val="0"/>
      <w:marBottom w:val="0"/>
      <w:divBdr>
        <w:top w:val="none" w:sz="0" w:space="0" w:color="auto"/>
        <w:left w:val="none" w:sz="0" w:space="0" w:color="auto"/>
        <w:bottom w:val="none" w:sz="0" w:space="0" w:color="auto"/>
        <w:right w:val="none" w:sz="0" w:space="0" w:color="auto"/>
      </w:divBdr>
    </w:div>
    <w:div w:id="144811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87940909-E614-4D26-8970-2595967C9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1327FD-0CF0-4669-8A85-710EBD75593C}">
  <ds:schemaRefs>
    <ds:schemaRef ds:uri="http://schemas.microsoft.com/sharepoint/v3/contenttype/forms"/>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D52B8782-ABD1-4051-B6D9-E9FB70EE2A1E}">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docProps/app.xml><?xml version="1.0" encoding="utf-8"?>
<Properties xmlns="http://schemas.openxmlformats.org/officeDocument/2006/extended-properties" xmlns:vt="http://schemas.openxmlformats.org/officeDocument/2006/docPropsVTypes">
  <Template>Blank ITP Template.dotx</Template>
  <TotalTime>87</TotalTime>
  <Pages>8</Pages>
  <Words>2049</Words>
  <Characters>11681</Characters>
  <Application>Microsoft Office Word</Application>
  <DocSecurity>0</DocSecurity>
  <Lines>97</Lines>
  <Paragraphs>27</Paragraphs>
  <ScaleCrop>false</ScaleCrop>
  <Company>Symal</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Akshay Malviya</cp:lastModifiedBy>
  <cp:revision>98</cp:revision>
  <cp:lastPrinted>2022-06-20T22:14:00Z</cp:lastPrinted>
  <dcterms:created xsi:type="dcterms:W3CDTF">2023-08-01T18:10:00Z</dcterms:created>
  <dcterms:modified xsi:type="dcterms:W3CDTF">2023-11-15T02:06:00Z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y fmtid="{D5CDD505-2E9C-101B-9397-08002B2CF9AE}" pid="4" name="GrammarlyDocumentId">
    <vt:lpwstr>776672bb7c474c9fd490e497e297c078c176e4d6017f750a46f3b88adbeb67fc</vt:lpwstr>
  </property>
</Properties>
</file>