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2327BF75" w14:textId="77777777" w:rsidR="00671872" w:rsidRPr="00BB3A03" w:rsidRDefault="00671872" w:rsidP="00671872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 xml:space="preserve">Inspection and </w:t>
      </w:r>
      <w:r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 xml:space="preserve">lan – </w:t>
      </w:r>
      <w:r>
        <w:rPr>
          <w:b/>
          <w:bCs/>
          <w:sz w:val="40"/>
          <w:szCs w:val="40"/>
        </w:rPr>
        <w:t xml:space="preserve">Permanent Line Marking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418"/>
        <w:gridCol w:w="2121"/>
        <w:gridCol w:w="1050"/>
        <w:gridCol w:w="1698"/>
        <w:gridCol w:w="1094"/>
        <w:gridCol w:w="1024"/>
        <w:gridCol w:w="1385"/>
        <w:gridCol w:w="171"/>
        <w:gridCol w:w="1556"/>
        <w:gridCol w:w="3204"/>
      </w:tblGrid>
      <w:tr w:rsidR="00671872" w14:paraId="08289E94" w14:textId="77777777" w:rsidTr="00310AA1">
        <w:tc>
          <w:tcPr>
            <w:tcW w:w="1267" w:type="dxa"/>
            <w:gridSpan w:val="2"/>
            <w:tcMar>
              <w:left w:w="0" w:type="dxa"/>
            </w:tcMar>
          </w:tcPr>
          <w:p w14:paraId="46E8A293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5B1CEA5" w14:textId="6BFA6398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A111A6">
              <w:rPr>
                <w:b/>
                <w:bCs/>
              </w:rPr>
              <w:t>71</w:t>
            </w:r>
          </w:p>
        </w:tc>
        <w:tc>
          <w:tcPr>
            <w:tcW w:w="1050" w:type="dxa"/>
          </w:tcPr>
          <w:p w14:paraId="715189B2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792" w:type="dxa"/>
            <w:gridSpan w:val="2"/>
            <w:tcBorders>
              <w:bottom w:val="single" w:sz="4" w:space="0" w:color="auto"/>
            </w:tcBorders>
          </w:tcPr>
          <w:p w14:paraId="601C783C" w14:textId="77C4123B" w:rsidR="00671872" w:rsidRPr="007C4830" w:rsidRDefault="00A111A6" w:rsidP="00312A88">
            <w:pPr>
              <w:pStyle w:val="SymalBodycopylvl1"/>
              <w:spacing w:before="6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Parkville Urban Realm </w:t>
            </w:r>
          </w:p>
        </w:tc>
        <w:tc>
          <w:tcPr>
            <w:tcW w:w="1024" w:type="dxa"/>
          </w:tcPr>
          <w:p w14:paraId="3F3D7854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</w:tcPr>
          <w:p w14:paraId="343E02E3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556" w:type="dxa"/>
          </w:tcPr>
          <w:p w14:paraId="4A01862C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3785194E" w14:textId="37FC5FB0" w:rsidR="00671872" w:rsidRPr="00B27F39" w:rsidRDefault="00671872" w:rsidP="00312A88">
            <w:pPr>
              <w:pStyle w:val="SymalBodycopylvl1"/>
              <w:spacing w:before="60" w:after="0"/>
            </w:pPr>
          </w:p>
        </w:tc>
      </w:tr>
      <w:tr w:rsidR="00671872" w14:paraId="6FAD219A" w14:textId="77777777" w:rsidTr="00310AA1">
        <w:tc>
          <w:tcPr>
            <w:tcW w:w="849" w:type="dxa"/>
            <w:tcMar>
              <w:left w:w="0" w:type="dxa"/>
            </w:tcMar>
          </w:tcPr>
          <w:p w14:paraId="1958540F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14:paraId="6C9D7114" w14:textId="359B9F5D" w:rsidR="00671872" w:rsidRPr="00BD30E2" w:rsidRDefault="00A111A6" w:rsidP="00312A8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ITP-022</w:t>
            </w:r>
          </w:p>
        </w:tc>
        <w:tc>
          <w:tcPr>
            <w:tcW w:w="1050" w:type="dxa"/>
          </w:tcPr>
          <w:p w14:paraId="6F07FDDB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20A2A27D" w14:textId="13DC2D5C" w:rsidR="00671872" w:rsidRPr="0070715C" w:rsidRDefault="00494448" w:rsidP="00312A88">
            <w:pPr>
              <w:pStyle w:val="SymalBodycopylvl1"/>
              <w:spacing w:before="60" w:after="0"/>
            </w:pPr>
            <w:r>
              <w:t>01</w:t>
            </w:r>
            <w:r w:rsidR="0070715C" w:rsidRPr="0070715C">
              <w:t>/</w:t>
            </w:r>
            <w:r w:rsidR="00635B02">
              <w:t>0</w:t>
            </w:r>
            <w:r w:rsidR="00D51BE2">
              <w:t>5</w:t>
            </w:r>
            <w:r w:rsidR="0070715C" w:rsidRPr="0070715C">
              <w:t>/202</w:t>
            </w:r>
            <w:r w:rsidR="00D51BE2">
              <w:t>4</w:t>
            </w:r>
          </w:p>
        </w:tc>
        <w:tc>
          <w:tcPr>
            <w:tcW w:w="3503" w:type="dxa"/>
            <w:gridSpan w:val="3"/>
          </w:tcPr>
          <w:p w14:paraId="1A40467E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931" w:type="dxa"/>
            <w:gridSpan w:val="3"/>
            <w:tcBorders>
              <w:bottom w:val="single" w:sz="4" w:space="0" w:color="auto"/>
            </w:tcBorders>
          </w:tcPr>
          <w:p w14:paraId="2EDD0247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671872" w14:paraId="4244573B" w14:textId="77777777" w:rsidTr="00310AA1">
        <w:tc>
          <w:tcPr>
            <w:tcW w:w="849" w:type="dxa"/>
            <w:tcMar>
              <w:left w:w="0" w:type="dxa"/>
            </w:tcMar>
          </w:tcPr>
          <w:p w14:paraId="5FEEF98B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E83936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51" w:type="dxa"/>
            <w:gridSpan w:val="5"/>
          </w:tcPr>
          <w:p w14:paraId="00E7C628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9919F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52D348E6" w14:textId="77777777" w:rsidR="00671872" w:rsidRDefault="00671872" w:rsidP="00671872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671872" w:rsidRPr="00741190" w14:paraId="034A678D" w14:textId="77777777" w:rsidTr="00312A88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090E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480C1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C4FD8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FE23E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A973706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626942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10DA39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671872" w:rsidRPr="00741190" w14:paraId="6F1B6EC4" w14:textId="77777777" w:rsidTr="00312A88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8733176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3D6BC5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5C4561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DE416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480CC5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C2CD67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4F2D56EC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196C6996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3CE290AE" w14:textId="77777777" w:rsidTr="00312A88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0A7535C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D9D3F1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8AB58B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8635AF4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A52B18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972F349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9EC20DF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B5CD5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392B979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E24C5E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98A444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3C1E57" w14:paraId="42A2213D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AD54418" w14:textId="77777777" w:rsidR="00671872" w:rsidRPr="003C1E57" w:rsidRDefault="00671872" w:rsidP="00312A8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6A4EFE" w:rsidRPr="00741190" w14:paraId="7B522E2E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5B85AC9" w14:textId="21BAE4B4" w:rsidR="006A4EFE" w:rsidRPr="00D340C6" w:rsidRDefault="006A4EFE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C7FBA5F" w14:textId="465AC7D0" w:rsidR="006A4EFE" w:rsidRPr="00EA0774" w:rsidRDefault="006A4EFE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Lot Map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1D90FA" w14:textId="77777777" w:rsidR="006A4EFE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84F7EB8" w14:textId="3D45D9E2" w:rsidR="006A4EFE" w:rsidRPr="00EA0774" w:rsidRDefault="006A4EFE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Attach relevant lot map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BD1FA6" w14:textId="77777777" w:rsidR="006A4EFE" w:rsidRPr="00EA0774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E741619" w14:textId="77777777" w:rsidR="006A4EFE" w:rsidRPr="004B6C8C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807B0C" w14:textId="77777777" w:rsidR="006A4EFE" w:rsidRPr="00EA0774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79FD5D83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7F968D9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63802DC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D263FA" w14:textId="77777777" w:rsidR="006A4EFE" w:rsidRPr="00741190" w:rsidRDefault="006A4EFE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6EF47A08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26C0273" w14:textId="71A2185D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6A4EF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4A6CD72" w14:textId="5339B07E" w:rsidR="00671872" w:rsidRPr="00EA0774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Check Survey Set-out and T</w:t>
            </w:r>
            <w:r w:rsidR="00094D05">
              <w:rPr>
                <w:sz w:val="14"/>
                <w:szCs w:val="14"/>
              </w:rPr>
              <w:t>B</w:t>
            </w:r>
            <w:r w:rsidRPr="00EA0774">
              <w:rPr>
                <w:sz w:val="14"/>
                <w:szCs w:val="14"/>
              </w:rPr>
              <w:t>M’s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2455D2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7A3CF" w14:textId="77777777" w:rsidR="00671872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Survey set out including frame, benchmark, and recovery points in place.</w:t>
            </w:r>
          </w:p>
          <w:p w14:paraId="6C93FAFD" w14:textId="77777777" w:rsidR="00671872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4109DFF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0C89EA46" w14:textId="77777777" w:rsidR="00671872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1ED4078" w14:textId="77777777" w:rsidR="00671872" w:rsidRPr="00EA0774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5CF088C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287AB3E" w14:textId="1517FFBE" w:rsidR="00671872" w:rsidRPr="004B6C8C" w:rsidRDefault="00D5116F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  <w:r>
              <w:rPr>
                <w:b/>
                <w:bCs/>
                <w:sz w:val="14"/>
                <w:szCs w:val="14"/>
                <w:u w:val="single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C12ED4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32E7BE5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953C3D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D8D5CD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3304C87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34A5A0C8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3FA7E71" w14:textId="3C226CBC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6A4EF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BD1976F" w14:textId="77777777" w:rsidR="00671872" w:rsidRPr="00EA0774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Pavement Marking Paint Material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2AB43C2" w14:textId="77777777" w:rsidR="00671872" w:rsidRDefault="00671872" w:rsidP="00312A88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VR721.A05 (a) –(g)</w:t>
            </w:r>
          </w:p>
          <w:p w14:paraId="1F53396D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9B2">
              <w:rPr>
                <w:rFonts w:asciiTheme="majorHAnsi" w:hAnsiTheme="majorHAnsi" w:cstheme="majorHAnsi"/>
                <w:sz w:val="14"/>
                <w:szCs w:val="14"/>
              </w:rPr>
              <w:t>721.D01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6CEDD2B" w14:textId="77777777" w:rsidR="00671872" w:rsidRDefault="00671872" w:rsidP="00312A8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CE796C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54613">
              <w:rPr>
                <w:rFonts w:asciiTheme="majorHAnsi" w:hAnsiTheme="majorHAnsi" w:cstheme="majorHAnsi"/>
                <w:sz w:val="14"/>
                <w:szCs w:val="14"/>
              </w:rPr>
              <w:t xml:space="preserve">Unless otherwise specified, materials used for signing and pavement </w:t>
            </w:r>
            <w:r w:rsidRPr="00D54613">
              <w:rPr>
                <w:rFonts w:asciiTheme="majorHAnsi" w:hAnsiTheme="majorHAnsi" w:cstheme="majorHAnsi"/>
                <w:noProof/>
                <w:sz w:val="14"/>
                <w:szCs w:val="14"/>
              </w:rPr>
              <w:t>marking</w:t>
            </w:r>
            <w:r w:rsidRPr="00D54613">
              <w:rPr>
                <w:rFonts w:asciiTheme="majorHAnsi" w:hAnsiTheme="majorHAnsi" w:cstheme="majorHAnsi"/>
                <w:sz w:val="14"/>
                <w:szCs w:val="14"/>
              </w:rPr>
              <w:t xml:space="preserve"> shall comply with the relevant sections of VicRoads Standard Specifications for Roadworks and Bridgeworks.</w:t>
            </w:r>
          </w:p>
          <w:p w14:paraId="6D7D8836" w14:textId="77777777" w:rsidR="00F83477" w:rsidRDefault="00F83477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314CE1E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0344359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approved? </w:t>
            </w:r>
          </w:p>
          <w:p w14:paraId="700856EA" w14:textId="77777777" w:rsidR="00671872" w:rsidRPr="00252CCF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0AFB47F2" w14:textId="77777777" w:rsidR="00671872" w:rsidRPr="00283F58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503D738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F64640C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295EFEFF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3C693FEC" w14:textId="738BAB91" w:rsidR="00671872" w:rsidRDefault="00A111A6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  <w:r>
              <w:rPr>
                <w:b/>
                <w:bCs/>
                <w:sz w:val="14"/>
                <w:szCs w:val="14"/>
                <w:u w:val="single"/>
              </w:rPr>
              <w:t>R</w:t>
            </w:r>
          </w:p>
          <w:p w14:paraId="2CC61EEC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  <w:u w:val="single"/>
              </w:rPr>
            </w:pPr>
          </w:p>
          <w:p w14:paraId="0541C43C" w14:textId="15E15E18" w:rsidR="00671872" w:rsidRPr="003F79B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711F143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6616B6A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2626D58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509866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7641E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6F4A9D7" w14:textId="2124E48A" w:rsidR="00671872" w:rsidRDefault="007634CB" w:rsidP="00312A88">
            <w:pPr>
              <w:pStyle w:val="Tabletext"/>
              <w:tabs>
                <w:tab w:val="left" w:pos="552"/>
              </w:tabs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Data sheet </w:t>
            </w:r>
          </w:p>
          <w:p w14:paraId="49E4089C" w14:textId="6DE88556" w:rsidR="007634CB" w:rsidRDefault="007634CB" w:rsidP="00312A88">
            <w:pPr>
              <w:pStyle w:val="Tabletext"/>
              <w:tabs>
                <w:tab w:val="left" w:pos="552"/>
              </w:tabs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Certificate of paint conformity </w:t>
            </w:r>
          </w:p>
          <w:p w14:paraId="7A8753C5" w14:textId="4B9EDB7A" w:rsidR="00671872" w:rsidRPr="00A661DC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1872" w:rsidRPr="003C1E57" w14:paraId="507255EA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115E801" w14:textId="77777777" w:rsidR="00671872" w:rsidRPr="003C1E57" w:rsidRDefault="00671872" w:rsidP="00312A8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2.0 Site Preparation </w:t>
            </w:r>
          </w:p>
        </w:tc>
      </w:tr>
      <w:tr w:rsidR="00671872" w:rsidRPr="00741190" w14:paraId="0E70AFF3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56CCE5" w14:textId="77777777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5FF53B2" w14:textId="77777777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Site Preparation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3A99B8" w14:textId="77777777" w:rsidR="00671872" w:rsidRPr="00D340C6" w:rsidRDefault="00671872" w:rsidP="00312A8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VR721.A06</w:t>
            </w:r>
          </w:p>
        </w:tc>
        <w:tc>
          <w:tcPr>
            <w:tcW w:w="1223" w:type="pct"/>
            <w:shd w:val="clear" w:color="auto" w:fill="auto"/>
          </w:tcPr>
          <w:p w14:paraId="062821AE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4CA0D12C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>Surface clear of existing unsounds, obsolete or redundant pavement markings. Surface to be dry and clear of any foreign materials and debris.</w:t>
            </w:r>
          </w:p>
          <w:p w14:paraId="50857154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2A599662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49EAF289" w14:textId="77777777" w:rsidR="00671872" w:rsidRPr="00252CCF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55674FCE" w14:textId="77777777" w:rsidR="00671872" w:rsidRPr="00D340C6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</w:tcPr>
          <w:p w14:paraId="776D6A19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8C403C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2" w:type="pct"/>
            <w:shd w:val="clear" w:color="auto" w:fill="auto"/>
          </w:tcPr>
          <w:p w14:paraId="0E892115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3A8354" w14:textId="3F195E28" w:rsidR="00671872" w:rsidRPr="004B6C8C" w:rsidRDefault="00FE507B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shd w:val="clear" w:color="auto" w:fill="auto"/>
          </w:tcPr>
          <w:p w14:paraId="77CD3043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5C1793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A533A92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5FAD0D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222AFE8F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667472B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1C629EBE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1EAB7EA2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E451798" w14:textId="6A0CEAC3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A111A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BA6F4CA" w14:textId="77777777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4"/>
                <w:szCs w:val="14"/>
              </w:rPr>
              <w:t>Inspection of Line marking, road marking and RRPMs set out.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09C9AB" w14:textId="77777777" w:rsidR="00671872" w:rsidRDefault="00671872" w:rsidP="00312A88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VR721.B05</w:t>
            </w:r>
          </w:p>
          <w:p w14:paraId="258A6842" w14:textId="77777777" w:rsidR="00671872" w:rsidRPr="00D340C6" w:rsidRDefault="00671872" w:rsidP="00312A8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49CE7C39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A80F8F8" w14:textId="61911F65" w:rsidR="00671872" w:rsidRPr="00DA72A1" w:rsidRDefault="003F243B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 set out of </w:t>
            </w:r>
            <w:r w:rsidR="00671872">
              <w:rPr>
                <w:rFonts w:asciiTheme="majorHAnsi" w:hAnsiTheme="majorHAnsi" w:cstheme="majorHAnsi"/>
                <w:sz w:val="14"/>
                <w:szCs w:val="14"/>
              </w:rPr>
              <w:t xml:space="preserve">Painting / application of material </w:t>
            </w:r>
            <w:r w:rsidR="001C034D">
              <w:rPr>
                <w:rFonts w:asciiTheme="majorHAnsi" w:hAnsiTheme="majorHAnsi" w:cstheme="majorHAnsi"/>
                <w:sz w:val="14"/>
                <w:szCs w:val="14"/>
              </w:rPr>
              <w:t xml:space="preserve">has been inspected by </w:t>
            </w:r>
            <w:r w:rsidR="00A111A6">
              <w:rPr>
                <w:rFonts w:asciiTheme="majorHAnsi" w:hAnsiTheme="majorHAnsi" w:cstheme="majorHAnsi"/>
                <w:sz w:val="14"/>
                <w:szCs w:val="14"/>
              </w:rPr>
              <w:t>CYP</w:t>
            </w:r>
            <w:r w:rsidR="001C034D">
              <w:rPr>
                <w:rFonts w:asciiTheme="majorHAnsi" w:hAnsiTheme="majorHAnsi" w:cstheme="majorHAnsi"/>
                <w:sz w:val="14"/>
                <w:szCs w:val="14"/>
              </w:rPr>
              <w:t xml:space="preserve">. </w:t>
            </w:r>
          </w:p>
          <w:p w14:paraId="10DC06BB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3FAF618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Approval to proceed? </w:t>
            </w:r>
          </w:p>
          <w:p w14:paraId="2DBFDF78" w14:textId="77777777" w:rsidR="00671872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34ECD5E3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D63064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0B5EBE" w14:textId="77777777" w:rsidR="00671872" w:rsidRPr="00D340C6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F3E86F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  <w:p w14:paraId="6CCBEFA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6B55ED6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&amp;</w:t>
            </w:r>
          </w:p>
          <w:p w14:paraId="5704261C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536EF5D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painting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4207A1F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CF9AE8F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51AA7FBC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14F33CB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26C33A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C05A5D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FB72635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0418C9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7DBAF4FC" w14:textId="77777777" w:rsidR="00671872" w:rsidRPr="00A661DC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  <w:r w:rsidRPr="00A661DC">
              <w:rPr>
                <w:b/>
                <w:bCs/>
                <w:szCs w:val="18"/>
                <w:u w:val="single"/>
              </w:rPr>
              <w:t>H</w:t>
            </w:r>
          </w:p>
        </w:tc>
        <w:tc>
          <w:tcPr>
            <w:tcW w:w="243" w:type="pct"/>
            <w:shd w:val="clear" w:color="auto" w:fill="auto"/>
          </w:tcPr>
          <w:p w14:paraId="085564FB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F0FA75B" w14:textId="77777777" w:rsidR="00671872" w:rsidRDefault="00671872" w:rsidP="00312A8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694346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279804F5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</w:tcPr>
          <w:p w14:paraId="3425C234" w14:textId="77777777" w:rsidR="00671872" w:rsidRPr="003F79B2" w:rsidRDefault="00671872" w:rsidP="00312A88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3F79B2">
              <w:rPr>
                <w:b/>
                <w:bCs/>
                <w:sz w:val="20"/>
              </w:rPr>
              <w:t xml:space="preserve">3.0 Application of Pavement Marking Paints </w:t>
            </w:r>
          </w:p>
        </w:tc>
      </w:tr>
      <w:tr w:rsidR="00BA6F84" w:rsidRPr="00741190" w14:paraId="337B3FE0" w14:textId="77777777" w:rsidTr="00E82DB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2A97B16" w14:textId="176F8D6B" w:rsidR="00BA6F84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703EE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861061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22EB381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3389004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4A920E0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6167173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75EF004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53716241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02A9D99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2040205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9F6DBE2" w14:textId="624E171C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3441732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 </w:t>
            </w:r>
          </w:p>
          <w:p w14:paraId="5AE3CFE2" w14:textId="6E5E588C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Application of New Pavement Marking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7DED5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0977326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5AC617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191499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12465D3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02409463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0AB0995" w14:textId="3E9449A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eop"/>
                <w:rFonts w:ascii="Arial" w:hAnsi="Arial" w:cs="Arial"/>
                <w:sz w:val="16"/>
                <w:szCs w:val="16"/>
              </w:rPr>
              <w:t xml:space="preserve"> VR721 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954CA" w14:textId="77777777" w:rsidR="00B46230" w:rsidRDefault="00B46230" w:rsidP="00BA6F84">
            <w:pPr>
              <w:pStyle w:val="paragraph"/>
              <w:spacing w:before="0" w:beforeAutospacing="0" w:after="0" w:afterAutospacing="0"/>
              <w:textAlignment w:val="baseline"/>
              <w:divId w:val="964039403"/>
              <w:rPr>
                <w:rStyle w:val="eop"/>
                <w:rFonts w:ascii="Arial" w:eastAsiaTheme="minorEastAsia" w:hAnsi="Arial" w:cs="Arial"/>
                <w:sz w:val="14"/>
                <w:szCs w:val="14"/>
              </w:rPr>
            </w:pPr>
          </w:p>
          <w:p w14:paraId="2ADDA338" w14:textId="4A10A9AB" w:rsidR="00BA6F84" w:rsidRDefault="00B46230" w:rsidP="00BA6F84">
            <w:pPr>
              <w:pStyle w:val="paragraph"/>
              <w:spacing w:before="0" w:beforeAutospacing="0" w:after="0" w:afterAutospacing="0"/>
              <w:textAlignment w:val="baseline"/>
              <w:divId w:val="9640394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 xml:space="preserve">Application should be completed as per VR721. </w:t>
            </w:r>
            <w:r w:rsidR="00BA6F84"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2610E98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89296006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07981A2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94558271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Has all of the above been completed correctly and to a high standard? 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06F0856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1148916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Yes   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       </w:t>
            </w: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No    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Style w:val="eop"/>
                <w:rFonts w:ascii="Arial" w:eastAsiaTheme="minorEastAsia" w:hAnsi="Arial" w:cs="Arial"/>
                <w:sz w:val="28"/>
                <w:szCs w:val="28"/>
              </w:rPr>
              <w:t> </w:t>
            </w:r>
          </w:p>
          <w:p w14:paraId="6C9B9C53" w14:textId="2E9F859D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D59E9E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788008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EC424FB" w14:textId="5D694C36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812204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5CB936B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7323575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DE3285D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5874045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E907657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803520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718B981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4338144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A9151CC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250036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3FBC0F8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26060494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Each lot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C26DD55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0795838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28C91E74" w14:textId="77CFB4AB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A4D47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11786351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D77E2B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70501077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2B41B8F6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51754217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361829F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79213934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EDCCBA8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60249734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77DA0DC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7007017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990CD92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1606594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6A21D2F" w14:textId="1E689CE4" w:rsidR="00BA6F84" w:rsidRDefault="00DE63AE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FE14B" w14:textId="17E60163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13560381"/>
              <w:rPr>
                <w:rFonts w:ascii="Segoe UI" w:hAnsi="Segoe UI" w:cs="Segoe UI"/>
                <w:sz w:val="18"/>
                <w:szCs w:val="18"/>
              </w:rPr>
            </w:pPr>
          </w:p>
          <w:p w14:paraId="6702DAC0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9658973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38EF627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8658402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E86206A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5699532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A96723B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9524152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8A8EE3E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1410885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3C88BD4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1751472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4467422" w14:textId="0FA90C8D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SE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210F2" w14:textId="63532A1A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B0F086" w14:textId="7401EEB9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83201" w14:textId="29728A0A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67541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893005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206D0D5D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72962010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12A67EF5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201287455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18612C23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96145615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62E6F7DB" w14:textId="73F931D0" w:rsidR="00BA6F84" w:rsidRPr="00A34A62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998652983"/>
              <w:rPr>
                <w:rStyle w:val="eop"/>
                <w:rFonts w:asciiTheme="majorHAnsi" w:eastAsiaTheme="minorEastAsia" w:hAnsiTheme="majorHAnsi" w:cstheme="majorHAnsi"/>
                <w:sz w:val="14"/>
                <w:szCs w:val="14"/>
              </w:rPr>
            </w:pPr>
            <w:r w:rsidRPr="00A34A62">
              <w:rPr>
                <w:rStyle w:val="eop"/>
                <w:rFonts w:asciiTheme="majorHAnsi" w:eastAsiaTheme="minorEastAsia" w:hAnsiTheme="majorHAnsi" w:cstheme="majorHAnsi"/>
                <w:sz w:val="14"/>
                <w:szCs w:val="14"/>
              </w:rPr>
              <w:t> </w:t>
            </w:r>
            <w:r w:rsidR="00497AB9" w:rsidRPr="00A34A62">
              <w:rPr>
                <w:rStyle w:val="eop"/>
                <w:rFonts w:asciiTheme="majorHAnsi" w:eastAsiaTheme="minorEastAsia" w:hAnsiTheme="majorHAnsi" w:cstheme="majorHAnsi"/>
                <w:sz w:val="14"/>
                <w:szCs w:val="14"/>
              </w:rPr>
              <w:t>APAS certificate</w:t>
            </w:r>
          </w:p>
          <w:p w14:paraId="6013F931" w14:textId="7F9807CD" w:rsidR="00A34A62" w:rsidRPr="00A34A62" w:rsidRDefault="00A34A62" w:rsidP="00BA6F84">
            <w:pPr>
              <w:pStyle w:val="paragraph"/>
              <w:spacing w:before="0" w:beforeAutospacing="0" w:after="0" w:afterAutospacing="0"/>
              <w:textAlignment w:val="baseline"/>
              <w:divId w:val="1998652983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65F024E" w14:textId="1E0C0634" w:rsidR="00BA6F84" w:rsidRDefault="00A34A62" w:rsidP="00BA6F84">
            <w:pPr>
              <w:pStyle w:val="paragraph"/>
              <w:spacing w:before="0" w:beforeAutospacing="0" w:after="0" w:afterAutospacing="0"/>
              <w:textAlignment w:val="baseline"/>
              <w:divId w:val="1720203927"/>
              <w:rPr>
                <w:rFonts w:ascii="Segoe UI" w:hAnsi="Segoe UI" w:cs="Segoe UI"/>
                <w:sz w:val="18"/>
                <w:szCs w:val="18"/>
              </w:rPr>
            </w:pPr>
            <w:r w:rsidRPr="00A34A62">
              <w:rPr>
                <w:rFonts w:asciiTheme="majorHAnsi" w:hAnsiTheme="majorHAnsi" w:cstheme="majorHAnsi"/>
                <w:sz w:val="14"/>
                <w:szCs w:val="14"/>
              </w:rPr>
              <w:t>Glass bead data sheets</w:t>
            </w:r>
          </w:p>
          <w:p w14:paraId="55E82B4C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37129579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C73045E" w14:textId="46D1EEF5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Style w:val="eop"/>
                <w:rFonts w:ascii="Arial" w:eastAsiaTheme="minorEastAsia" w:hAnsi="Arial" w:cs="Arial"/>
                <w:szCs w:val="16"/>
              </w:rPr>
              <w:t> </w:t>
            </w:r>
          </w:p>
        </w:tc>
      </w:tr>
      <w:tr w:rsidR="00BA6F84" w:rsidRPr="00741190" w14:paraId="6C800A8A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92BFCAF" w14:textId="0C860C4D" w:rsidR="00BA6F84" w:rsidRPr="004B6C8C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</w:t>
            </w:r>
            <w:r w:rsidR="006A4EF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789BD62" w14:textId="77777777" w:rsidR="00BA6F84" w:rsidRPr="00D340C6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Placing and Application of Raised Pavement Markers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23B6B0" w14:textId="35FF73CF" w:rsidR="005C4C70" w:rsidRDefault="005C4C70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AS 1906</w:t>
            </w:r>
          </w:p>
          <w:p w14:paraId="60D36397" w14:textId="2A756EAD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VR721.A07</w:t>
            </w:r>
          </w:p>
          <w:p w14:paraId="4AF3A70A" w14:textId="66917734" w:rsidR="00BA6F84" w:rsidRDefault="00BA6F84" w:rsidP="00BA6F84">
            <w:pPr>
              <w:spacing w:before="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721.A09</w:t>
            </w:r>
          </w:p>
          <w:p w14:paraId="7BAF6D5D" w14:textId="6484851D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721.A101</w:t>
            </w:r>
          </w:p>
          <w:p w14:paraId="140379C8" w14:textId="7777777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VR721.A05</w:t>
            </w:r>
          </w:p>
          <w:p w14:paraId="64639DD5" w14:textId="7777777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>VR721.A10</w:t>
            </w:r>
          </w:p>
          <w:p w14:paraId="3825B548" w14:textId="5DFE9A5A" w:rsidR="00701412" w:rsidRDefault="00701412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 853</w:t>
            </w:r>
          </w:p>
          <w:p w14:paraId="54044582" w14:textId="5D555939" w:rsidR="00BA6F84" w:rsidRDefault="00BA6F84" w:rsidP="00BA6F84">
            <w:pPr>
              <w:pStyle w:val="SymalTableBody"/>
              <w:spacing w:before="20" w:after="2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IFC Drawings</w:t>
            </w:r>
          </w:p>
          <w:p w14:paraId="2E4CCD7A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5CAAECB6" w14:textId="6F7AC5D4" w:rsidR="00BA6F84" w:rsidRPr="00D340C6" w:rsidRDefault="00BA6F84" w:rsidP="002D0E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2447F762" w14:textId="5670717A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>Markers shall be placed in accordance with manufacturer’s specification</w:t>
            </w:r>
            <w:r w:rsidR="005C4C70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and AS 1906.</w:t>
            </w:r>
          </w:p>
          <w:p w14:paraId="2D7599AD" w14:textId="77777777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Wherever possible markers shall be placed clear of longitudinal or transverse joints and clear of surface removed and the surface is damaged. </w:t>
            </w:r>
          </w:p>
          <w:p w14:paraId="13953DB8" w14:textId="24F946F2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All pavement markings shall be within specified </w:t>
            </w:r>
            <w:r w:rsidR="00B56A84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tolerances.</w:t>
            </w:r>
          </w:p>
          <w:p w14:paraId="16B5959D" w14:textId="77777777" w:rsidR="009A2DEF" w:rsidRDefault="009A2DEF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4DA7F440" w14:textId="2DD46407" w:rsidR="00D604E4" w:rsidRDefault="009A2DEF" w:rsidP="009A2DEF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 xml:space="preserve">RPM to be installed with </w:t>
            </w:r>
            <w:r w:rsidR="001D2D08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hot melt adhesive</w:t>
            </w:r>
            <w:r w:rsidR="000A3C14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</w:t>
            </w:r>
          </w:p>
          <w:p w14:paraId="6A3B5B3B" w14:textId="0227E0CC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051505CD" w14:textId="77777777" w:rsidR="00BA6F84" w:rsidRDefault="00BA6F84" w:rsidP="00BA6F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128C34EF" w14:textId="77777777" w:rsidR="00BA6F84" w:rsidRDefault="00BA6F84" w:rsidP="00BA6F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7D775CA" w14:textId="77777777" w:rsidR="00BA6F84" w:rsidRPr="00D340C6" w:rsidRDefault="00BA6F84" w:rsidP="00BA6F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</w:tcPr>
          <w:p w14:paraId="0FCE8C5E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1EBBEA8" w14:textId="77777777" w:rsidR="00BA6F84" w:rsidRPr="003F79B2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BFDD19A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5EDEFB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9B2">
              <w:rPr>
                <w:sz w:val="14"/>
                <w:szCs w:val="14"/>
              </w:rPr>
              <w:t>Each lot</w:t>
            </w:r>
          </w:p>
          <w:p w14:paraId="499D3274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A55BDE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2" w:type="pct"/>
            <w:shd w:val="clear" w:color="auto" w:fill="auto"/>
          </w:tcPr>
          <w:p w14:paraId="18C21151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81F16B5" w14:textId="77777777" w:rsidR="00BA6F84" w:rsidRPr="003F79B2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BB70622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72FACE" w14:textId="4B3DEAAA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10C6A01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44B98E8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>W</w:t>
            </w:r>
          </w:p>
        </w:tc>
        <w:tc>
          <w:tcPr>
            <w:tcW w:w="243" w:type="pct"/>
            <w:shd w:val="clear" w:color="auto" w:fill="auto"/>
          </w:tcPr>
          <w:p w14:paraId="5335CF60" w14:textId="77777777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2618092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18E540F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3B6FF5" w14:textId="77777777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1F42DFCD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907996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38955F96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580CD24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94ABB24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2FA1E7B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0703CAF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CD4E3E9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E382F6C" w14:textId="77777777" w:rsidR="00BA6F84" w:rsidRPr="00741190" w:rsidRDefault="00BA6F84" w:rsidP="00BA6F84">
            <w:pPr>
              <w:pStyle w:val="Tabletext"/>
              <w:rPr>
                <w:b/>
                <w:bCs w:val="0"/>
                <w:szCs w:val="18"/>
              </w:rPr>
            </w:pPr>
          </w:p>
        </w:tc>
      </w:tr>
      <w:tr w:rsidR="00887940" w:rsidRPr="00741190" w14:paraId="747360D4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CF45265" w14:textId="402D9959" w:rsidR="00887940" w:rsidRDefault="001C0DF2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409DE34" w14:textId="149104FE" w:rsidR="00887940" w:rsidRPr="001C0DF2" w:rsidRDefault="001C0DF2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proofErr w:type="spellStart"/>
            <w:r w:rsidRPr="001C0DF2">
              <w:rPr>
                <w:rFonts w:asciiTheme="majorHAnsi" w:hAnsiTheme="majorHAnsi" w:cstheme="majorHAnsi"/>
                <w:color w:val="333333"/>
                <w:sz w:val="14"/>
                <w:szCs w:val="14"/>
                <w:shd w:val="clear" w:color="auto" w:fill="FFFFFF"/>
              </w:rPr>
              <w:t>Retroreflectivity</w:t>
            </w:r>
            <w:proofErr w:type="spellEnd"/>
            <w:r w:rsidR="00887940" w:rsidRPr="001C0DF2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testing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9E7849" w14:textId="77777777" w:rsidR="00887940" w:rsidRDefault="00887940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F796B0E" w14:textId="4B1F80D8" w:rsidR="00887940" w:rsidRDefault="00BE678B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Retroflectivity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 testing to meet the requirements of Table 721.A131. </w:t>
            </w:r>
          </w:p>
        </w:tc>
        <w:tc>
          <w:tcPr>
            <w:tcW w:w="341" w:type="pct"/>
            <w:shd w:val="clear" w:color="auto" w:fill="auto"/>
          </w:tcPr>
          <w:p w14:paraId="400CA618" w14:textId="565CEAF4" w:rsidR="00887940" w:rsidRPr="003F79B2" w:rsidRDefault="005B77C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404CAE6D" w14:textId="664DB984" w:rsidR="00887940" w:rsidRDefault="005B77C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</w:tcPr>
          <w:p w14:paraId="58CC5EEB" w14:textId="0A365388" w:rsidR="00887940" w:rsidRDefault="005B77C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3362369D" w14:textId="77777777" w:rsidR="00887940" w:rsidRPr="00741190" w:rsidRDefault="00887940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9D5E553" w14:textId="77777777" w:rsidR="00887940" w:rsidRPr="00741190" w:rsidRDefault="00887940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7DCB7525" w14:textId="77777777" w:rsidR="00887940" w:rsidRPr="00741190" w:rsidRDefault="00887940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0159FE09" w14:textId="77777777" w:rsidR="00887940" w:rsidRDefault="00887940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6186A2C5" w14:textId="77777777" w:rsidR="00671872" w:rsidRDefault="00671872" w:rsidP="00671872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671872" w:rsidRPr="005056E3" w14:paraId="3FB29EE7" w14:textId="77777777" w:rsidTr="00312A88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51F373D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996C035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75868B3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5B584C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671872" w:rsidRPr="005056E3" w14:paraId="1E54A958" w14:textId="77777777" w:rsidTr="00312A88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286E600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C325EEC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370642B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9BF96B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604F2AB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6DE795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E0E12E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12B89DD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30F16871" w14:textId="77777777" w:rsidR="00671872" w:rsidRDefault="00671872" w:rsidP="00671872">
      <w:pPr>
        <w:pStyle w:val="SymalBodycopylvl1"/>
        <w:spacing w:before="60" w:after="0"/>
      </w:pPr>
    </w:p>
    <w:p w14:paraId="384077DD" w14:textId="77777777" w:rsidR="00671872" w:rsidRDefault="00671872" w:rsidP="00671872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83F58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1C4337B3" w14:textId="77777777" w:rsidR="00671872" w:rsidRPr="005056E3" w:rsidRDefault="00671872" w:rsidP="0067187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</w:p>
    <w:p w14:paraId="59BC7C68" w14:textId="77777777" w:rsidR="00671872" w:rsidRDefault="00671872" w:rsidP="00671872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Key: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e, </w:t>
      </w:r>
      <w:r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>
        <w:rPr>
          <w:rFonts w:ascii="Arial" w:hAnsi="Arial" w:cs="Arial"/>
          <w:sz w:val="18"/>
          <w:szCs w:val="18"/>
        </w:rPr>
        <w:t xml:space="preserve">Review Point, </w:t>
      </w:r>
      <w:r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>
        <w:rPr>
          <w:rFonts w:ascii="Arial" w:hAnsi="Arial" w:cs="Arial"/>
          <w:sz w:val="18"/>
          <w:szCs w:val="18"/>
        </w:rPr>
        <w:t>Inspection Point.</w:t>
      </w:r>
    </w:p>
    <w:tbl>
      <w:tblPr>
        <w:tblStyle w:val="TableGrid"/>
        <w:tblpPr w:leftFromText="180" w:rightFromText="180" w:horzAnchor="margin" w:tblpY="-4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7985"/>
      </w:tblGrid>
      <w:tr w:rsidR="00671872" w14:paraId="45163D55" w14:textId="77777777" w:rsidTr="00312A88">
        <w:tc>
          <w:tcPr>
            <w:tcW w:w="6585" w:type="dxa"/>
          </w:tcPr>
          <w:p w14:paraId="2EFD8C55" w14:textId="0C461BC1" w:rsidR="00671872" w:rsidRPr="003F79B2" w:rsidRDefault="00671872" w:rsidP="00312A8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5" w:type="dxa"/>
          </w:tcPr>
          <w:p w14:paraId="4FFD5798" w14:textId="379435B9" w:rsidR="00671872" w:rsidRPr="003F79B2" w:rsidRDefault="00671872" w:rsidP="00312A8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872" w14:paraId="5BB3B8D4" w14:textId="77777777" w:rsidTr="00312A88">
        <w:trPr>
          <w:trHeight w:val="8499"/>
        </w:trPr>
        <w:tc>
          <w:tcPr>
            <w:tcW w:w="6585" w:type="dxa"/>
          </w:tcPr>
          <w:p w14:paraId="013BBAED" w14:textId="616574FE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85" w:type="dxa"/>
          </w:tcPr>
          <w:p w14:paraId="6B7ECFCA" w14:textId="75EA4634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F67357" w14:textId="4BDDC55C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80BAE05" w14:textId="15E93B62" w:rsidR="00671872" w:rsidRPr="003F79B2" w:rsidRDefault="00671872" w:rsidP="00671872">
      <w:pPr>
        <w:spacing w:before="120" w:after="120"/>
        <w:rPr>
          <w:rFonts w:ascii="Arial" w:hAnsi="Arial" w:cs="Arial"/>
          <w:b/>
          <w:sz w:val="22"/>
          <w:szCs w:val="22"/>
        </w:rPr>
      </w:pPr>
    </w:p>
    <w:p w14:paraId="0F3FC882" w14:textId="44EC84B6" w:rsidR="005056E3" w:rsidRPr="005056E3" w:rsidRDefault="005056E3" w:rsidP="00671872">
      <w:pPr>
        <w:pStyle w:val="SymalBodycopylvl1"/>
        <w:spacing w:before="0"/>
        <w:rPr>
          <w:rFonts w:ascii="Arial" w:hAnsi="Arial" w:cs="Arial"/>
          <w:b/>
          <w:sz w:val="18"/>
          <w:szCs w:val="18"/>
        </w:rPr>
      </w:pP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DCB6A" w14:textId="77777777" w:rsidR="00120C5D" w:rsidRDefault="00120C5D" w:rsidP="007617B0">
      <w:pPr>
        <w:spacing w:after="0"/>
      </w:pPr>
      <w:r>
        <w:separator/>
      </w:r>
    </w:p>
  </w:endnote>
  <w:endnote w:type="continuationSeparator" w:id="0">
    <w:p w14:paraId="5E4C9F25" w14:textId="77777777" w:rsidR="00120C5D" w:rsidRDefault="00120C5D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A277104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494448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494448">
            <w:rPr>
              <w:szCs w:val="16"/>
            </w:rPr>
            <w:t>01</w:t>
          </w:r>
          <w:r w:rsidR="000D6EDD">
            <w:rPr>
              <w:szCs w:val="16"/>
            </w:rPr>
            <w:t>/</w:t>
          </w:r>
          <w:r w:rsidR="00635B02">
            <w:rPr>
              <w:szCs w:val="16"/>
            </w:rPr>
            <w:t>0</w:t>
          </w:r>
          <w:r w:rsidR="00494448">
            <w:rPr>
              <w:szCs w:val="16"/>
            </w:rPr>
            <w:t>9</w:t>
          </w:r>
          <w:r w:rsidR="000D6EDD" w:rsidRPr="00AD0710">
            <w:rPr>
              <w:szCs w:val="16"/>
            </w:rPr>
            <w:t>/202</w:t>
          </w:r>
          <w:r w:rsidR="00635B02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559A963D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494448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494448">
            <w:rPr>
              <w:szCs w:val="16"/>
            </w:rPr>
            <w:t>01</w:t>
          </w:r>
          <w:r w:rsidR="000D6EDD">
            <w:rPr>
              <w:szCs w:val="16"/>
            </w:rPr>
            <w:t>/</w:t>
          </w:r>
          <w:r w:rsidR="00635B02">
            <w:rPr>
              <w:szCs w:val="16"/>
            </w:rPr>
            <w:t>0</w:t>
          </w:r>
          <w:r w:rsidR="00494448">
            <w:rPr>
              <w:szCs w:val="16"/>
            </w:rPr>
            <w:t>9</w:t>
          </w:r>
          <w:r w:rsidR="00635B02">
            <w:rPr>
              <w:szCs w:val="16"/>
            </w:rPr>
            <w:t>/</w:t>
          </w:r>
          <w:r w:rsidR="00D340C6" w:rsidRPr="00AD0710">
            <w:rPr>
              <w:szCs w:val="16"/>
            </w:rPr>
            <w:t>202</w:t>
          </w:r>
          <w:r w:rsidR="00635B02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46625" w14:textId="77777777" w:rsidR="00120C5D" w:rsidRDefault="00120C5D" w:rsidP="007617B0">
      <w:pPr>
        <w:spacing w:after="0"/>
      </w:pPr>
      <w:r>
        <w:separator/>
      </w:r>
    </w:p>
  </w:footnote>
  <w:footnote w:type="continuationSeparator" w:id="0">
    <w:p w14:paraId="17A866CD" w14:textId="77777777" w:rsidR="00120C5D" w:rsidRDefault="00120C5D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396"/>
    <w:multiLevelType w:val="multilevel"/>
    <w:tmpl w:val="48D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064B3"/>
    <w:multiLevelType w:val="hybridMultilevel"/>
    <w:tmpl w:val="EE748C18"/>
    <w:lvl w:ilvl="0" w:tplc="D3B68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0F46"/>
    <w:multiLevelType w:val="hybridMultilevel"/>
    <w:tmpl w:val="7CEE4C9A"/>
    <w:lvl w:ilvl="0" w:tplc="2D9281D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31C"/>
    <w:multiLevelType w:val="hybridMultilevel"/>
    <w:tmpl w:val="C2A4C31C"/>
    <w:lvl w:ilvl="0" w:tplc="CFAA4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DE635F"/>
    <w:multiLevelType w:val="hybridMultilevel"/>
    <w:tmpl w:val="6AFE29BC"/>
    <w:lvl w:ilvl="0" w:tplc="65609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1E462D2D"/>
    <w:multiLevelType w:val="hybridMultilevel"/>
    <w:tmpl w:val="A43E870E"/>
    <w:lvl w:ilvl="0" w:tplc="EAE86F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3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4" w15:restartNumberingAfterBreak="0">
    <w:nsid w:val="2B43684C"/>
    <w:multiLevelType w:val="hybridMultilevel"/>
    <w:tmpl w:val="9E083B7C"/>
    <w:lvl w:ilvl="0" w:tplc="056C7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6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7" w15:restartNumberingAfterBreak="0">
    <w:nsid w:val="4D88131A"/>
    <w:multiLevelType w:val="hybridMultilevel"/>
    <w:tmpl w:val="F9E45814"/>
    <w:lvl w:ilvl="0" w:tplc="F0D60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40773"/>
    <w:multiLevelType w:val="multilevel"/>
    <w:tmpl w:val="D0FE4A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2776B7"/>
    <w:multiLevelType w:val="multilevel"/>
    <w:tmpl w:val="379E38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3005E"/>
    <w:multiLevelType w:val="multilevel"/>
    <w:tmpl w:val="7E7CE2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8" w15:restartNumberingAfterBreak="0">
    <w:nsid w:val="6BC0683F"/>
    <w:multiLevelType w:val="multilevel"/>
    <w:tmpl w:val="042428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8000DB"/>
    <w:multiLevelType w:val="multilevel"/>
    <w:tmpl w:val="02DE3F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3122B"/>
    <w:multiLevelType w:val="multilevel"/>
    <w:tmpl w:val="38B6FA6E"/>
    <w:numStyleLink w:val="CivLegal"/>
  </w:abstractNum>
  <w:abstractNum w:abstractNumId="31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9869">
    <w:abstractNumId w:val="20"/>
  </w:num>
  <w:num w:numId="2" w16cid:durableId="1857503888">
    <w:abstractNumId w:val="16"/>
  </w:num>
  <w:num w:numId="3" w16cid:durableId="561911962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567767008">
    <w:abstractNumId w:val="7"/>
  </w:num>
  <w:num w:numId="5" w16cid:durableId="1588421669">
    <w:abstractNumId w:val="21"/>
  </w:num>
  <w:num w:numId="6" w16cid:durableId="493567335">
    <w:abstractNumId w:val="8"/>
  </w:num>
  <w:num w:numId="7" w16cid:durableId="1280838458">
    <w:abstractNumId w:val="9"/>
  </w:num>
  <w:num w:numId="8" w16cid:durableId="1463765661">
    <w:abstractNumId w:val="6"/>
  </w:num>
  <w:num w:numId="9" w16cid:durableId="146173342">
    <w:abstractNumId w:val="12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8252437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411591">
    <w:abstractNumId w:val="19"/>
  </w:num>
  <w:num w:numId="12" w16cid:durableId="14406443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915857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20690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159246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5942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78013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324848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18939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67535">
    <w:abstractNumId w:val="4"/>
  </w:num>
  <w:num w:numId="21" w16cid:durableId="1603880073">
    <w:abstractNumId w:val="15"/>
  </w:num>
  <w:num w:numId="22" w16cid:durableId="1545755124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32489065">
    <w:abstractNumId w:val="23"/>
  </w:num>
  <w:num w:numId="24" w16cid:durableId="1384326494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8318238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3907585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033652265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30450833">
    <w:abstractNumId w:val="22"/>
  </w:num>
  <w:num w:numId="29" w16cid:durableId="1469740929">
    <w:abstractNumId w:val="13"/>
  </w:num>
  <w:num w:numId="30" w16cid:durableId="472135113">
    <w:abstractNumId w:val="12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70738499">
    <w:abstractNumId w:val="27"/>
  </w:num>
  <w:num w:numId="32" w16cid:durableId="701440253">
    <w:abstractNumId w:val="11"/>
  </w:num>
  <w:num w:numId="33" w16cid:durableId="2074698896">
    <w:abstractNumId w:val="2"/>
  </w:num>
  <w:num w:numId="34" w16cid:durableId="1780182381">
    <w:abstractNumId w:val="1"/>
  </w:num>
  <w:num w:numId="35" w16cid:durableId="1521360441">
    <w:abstractNumId w:val="31"/>
  </w:num>
  <w:num w:numId="36" w16cid:durableId="2083790809">
    <w:abstractNumId w:val="10"/>
  </w:num>
  <w:num w:numId="37" w16cid:durableId="83697841">
    <w:abstractNumId w:val="3"/>
  </w:num>
  <w:num w:numId="38" w16cid:durableId="1306011289">
    <w:abstractNumId w:val="14"/>
  </w:num>
  <w:num w:numId="39" w16cid:durableId="1936590859">
    <w:abstractNumId w:val="5"/>
  </w:num>
  <w:num w:numId="40" w16cid:durableId="854461606">
    <w:abstractNumId w:val="17"/>
  </w:num>
  <w:num w:numId="41" w16cid:durableId="1881933091">
    <w:abstractNumId w:val="0"/>
  </w:num>
  <w:num w:numId="42" w16cid:durableId="288049599">
    <w:abstractNumId w:val="29"/>
  </w:num>
  <w:num w:numId="43" w16cid:durableId="785806290">
    <w:abstractNumId w:val="24"/>
  </w:num>
  <w:num w:numId="44" w16cid:durableId="236088189">
    <w:abstractNumId w:val="18"/>
  </w:num>
  <w:num w:numId="45" w16cid:durableId="1386220391">
    <w:abstractNumId w:val="26"/>
  </w:num>
  <w:num w:numId="46" w16cid:durableId="8412594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3621F"/>
    <w:rsid w:val="00042A87"/>
    <w:rsid w:val="0004421D"/>
    <w:rsid w:val="00046F51"/>
    <w:rsid w:val="000628FA"/>
    <w:rsid w:val="000759B7"/>
    <w:rsid w:val="000802C9"/>
    <w:rsid w:val="00080579"/>
    <w:rsid w:val="00080860"/>
    <w:rsid w:val="000820F9"/>
    <w:rsid w:val="00086B45"/>
    <w:rsid w:val="00091863"/>
    <w:rsid w:val="000918CF"/>
    <w:rsid w:val="00092885"/>
    <w:rsid w:val="00093207"/>
    <w:rsid w:val="00094D05"/>
    <w:rsid w:val="0009555B"/>
    <w:rsid w:val="00096844"/>
    <w:rsid w:val="000A3C14"/>
    <w:rsid w:val="000B695B"/>
    <w:rsid w:val="000C28DA"/>
    <w:rsid w:val="000D0E97"/>
    <w:rsid w:val="000D6EDD"/>
    <w:rsid w:val="000F6E06"/>
    <w:rsid w:val="00112853"/>
    <w:rsid w:val="001153A9"/>
    <w:rsid w:val="00120C5D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64930"/>
    <w:rsid w:val="00164D07"/>
    <w:rsid w:val="001811DA"/>
    <w:rsid w:val="0018362E"/>
    <w:rsid w:val="00191711"/>
    <w:rsid w:val="00195C7E"/>
    <w:rsid w:val="0019623C"/>
    <w:rsid w:val="001A7888"/>
    <w:rsid w:val="001B06FE"/>
    <w:rsid w:val="001B199D"/>
    <w:rsid w:val="001B4060"/>
    <w:rsid w:val="001C034D"/>
    <w:rsid w:val="001C0DF2"/>
    <w:rsid w:val="001C2875"/>
    <w:rsid w:val="001D2D08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4F3C"/>
    <w:rsid w:val="00270424"/>
    <w:rsid w:val="00276E10"/>
    <w:rsid w:val="00280FAE"/>
    <w:rsid w:val="00281140"/>
    <w:rsid w:val="00282680"/>
    <w:rsid w:val="0028562B"/>
    <w:rsid w:val="002A0EBB"/>
    <w:rsid w:val="002B33D2"/>
    <w:rsid w:val="002B7C52"/>
    <w:rsid w:val="002C40D8"/>
    <w:rsid w:val="002D08B8"/>
    <w:rsid w:val="002D0E08"/>
    <w:rsid w:val="002D5D40"/>
    <w:rsid w:val="002E08A0"/>
    <w:rsid w:val="002E1EBA"/>
    <w:rsid w:val="002E46E4"/>
    <w:rsid w:val="002F7E9F"/>
    <w:rsid w:val="00301828"/>
    <w:rsid w:val="00305A59"/>
    <w:rsid w:val="00310AA1"/>
    <w:rsid w:val="003141E2"/>
    <w:rsid w:val="0031420F"/>
    <w:rsid w:val="0033732E"/>
    <w:rsid w:val="00343C93"/>
    <w:rsid w:val="00345D7B"/>
    <w:rsid w:val="00346FF0"/>
    <w:rsid w:val="00351D72"/>
    <w:rsid w:val="0035572B"/>
    <w:rsid w:val="00360E4D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D0E3C"/>
    <w:rsid w:val="003E111A"/>
    <w:rsid w:val="003E2E17"/>
    <w:rsid w:val="003E4005"/>
    <w:rsid w:val="003F1AC6"/>
    <w:rsid w:val="003F22E3"/>
    <w:rsid w:val="003F243B"/>
    <w:rsid w:val="003F396E"/>
    <w:rsid w:val="004110DC"/>
    <w:rsid w:val="004121D0"/>
    <w:rsid w:val="00412526"/>
    <w:rsid w:val="00414B29"/>
    <w:rsid w:val="00422652"/>
    <w:rsid w:val="00426CA1"/>
    <w:rsid w:val="004310D2"/>
    <w:rsid w:val="00434660"/>
    <w:rsid w:val="00437616"/>
    <w:rsid w:val="0044465E"/>
    <w:rsid w:val="004446C0"/>
    <w:rsid w:val="00460ED2"/>
    <w:rsid w:val="00463EF2"/>
    <w:rsid w:val="00465C9A"/>
    <w:rsid w:val="004661B2"/>
    <w:rsid w:val="00475BB5"/>
    <w:rsid w:val="0047722B"/>
    <w:rsid w:val="0048084E"/>
    <w:rsid w:val="00481DBA"/>
    <w:rsid w:val="00482E78"/>
    <w:rsid w:val="00484408"/>
    <w:rsid w:val="004908DD"/>
    <w:rsid w:val="00492A2D"/>
    <w:rsid w:val="00494448"/>
    <w:rsid w:val="00497AB9"/>
    <w:rsid w:val="004A0E5D"/>
    <w:rsid w:val="004A1F50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08F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B77C4"/>
    <w:rsid w:val="005C244C"/>
    <w:rsid w:val="005C4C70"/>
    <w:rsid w:val="005E1C0B"/>
    <w:rsid w:val="005E1E7C"/>
    <w:rsid w:val="005E1EEB"/>
    <w:rsid w:val="005E7C7F"/>
    <w:rsid w:val="005F20A8"/>
    <w:rsid w:val="005F5224"/>
    <w:rsid w:val="005F73DD"/>
    <w:rsid w:val="00600E4F"/>
    <w:rsid w:val="00607B0C"/>
    <w:rsid w:val="00612627"/>
    <w:rsid w:val="00613248"/>
    <w:rsid w:val="006239C8"/>
    <w:rsid w:val="00624ADE"/>
    <w:rsid w:val="00626F76"/>
    <w:rsid w:val="006311C7"/>
    <w:rsid w:val="00635B02"/>
    <w:rsid w:val="00635B53"/>
    <w:rsid w:val="00640BAA"/>
    <w:rsid w:val="00644773"/>
    <w:rsid w:val="0065381A"/>
    <w:rsid w:val="00653EE2"/>
    <w:rsid w:val="00657AFA"/>
    <w:rsid w:val="006660B9"/>
    <w:rsid w:val="00671642"/>
    <w:rsid w:val="00671872"/>
    <w:rsid w:val="00684AC4"/>
    <w:rsid w:val="00697598"/>
    <w:rsid w:val="006A4EFE"/>
    <w:rsid w:val="006B60B4"/>
    <w:rsid w:val="006B7AF5"/>
    <w:rsid w:val="006B7EE7"/>
    <w:rsid w:val="006C1CE9"/>
    <w:rsid w:val="006D5AF1"/>
    <w:rsid w:val="006E29C0"/>
    <w:rsid w:val="006E50F4"/>
    <w:rsid w:val="006F6C26"/>
    <w:rsid w:val="00701412"/>
    <w:rsid w:val="007020DA"/>
    <w:rsid w:val="00706B2D"/>
    <w:rsid w:val="0070715C"/>
    <w:rsid w:val="007101DE"/>
    <w:rsid w:val="00713840"/>
    <w:rsid w:val="0071393C"/>
    <w:rsid w:val="007332CD"/>
    <w:rsid w:val="00741190"/>
    <w:rsid w:val="007502EC"/>
    <w:rsid w:val="007531BF"/>
    <w:rsid w:val="0075344A"/>
    <w:rsid w:val="00753B1F"/>
    <w:rsid w:val="007617B0"/>
    <w:rsid w:val="007634CB"/>
    <w:rsid w:val="007676A4"/>
    <w:rsid w:val="00770D7E"/>
    <w:rsid w:val="00797266"/>
    <w:rsid w:val="007A3D8B"/>
    <w:rsid w:val="007B51B3"/>
    <w:rsid w:val="007C1826"/>
    <w:rsid w:val="007C18AE"/>
    <w:rsid w:val="007C4830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03A5"/>
    <w:rsid w:val="008460EF"/>
    <w:rsid w:val="00846784"/>
    <w:rsid w:val="00846D58"/>
    <w:rsid w:val="00847B71"/>
    <w:rsid w:val="00854579"/>
    <w:rsid w:val="00857276"/>
    <w:rsid w:val="008658C5"/>
    <w:rsid w:val="00872ED9"/>
    <w:rsid w:val="00881185"/>
    <w:rsid w:val="00887940"/>
    <w:rsid w:val="00892EDB"/>
    <w:rsid w:val="008969A1"/>
    <w:rsid w:val="008A6FA5"/>
    <w:rsid w:val="008B3132"/>
    <w:rsid w:val="008B3A4E"/>
    <w:rsid w:val="008B44D5"/>
    <w:rsid w:val="008D0815"/>
    <w:rsid w:val="008D7258"/>
    <w:rsid w:val="008F52D6"/>
    <w:rsid w:val="008F658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7143"/>
    <w:rsid w:val="00973AC4"/>
    <w:rsid w:val="00976256"/>
    <w:rsid w:val="0097797F"/>
    <w:rsid w:val="009922C3"/>
    <w:rsid w:val="0099656E"/>
    <w:rsid w:val="00997E2B"/>
    <w:rsid w:val="00997ED4"/>
    <w:rsid w:val="009A2DEF"/>
    <w:rsid w:val="009A2F10"/>
    <w:rsid w:val="009A3D1A"/>
    <w:rsid w:val="009A4487"/>
    <w:rsid w:val="009B08F6"/>
    <w:rsid w:val="009B0F20"/>
    <w:rsid w:val="009B442D"/>
    <w:rsid w:val="009B6FD8"/>
    <w:rsid w:val="009B7B58"/>
    <w:rsid w:val="009B7C00"/>
    <w:rsid w:val="009C5CD4"/>
    <w:rsid w:val="009C66A0"/>
    <w:rsid w:val="009C6D48"/>
    <w:rsid w:val="009D2A75"/>
    <w:rsid w:val="009D67E4"/>
    <w:rsid w:val="009E61A6"/>
    <w:rsid w:val="00A037F8"/>
    <w:rsid w:val="00A111A6"/>
    <w:rsid w:val="00A11695"/>
    <w:rsid w:val="00A2140C"/>
    <w:rsid w:val="00A21D4E"/>
    <w:rsid w:val="00A230A9"/>
    <w:rsid w:val="00A263D2"/>
    <w:rsid w:val="00A265F2"/>
    <w:rsid w:val="00A34A6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50A9"/>
    <w:rsid w:val="00B1720B"/>
    <w:rsid w:val="00B21C24"/>
    <w:rsid w:val="00B272DB"/>
    <w:rsid w:val="00B27F39"/>
    <w:rsid w:val="00B324A8"/>
    <w:rsid w:val="00B409C1"/>
    <w:rsid w:val="00B46230"/>
    <w:rsid w:val="00B53353"/>
    <w:rsid w:val="00B56A84"/>
    <w:rsid w:val="00B864E4"/>
    <w:rsid w:val="00B950F8"/>
    <w:rsid w:val="00B96C42"/>
    <w:rsid w:val="00BA0363"/>
    <w:rsid w:val="00BA0FF7"/>
    <w:rsid w:val="00BA6F84"/>
    <w:rsid w:val="00BB4E37"/>
    <w:rsid w:val="00BB508E"/>
    <w:rsid w:val="00BC6BA6"/>
    <w:rsid w:val="00BD00A2"/>
    <w:rsid w:val="00BD6AFB"/>
    <w:rsid w:val="00BE22A5"/>
    <w:rsid w:val="00BE2A16"/>
    <w:rsid w:val="00BE3698"/>
    <w:rsid w:val="00BE62B0"/>
    <w:rsid w:val="00BE678B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04C9"/>
    <w:rsid w:val="00C5331B"/>
    <w:rsid w:val="00C54893"/>
    <w:rsid w:val="00C60631"/>
    <w:rsid w:val="00C6169C"/>
    <w:rsid w:val="00C61D9B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340C6"/>
    <w:rsid w:val="00D3691D"/>
    <w:rsid w:val="00D44CD7"/>
    <w:rsid w:val="00D5116F"/>
    <w:rsid w:val="00D51BE2"/>
    <w:rsid w:val="00D604E4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6C9"/>
    <w:rsid w:val="00DA696F"/>
    <w:rsid w:val="00DA72A1"/>
    <w:rsid w:val="00DB03AF"/>
    <w:rsid w:val="00DB0CC6"/>
    <w:rsid w:val="00DB2E8D"/>
    <w:rsid w:val="00DB485E"/>
    <w:rsid w:val="00DC03D8"/>
    <w:rsid w:val="00DC0FBE"/>
    <w:rsid w:val="00DC33F4"/>
    <w:rsid w:val="00DC4011"/>
    <w:rsid w:val="00DC6889"/>
    <w:rsid w:val="00DD4BBD"/>
    <w:rsid w:val="00DD4E84"/>
    <w:rsid w:val="00DE21F2"/>
    <w:rsid w:val="00DE50FB"/>
    <w:rsid w:val="00DE63AE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6728"/>
    <w:rsid w:val="00E57CDF"/>
    <w:rsid w:val="00E6069A"/>
    <w:rsid w:val="00E634AB"/>
    <w:rsid w:val="00E6382E"/>
    <w:rsid w:val="00E75CA8"/>
    <w:rsid w:val="00E803C1"/>
    <w:rsid w:val="00E81208"/>
    <w:rsid w:val="00E83298"/>
    <w:rsid w:val="00E85AF9"/>
    <w:rsid w:val="00E86D4E"/>
    <w:rsid w:val="00E9273C"/>
    <w:rsid w:val="00EA0774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3F7A"/>
    <w:rsid w:val="00F16A35"/>
    <w:rsid w:val="00F22A43"/>
    <w:rsid w:val="00F250EE"/>
    <w:rsid w:val="00F26607"/>
    <w:rsid w:val="00F2679E"/>
    <w:rsid w:val="00F3483A"/>
    <w:rsid w:val="00F3522A"/>
    <w:rsid w:val="00F3524C"/>
    <w:rsid w:val="00F4253F"/>
    <w:rsid w:val="00F47D83"/>
    <w:rsid w:val="00F511F9"/>
    <w:rsid w:val="00F52793"/>
    <w:rsid w:val="00F54238"/>
    <w:rsid w:val="00F561DA"/>
    <w:rsid w:val="00F57852"/>
    <w:rsid w:val="00F63AB4"/>
    <w:rsid w:val="00F67E9F"/>
    <w:rsid w:val="00F71032"/>
    <w:rsid w:val="00F83477"/>
    <w:rsid w:val="00F90A08"/>
    <w:rsid w:val="00FA1CAD"/>
    <w:rsid w:val="00FB1C3B"/>
    <w:rsid w:val="00FB3D70"/>
    <w:rsid w:val="00FB57C8"/>
    <w:rsid w:val="00FB68CE"/>
    <w:rsid w:val="00FD0603"/>
    <w:rsid w:val="00FD61DC"/>
    <w:rsid w:val="00FE14D8"/>
    <w:rsid w:val="00FE1A9D"/>
    <w:rsid w:val="00FE507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310AA1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paragraph">
    <w:name w:val="paragraph"/>
    <w:basedOn w:val="Normal"/>
    <w:rsid w:val="00BA6F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A6F84"/>
  </w:style>
  <w:style w:type="character" w:customStyle="1" w:styleId="eop">
    <w:name w:val="eop"/>
    <w:basedOn w:val="DefaultParagraphFont"/>
    <w:rsid w:val="00BA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5" ma:contentTypeDescription="Create a new document." ma:contentTypeScope="" ma:versionID="363264addee9064fd93408d36de5bee8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362a70e4f3c51e920d943bf8a06f989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6B30-5773-4775-A345-C5CC4C177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78F5777E-F71D-4758-9246-4E5D9CB133E6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customXml/itemProps4.xml><?xml version="1.0" encoding="utf-8"?>
<ds:datastoreItem xmlns:ds="http://schemas.openxmlformats.org/officeDocument/2006/customXml" ds:itemID="{DB8C92F5-A5BF-4EA4-9D52-09B3ED936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2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5</cp:revision>
  <cp:lastPrinted>2021-07-01T12:30:00Z</cp:lastPrinted>
  <dcterms:created xsi:type="dcterms:W3CDTF">2024-06-12T06:23:00Z</dcterms:created>
  <dcterms:modified xsi:type="dcterms:W3CDTF">2024-06-14T01:12:00Z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MediaServiceImageTags">
    <vt:lpwstr/>
  </property>
</Properties>
</file>