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0D9BBF09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7E30AF">
        <w:rPr>
          <w:b/>
          <w:bCs/>
          <w:sz w:val="40"/>
          <w:szCs w:val="40"/>
        </w:rPr>
        <w:t>Stormwater</w:t>
      </w:r>
      <w:r w:rsidR="00465924">
        <w:rPr>
          <w:b/>
          <w:bCs/>
          <w:sz w:val="40"/>
          <w:szCs w:val="40"/>
        </w:rPr>
        <w:t xml:space="preserve"> Drainage </w:t>
      </w:r>
      <w:r w:rsidR="007E30AF">
        <w:rPr>
          <w:b/>
          <w:bCs/>
          <w:sz w:val="40"/>
          <w:szCs w:val="40"/>
        </w:rPr>
        <w:t>Installation</w:t>
      </w:r>
      <w:r w:rsidR="00465924">
        <w:rPr>
          <w:b/>
          <w:bCs/>
          <w:sz w:val="40"/>
          <w:szCs w:val="40"/>
        </w:rPr>
        <w:t xml:space="preserve"> </w:t>
      </w:r>
    </w:p>
    <w:tbl>
      <w:tblPr>
        <w:tblStyle w:val="TableGridLight"/>
        <w:tblW w:w="15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3220"/>
      </w:tblGrid>
      <w:tr w:rsidR="005C244C" w14:paraId="7F905F15" w14:textId="77777777" w:rsidTr="007E30AF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7E06E52F" w:rsidR="005C244C" w:rsidRDefault="00EA0774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CC-03</w:t>
            </w:r>
            <w:r w:rsidR="007D24E8">
              <w:rPr>
                <w:b/>
                <w:bCs/>
              </w:rPr>
              <w:t>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50C5E4E9" w:rsidR="005C244C" w:rsidRPr="00B27F39" w:rsidRDefault="00FC1AC4" w:rsidP="00AD403E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2BD1B0C4" w:rsidR="005C244C" w:rsidRPr="00B6118F" w:rsidRDefault="005C244C" w:rsidP="006E50F4">
            <w:pPr>
              <w:pStyle w:val="SymalBodycopylvl1"/>
              <w:spacing w:before="60" w:after="0"/>
              <w:jc w:val="center"/>
            </w:pP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2A6BAB1E" w14:textId="46845ED2" w:rsidR="005C244C" w:rsidRPr="00B27F39" w:rsidRDefault="00E87EFD" w:rsidP="00B27F39">
            <w:pPr>
              <w:pStyle w:val="SymalBodycopylvl1"/>
              <w:spacing w:before="60" w:after="0"/>
            </w:pPr>
            <w:r>
              <w:t>Billy Dando</w:t>
            </w:r>
          </w:p>
        </w:tc>
      </w:tr>
      <w:tr w:rsidR="00B27F39" w14:paraId="5C362654" w14:textId="77777777" w:rsidTr="007E30AF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7C664C3D" w:rsidR="005C244C" w:rsidRPr="009113FF" w:rsidRDefault="00A01549" w:rsidP="00B27F39">
            <w:pPr>
              <w:pStyle w:val="SymalBodycopylvl1"/>
              <w:spacing w:before="60" w:after="0"/>
            </w:pPr>
            <w:r>
              <w:rPr>
                <w:sz w:val="16"/>
                <w:szCs w:val="16"/>
              </w:rPr>
              <w:t>SYM-ITP-006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0B1EDEDE" w:rsidR="005C244C" w:rsidRPr="009976EF" w:rsidRDefault="00257F7B" w:rsidP="00B27F39">
            <w:pPr>
              <w:pStyle w:val="SymalBodycopylvl1"/>
              <w:spacing w:before="60" w:after="0"/>
            </w:pPr>
            <w:r>
              <w:t>2</w:t>
            </w:r>
            <w:r w:rsidR="00513362">
              <w:t>8</w:t>
            </w:r>
            <w:r w:rsidR="00AD403E">
              <w:t>/0</w:t>
            </w:r>
            <w:r w:rsidR="00513362">
              <w:t>9</w:t>
            </w:r>
            <w:r w:rsidR="00AD403E">
              <w:t>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634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7E30AF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24B401C1" w:rsidR="005C244C" w:rsidRPr="00AF0B93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6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656C5ED1" w:rsidR="005C244C" w:rsidRPr="00AF0B93" w:rsidRDefault="005C244C" w:rsidP="00B27F39">
            <w:pPr>
              <w:pStyle w:val="SymalBodycopylvl1"/>
              <w:spacing w:before="60" w:after="0"/>
            </w:pPr>
          </w:p>
        </w:tc>
      </w:tr>
    </w:tbl>
    <w:p w14:paraId="47F8DFB1" w14:textId="55E2FCA6" w:rsidR="00B27F39" w:rsidRDefault="00B27F39" w:rsidP="00AF0B93">
      <w:pPr>
        <w:pStyle w:val="SymalBodycopylvl1"/>
        <w:tabs>
          <w:tab w:val="left" w:pos="9720"/>
        </w:tabs>
        <w:spacing w:before="120" w:after="120"/>
      </w:pPr>
      <w:r w:rsidRPr="00B27F39">
        <w:t>Attach Dockets, Certificates and QA Documents to ITP</w:t>
      </w:r>
      <w:r w:rsidR="00AF0B93"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1843"/>
        <w:gridCol w:w="1418"/>
        <w:gridCol w:w="4112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3D0E4B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3D0E4B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8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12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1D712BA5" w:rsidR="00741190" w:rsidRPr="00741190" w:rsidRDefault="00B35F2F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B35F2F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3D0E4B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7777777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E969B9" w:rsidRPr="00741190" w14:paraId="2B5E585F" w14:textId="77777777" w:rsidTr="00B83F95">
        <w:trPr>
          <w:trHeight w:val="302"/>
        </w:trPr>
        <w:tc>
          <w:tcPr>
            <w:tcW w:w="243" w:type="pct"/>
            <w:shd w:val="clear" w:color="auto" w:fill="auto"/>
            <w:vAlign w:val="center"/>
          </w:tcPr>
          <w:p w14:paraId="5D7D1494" w14:textId="4931F8FE" w:rsidR="00E969B9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8B642F" w14:textId="7294C2A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Conformity with Drawings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8F208F" w14:textId="4FFC99D2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701.10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0DB4B7B" w14:textId="53C33BA6" w:rsidR="00E969B9" w:rsidRPr="00B6306C" w:rsidRDefault="00FC1FC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>Are the drawings, complete</w:t>
            </w:r>
            <w:r w:rsidR="005812CB" w:rsidRPr="00B6306C">
              <w:rPr>
                <w:b/>
                <w:bCs/>
                <w:sz w:val="16"/>
                <w:szCs w:val="16"/>
              </w:rPr>
              <w:t xml:space="preserve"> &amp; current?</w:t>
            </w:r>
            <w:r w:rsidR="00E969B9" w:rsidRPr="00B6306C">
              <w:rPr>
                <w:b/>
                <w:bCs/>
                <w:sz w:val="16"/>
                <w:szCs w:val="16"/>
              </w:rPr>
              <w:t xml:space="preserve"> </w:t>
            </w:r>
          </w:p>
          <w:p w14:paraId="05E104B7" w14:textId="07FE42E4" w:rsidR="00E969B9" w:rsidRPr="00A4264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47E9023" w14:textId="3C5A1AC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6C5646" w14:textId="6EDC5C5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3680D1" w14:textId="686522AF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6F88D0C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847C4E5" w14:textId="17828C3F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4598697" w14:textId="40FDC2FD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98D435F" w14:textId="3A8DDAF2" w:rsidR="00E969B9" w:rsidRPr="00A508F1" w:rsidRDefault="000730D0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A508F1">
              <w:rPr>
                <w:rFonts w:asciiTheme="majorHAnsi" w:hAnsiTheme="majorHAnsi" w:cstheme="majorHAnsi"/>
                <w:szCs w:val="16"/>
              </w:rPr>
              <w:t xml:space="preserve">Attach Recent </w:t>
            </w:r>
            <w:r w:rsidR="00A508F1">
              <w:rPr>
                <w:rFonts w:asciiTheme="majorHAnsi" w:hAnsiTheme="majorHAnsi" w:cstheme="majorHAnsi"/>
                <w:szCs w:val="16"/>
              </w:rPr>
              <w:t xml:space="preserve">IFC </w:t>
            </w:r>
            <w:r w:rsidRPr="00A508F1">
              <w:rPr>
                <w:rFonts w:asciiTheme="majorHAnsi" w:hAnsiTheme="majorHAnsi" w:cstheme="majorHAnsi"/>
                <w:szCs w:val="16"/>
              </w:rPr>
              <w:t xml:space="preserve">Drawings </w:t>
            </w:r>
          </w:p>
        </w:tc>
      </w:tr>
      <w:tr w:rsidR="00E969B9" w:rsidRPr="00741190" w14:paraId="6379EBD7" w14:textId="77777777" w:rsidTr="004E2F4A">
        <w:trPr>
          <w:trHeight w:val="1390"/>
        </w:trPr>
        <w:tc>
          <w:tcPr>
            <w:tcW w:w="243" w:type="pct"/>
            <w:shd w:val="clear" w:color="auto" w:fill="auto"/>
            <w:vAlign w:val="center"/>
          </w:tcPr>
          <w:p w14:paraId="68CC2D15" w14:textId="55FC98AD" w:rsidR="00E969B9" w:rsidRPr="004B6C8C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7BEA8054" w14:textId="2DC76C81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 xml:space="preserve">Define Work Lot 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0236823" w14:textId="77777777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173.02</w:t>
            </w:r>
          </w:p>
          <w:p w14:paraId="35A6129B" w14:textId="713550CB" w:rsidR="00E969B9" w:rsidRPr="005812CB" w:rsidRDefault="00E969B9" w:rsidP="00E969B9">
            <w:pPr>
              <w:pStyle w:val="Tabletext"/>
              <w:jc w:val="center"/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</w:pPr>
            <w:r w:rsidRPr="005812CB"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  <w:t>701.20</w:t>
            </w:r>
          </w:p>
          <w:p w14:paraId="25696180" w14:textId="6A442243" w:rsidR="00E969B9" w:rsidRPr="005812CB" w:rsidRDefault="00E969B9" w:rsidP="00E969B9">
            <w:pPr>
              <w:pStyle w:val="Tabletext"/>
              <w:jc w:val="center"/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</w:pPr>
            <w:r w:rsidRPr="005812CB"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  <w:t>701.10</w:t>
            </w:r>
          </w:p>
          <w:p w14:paraId="6E4A0076" w14:textId="37DCCA64" w:rsidR="00E969B9" w:rsidRPr="005812CB" w:rsidRDefault="00E969B9" w:rsidP="00E969B9">
            <w:pPr>
              <w:pStyle w:val="Tabletext"/>
              <w:jc w:val="center"/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</w:pPr>
            <w:r w:rsidRPr="005812CB">
              <w:rPr>
                <w:rFonts w:asciiTheme="majorHAnsi" w:eastAsia="Arial Unicode MS" w:hAnsiTheme="majorHAnsi" w:cstheme="majorHAnsi"/>
                <w:bCs w:val="0"/>
                <w:szCs w:val="16"/>
                <w:lang w:val="en-US"/>
              </w:rPr>
              <w:t>IFC Drawings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083937C4" w14:textId="5EFAAB2C" w:rsidR="00E969B9" w:rsidRPr="005812CB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 xml:space="preserve">Lot shall be defined from pit to pit (or </w:t>
            </w:r>
            <w:proofErr w:type="spellStart"/>
            <w:r w:rsidRPr="005812CB">
              <w:rPr>
                <w:rFonts w:asciiTheme="majorHAnsi" w:hAnsiTheme="majorHAnsi" w:cstheme="majorHAnsi"/>
                <w:szCs w:val="16"/>
              </w:rPr>
              <w:t>endwall</w:t>
            </w:r>
            <w:proofErr w:type="spellEnd"/>
            <w:r w:rsidRPr="005812CB">
              <w:rPr>
                <w:rFonts w:asciiTheme="majorHAnsi" w:hAnsiTheme="majorHAnsi" w:cstheme="majorHAnsi"/>
                <w:szCs w:val="16"/>
              </w:rPr>
              <w:t>, where applicable).</w:t>
            </w:r>
          </w:p>
          <w:p w14:paraId="2D8D3FC4" w14:textId="77777777" w:rsidR="00E969B9" w:rsidRPr="005812CB" w:rsidRDefault="00E969B9" w:rsidP="00E969B9">
            <w:pPr>
              <w:pStyle w:val="Tabletext"/>
              <w:rPr>
                <w:rFonts w:eastAsia="Arial Unicode MS"/>
                <w:szCs w:val="16"/>
                <w:lang w:val="en-US"/>
              </w:rPr>
            </w:pPr>
          </w:p>
          <w:p w14:paraId="161D0B82" w14:textId="5F672AAB" w:rsidR="00E969B9" w:rsidRPr="005812CB" w:rsidRDefault="00B6306C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Do s</w:t>
            </w:r>
            <w:r w:rsidR="00C9411A" w:rsidRPr="00C9411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urvey boundaries clearly define the Underground Drainage Construction works</w:t>
            </w:r>
            <w:r w:rsidR="00C9411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?</w:t>
            </w:r>
            <w:r w:rsidR="00E969B9" w:rsidRPr="005812CB">
              <w:rPr>
                <w:b/>
                <w:bCs/>
                <w:sz w:val="16"/>
                <w:szCs w:val="16"/>
              </w:rPr>
              <w:t xml:space="preserve"> </w:t>
            </w:r>
          </w:p>
          <w:p w14:paraId="2800A914" w14:textId="579042BD" w:rsidR="00E969B9" w:rsidRPr="00B83F95" w:rsidRDefault="00A42645" w:rsidP="00E969B9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6321A2" w14:textId="4E78991A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20E14A0" w14:textId="4387CF0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13A109F" w14:textId="54603E0B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B9C7D14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D772F85" w14:textId="542E5AB3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66F78E" w14:textId="622E3B63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933CE30" w14:textId="3D4214C5" w:rsidR="00E969B9" w:rsidRPr="005812CB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E969B9" w:rsidRPr="00741190" w14:paraId="652698F7" w14:textId="77777777" w:rsidTr="004E2F4A">
        <w:trPr>
          <w:trHeight w:val="50"/>
        </w:trPr>
        <w:tc>
          <w:tcPr>
            <w:tcW w:w="243" w:type="pct"/>
            <w:shd w:val="clear" w:color="auto" w:fill="auto"/>
            <w:vAlign w:val="center"/>
          </w:tcPr>
          <w:p w14:paraId="43451BE4" w14:textId="04105728" w:rsidR="00E969B9" w:rsidRPr="004B6C8C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4D4BE0B4" w14:textId="60437C30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Acceptance of Box Culverts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8003A1F" w14:textId="77777777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619.22</w:t>
            </w:r>
          </w:p>
          <w:p w14:paraId="72F8424A" w14:textId="5BC27454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IFC Drawings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0C535292" w14:textId="77FCE9FA" w:rsidR="00927815" w:rsidRDefault="00B216A5" w:rsidP="0092781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Box Culvert free of defects and to drawing dimensions?</w:t>
            </w:r>
          </w:p>
          <w:p w14:paraId="7A7ABEA5" w14:textId="77777777" w:rsidR="00927815" w:rsidRDefault="00927815" w:rsidP="0092781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3913F61D" w14:textId="1D84E00C" w:rsidR="00A42645" w:rsidRPr="00B83F95" w:rsidRDefault="00927815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6306C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DD5794C" w14:textId="54B72191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19B2C62" w14:textId="7A9CBC64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90261EE" w14:textId="74A7DD8A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B738F06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B42AF6C" w14:textId="10628360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8509EB3" w14:textId="22A93476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5CD670A" w14:textId="2D5C579E" w:rsidR="00E969B9" w:rsidRPr="005812CB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  <w:p w14:paraId="37E4F20C" w14:textId="77777777" w:rsidR="00E969B9" w:rsidRPr="005812CB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E969B9" w:rsidRPr="00741190" w14:paraId="4FBC4DE4" w14:textId="77777777" w:rsidTr="004E2F4A">
        <w:trPr>
          <w:trHeight w:val="1136"/>
        </w:trPr>
        <w:tc>
          <w:tcPr>
            <w:tcW w:w="243" w:type="pct"/>
            <w:shd w:val="clear" w:color="auto" w:fill="auto"/>
            <w:vAlign w:val="center"/>
          </w:tcPr>
          <w:p w14:paraId="14E41BDC" w14:textId="44ABB717" w:rsidR="00E969B9" w:rsidRPr="004B6C8C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E0D8783" w14:textId="020EF4CC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Acceptance of Precast Reinforced Concrete/HDPE Pipes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3C44C5C4" w14:textId="05AF2A2A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701.05</w:t>
            </w:r>
          </w:p>
          <w:p w14:paraId="2BF14AC7" w14:textId="1F0687A1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701.05(e)</w:t>
            </w:r>
          </w:p>
          <w:p w14:paraId="38147618" w14:textId="1AFEA2A3" w:rsidR="004E2F4A" w:rsidRPr="004E2F4A" w:rsidRDefault="00E969B9" w:rsidP="004E2F4A">
            <w:pPr>
              <w:spacing w:before="6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701.31(</w:t>
            </w:r>
            <w:proofErr w:type="gramStart"/>
            <w:r w:rsidRPr="005812CB">
              <w:rPr>
                <w:sz w:val="16"/>
                <w:szCs w:val="16"/>
              </w:rPr>
              <w:t>a)</w:t>
            </w:r>
            <w:r w:rsidR="004E2F4A">
              <w:rPr>
                <w:sz w:val="16"/>
                <w:szCs w:val="16"/>
              </w:rPr>
              <w:t xml:space="preserve">   </w:t>
            </w:r>
            <w:proofErr w:type="gramEnd"/>
            <w:r w:rsidR="004E2F4A">
              <w:rPr>
                <w:sz w:val="16"/>
                <w:szCs w:val="16"/>
              </w:rPr>
              <w:t xml:space="preserve">    </w:t>
            </w:r>
            <w:r w:rsidR="004E2F4A" w:rsidRPr="005812CB">
              <w:rPr>
                <w:rFonts w:asciiTheme="majorHAnsi" w:eastAsia="Times New Roman" w:hAnsiTheme="majorHAnsi" w:cstheme="majorHAnsi"/>
                <w:bCs/>
                <w:sz w:val="16"/>
                <w:szCs w:val="16"/>
              </w:rPr>
              <w:t>IFC Drawing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02278B97" w14:textId="529EB2C1" w:rsidR="00826421" w:rsidRDefault="00826421" w:rsidP="0082642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Pipes</w:t>
            </w:r>
            <w:r w:rsidR="005942B3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free of defects and to drawing dimensions?</w:t>
            </w:r>
          </w:p>
          <w:p w14:paraId="4222D6A1" w14:textId="77777777" w:rsidR="00826421" w:rsidRDefault="00826421" w:rsidP="0082642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040357D4" w14:textId="5D41C598" w:rsidR="00A42645" w:rsidRPr="005942B3" w:rsidRDefault="00826421" w:rsidP="005942B3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B6306C">
              <w:rPr>
                <w:b/>
                <w:bCs w:val="0"/>
                <w:szCs w:val="16"/>
              </w:rPr>
              <w:t xml:space="preserve"> </w:t>
            </w: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F4D2314" w14:textId="5389294E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D477F8C" w14:textId="284DB021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AF4EA0F" w14:textId="6409EC6B" w:rsidR="00E969B9" w:rsidRPr="005812CB" w:rsidRDefault="00791F4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E969B9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0C4373E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287E752" w14:textId="678DBD9F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2C1E532" w14:textId="504E5122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3827B2D" w14:textId="77777777" w:rsidR="00E969B9" w:rsidRPr="005812CB" w:rsidRDefault="00E969B9" w:rsidP="00E969B9">
            <w:pPr>
              <w:pStyle w:val="Tabletext"/>
              <w:rPr>
                <w:b/>
                <w:bCs w:val="0"/>
                <w:szCs w:val="16"/>
              </w:rPr>
            </w:pPr>
          </w:p>
        </w:tc>
      </w:tr>
      <w:tr w:rsidR="002554CB" w:rsidRPr="00741190" w14:paraId="58716562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5D013F8" w14:textId="37A63C53" w:rsidR="002554CB" w:rsidRDefault="000D4A7C" w:rsidP="002554C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1.5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A9AE517" w14:textId="71EC4F08" w:rsidR="002554CB" w:rsidRPr="005812CB" w:rsidRDefault="002554CB" w:rsidP="002554CB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Acceptance of Precast Covers, Grates, Lids and 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0D9C4A9A" w14:textId="77777777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705.04</w:t>
            </w:r>
          </w:p>
          <w:p w14:paraId="3FE69B56" w14:textId="77777777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(a)(ii)</w:t>
            </w:r>
          </w:p>
          <w:p w14:paraId="0CE1FE39" w14:textId="77777777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 xml:space="preserve">705.04 </w:t>
            </w:r>
          </w:p>
          <w:p w14:paraId="54E28B3A" w14:textId="77777777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(d)</w:t>
            </w:r>
          </w:p>
          <w:p w14:paraId="12040498" w14:textId="77777777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705.07</w:t>
            </w:r>
          </w:p>
          <w:p w14:paraId="63536E95" w14:textId="3F30EA80" w:rsidR="002554CB" w:rsidRPr="005812CB" w:rsidRDefault="002554CB" w:rsidP="002554CB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IFC Drawings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7CDD6F8" w14:textId="4CB1E88D" w:rsidR="002554CB" w:rsidRPr="005812CB" w:rsidRDefault="002554CB" w:rsidP="002554C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 xml:space="preserve">Have proposed precast Covers, Grates, Lids and Pits been approved for use? </w:t>
            </w:r>
          </w:p>
          <w:p w14:paraId="12C6320F" w14:textId="42E7A316" w:rsidR="002554CB" w:rsidRPr="00A42645" w:rsidRDefault="00A42645" w:rsidP="002554C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87B1A73" w14:textId="56E3AFC2" w:rsidR="002554CB" w:rsidRPr="005812CB" w:rsidRDefault="002554CB" w:rsidP="002554C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 xml:space="preserve">Prior to start of works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5B2A60B" w14:textId="2CAE6B4F" w:rsidR="002554CB" w:rsidRPr="005812CB" w:rsidRDefault="002554CB" w:rsidP="002554C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1989591" w14:textId="14F145B7" w:rsidR="002554CB" w:rsidRPr="005812CB" w:rsidRDefault="00DB678F" w:rsidP="002554C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SE/</w:t>
            </w:r>
            <w:r w:rsidR="002554CB"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5AE9D8A" w14:textId="77777777" w:rsidR="002554CB" w:rsidRPr="005812CB" w:rsidRDefault="002554CB" w:rsidP="002554C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6DE8402" w14:textId="69D8FB9F" w:rsidR="002554CB" w:rsidRPr="005812CB" w:rsidRDefault="002554CB" w:rsidP="002554C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17B2881" w14:textId="374D4B8B" w:rsidR="002554CB" w:rsidRPr="005812CB" w:rsidRDefault="002554CB" w:rsidP="002554CB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CB4ABEE" w14:textId="2FF99738" w:rsidR="002554CB" w:rsidRPr="005812CB" w:rsidRDefault="002554CB" w:rsidP="002554CB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Shop Cards</w:t>
            </w:r>
          </w:p>
          <w:p w14:paraId="5CCDA64B" w14:textId="0120531F" w:rsidR="002554CB" w:rsidRPr="005812CB" w:rsidRDefault="002554CB" w:rsidP="002554C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 xml:space="preserve">Yes     </w:t>
            </w:r>
            <w:r w:rsidRPr="005812CB">
              <w:rPr>
                <w:rFonts w:cstheme="minorHAnsi"/>
                <w:b/>
                <w:bCs/>
                <w:sz w:val="16"/>
                <w:szCs w:val="16"/>
              </w:rPr>
              <w:t>□</w:t>
            </w:r>
            <w:r w:rsidRPr="005812CB">
              <w:rPr>
                <w:b/>
                <w:bCs/>
                <w:sz w:val="16"/>
                <w:szCs w:val="16"/>
              </w:rPr>
              <w:t xml:space="preserve">   No     </w:t>
            </w:r>
            <w:r w:rsidRPr="005812CB">
              <w:rPr>
                <w:rFonts w:ascii="Arial" w:hAnsi="Arial" w:cs="Arial"/>
                <w:b/>
                <w:bCs/>
                <w:sz w:val="16"/>
                <w:szCs w:val="16"/>
              </w:rPr>
              <w:t>□</w:t>
            </w:r>
            <w:r w:rsidRPr="005812CB">
              <w:rPr>
                <w:b/>
                <w:bCs/>
                <w:sz w:val="16"/>
                <w:szCs w:val="16"/>
              </w:rPr>
              <w:t xml:space="preserve">        </w:t>
            </w:r>
          </w:p>
        </w:tc>
      </w:tr>
      <w:tr w:rsidR="00E969B9" w:rsidRPr="00741190" w14:paraId="63FCDA04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6051293" w14:textId="602CAF6F" w:rsidR="00E969B9" w:rsidRPr="004B6C8C" w:rsidRDefault="00E969B9" w:rsidP="00E969B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0D4A7C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BA656B7" w14:textId="45808348" w:rsidR="00E969B9" w:rsidRPr="005812CB" w:rsidRDefault="00E969B9" w:rsidP="00E969B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Bedding and Backfill Materials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6E394D93" w14:textId="42A94313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VR Clause 701.09(e)</w:t>
            </w:r>
          </w:p>
          <w:p w14:paraId="2761FA3D" w14:textId="0EA2AFD4" w:rsidR="00E969B9" w:rsidRPr="005812CB" w:rsidRDefault="00E969B9" w:rsidP="00E969B9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Table 701.091</w:t>
            </w:r>
          </w:p>
          <w:p w14:paraId="07595EA2" w14:textId="15677305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Table 701.092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012304F2" w14:textId="1E8EBE46" w:rsidR="00E969B9" w:rsidRPr="005812CB" w:rsidRDefault="00E969B9" w:rsidP="00E969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526388D" w14:textId="77777777" w:rsidR="00E969B9" w:rsidRPr="005812CB" w:rsidRDefault="00E969B9" w:rsidP="00E969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3696AB9" w14:textId="77777777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material free from perishable matter and lumps?</w:t>
            </w:r>
          </w:p>
          <w:p w14:paraId="69040400" w14:textId="77777777" w:rsidR="00BD2FB4" w:rsidRPr="00A42645" w:rsidRDefault="00BD2FB4" w:rsidP="00BD2FB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3CFEA797" w14:textId="63754C4E" w:rsidR="00BD2FB4" w:rsidRDefault="00BD2FB4" w:rsidP="00E969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BC83CDA" w14:textId="49997FA0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Does the material comply with Table 701.091 &amp; Table 701.092 below? Has the material been approved for use?</w:t>
            </w:r>
          </w:p>
          <w:p w14:paraId="4BD37839" w14:textId="77777777" w:rsidR="00BD2FB4" w:rsidRPr="00BD2FB4" w:rsidRDefault="00BD2FB4" w:rsidP="00BD2FB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25FD26DA" w14:textId="77777777" w:rsidR="00BD2FB4" w:rsidRDefault="00BD2FB4" w:rsidP="00E969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969D7F3" w14:textId="77777777" w:rsidR="00E969B9" w:rsidRDefault="00E969B9" w:rsidP="00BD2FB4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5812CB">
              <w:rPr>
                <w:noProof/>
                <w:sz w:val="16"/>
                <w:szCs w:val="16"/>
              </w:rPr>
              <w:drawing>
                <wp:inline distT="0" distB="0" distL="0" distR="0" wp14:anchorId="133E1A3D" wp14:editId="53AF41AC">
                  <wp:extent cx="2116363" cy="1871932"/>
                  <wp:effectExtent l="0" t="0" r="0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43" cy="190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03084" w14:textId="4C5D1134" w:rsidR="00BD2FB4" w:rsidRPr="00BD2FB4" w:rsidRDefault="00BD2FB4" w:rsidP="00BD2FB4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8A1EC40" w14:textId="6DFD370A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6F14B36" w14:textId="49402EB9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1DF290B" w14:textId="32105EBE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93636FA" w14:textId="77777777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FE80690" w14:textId="3B05D4BA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350A8D0" w14:textId="2B57F3C8" w:rsidR="00E969B9" w:rsidRPr="005812CB" w:rsidRDefault="00E969B9" w:rsidP="00E969B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66AEA908" w14:textId="5D6054EA" w:rsidR="00E969B9" w:rsidRPr="005812CB" w:rsidRDefault="00E969B9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rFonts w:asciiTheme="majorHAnsi" w:hAnsiTheme="majorHAnsi" w:cstheme="majorHAnsi"/>
                <w:szCs w:val="16"/>
              </w:rPr>
              <w:t>Bedding and Backfill Material Conformance</w:t>
            </w:r>
          </w:p>
          <w:p w14:paraId="28691FFC" w14:textId="5F669A6B" w:rsidR="00E969B9" w:rsidRPr="005812CB" w:rsidRDefault="00BD2FB4" w:rsidP="00E969B9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5812CB">
              <w:rPr>
                <w:b/>
                <w:szCs w:val="16"/>
              </w:rPr>
              <w:t xml:space="preserve">Yes     </w:t>
            </w:r>
            <w:r w:rsidRPr="005812CB">
              <w:rPr>
                <w:rFonts w:cstheme="minorHAnsi"/>
                <w:b/>
                <w:szCs w:val="16"/>
              </w:rPr>
              <w:t>□</w:t>
            </w:r>
            <w:r w:rsidRPr="005812CB">
              <w:rPr>
                <w:b/>
                <w:szCs w:val="16"/>
              </w:rPr>
              <w:t xml:space="preserve">   No     </w:t>
            </w:r>
            <w:r w:rsidRPr="005812CB">
              <w:rPr>
                <w:rFonts w:ascii="Arial" w:hAnsi="Arial" w:cs="Arial"/>
                <w:b/>
                <w:szCs w:val="16"/>
              </w:rPr>
              <w:t>□</w:t>
            </w:r>
            <w:r w:rsidRPr="005812CB">
              <w:rPr>
                <w:b/>
                <w:szCs w:val="16"/>
              </w:rPr>
              <w:t xml:space="preserve">        </w:t>
            </w:r>
          </w:p>
        </w:tc>
      </w:tr>
      <w:tr w:rsidR="00F92D53" w:rsidRPr="00741190" w14:paraId="0E560B1A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7642B1F" w14:textId="50DFE1E9" w:rsidR="00F92D53" w:rsidRDefault="000D4A7C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1.7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18D7255F" w14:textId="4DF54127" w:rsidR="00F92D53" w:rsidRPr="005812CB" w:rsidRDefault="00F92D53" w:rsidP="00F92D5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Pipe</w:t>
            </w:r>
            <w:r w:rsidR="00FC1AC4" w:rsidRPr="005812CB">
              <w:rPr>
                <w:rFonts w:asciiTheme="majorHAnsi" w:hAnsiTheme="majorHAnsi" w:cstheme="majorHAnsi"/>
                <w:sz w:val="16"/>
                <w:szCs w:val="16"/>
              </w:rPr>
              <w:t>/Box Culver</w:t>
            </w:r>
            <w:r w:rsidR="00957810">
              <w:rPr>
                <w:rFonts w:asciiTheme="majorHAnsi" w:hAnsiTheme="majorHAnsi" w:cstheme="majorHAnsi"/>
                <w:sz w:val="16"/>
                <w:szCs w:val="16"/>
              </w:rPr>
              <w:t>/PIT</w:t>
            </w:r>
            <w:r w:rsidR="00FC1AC4" w:rsidRPr="005812CB">
              <w:rPr>
                <w:rFonts w:asciiTheme="majorHAnsi" w:hAnsiTheme="majorHAnsi" w:cstheme="majorHAnsi"/>
                <w:sz w:val="16"/>
                <w:szCs w:val="16"/>
              </w:rPr>
              <w:t xml:space="preserve"> Size </w:t>
            </w:r>
            <w:r w:rsidR="0047229A" w:rsidRPr="005812CB">
              <w:rPr>
                <w:rFonts w:asciiTheme="majorHAnsi" w:hAnsiTheme="majorHAnsi" w:cstheme="majorHAnsi"/>
                <w:sz w:val="16"/>
                <w:szCs w:val="16"/>
              </w:rPr>
              <w:t>&amp;</w:t>
            </w:r>
            <w:r w:rsidR="00FC1AC4" w:rsidRPr="005812CB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47229A" w:rsidRPr="005812CB">
              <w:rPr>
                <w:rFonts w:asciiTheme="majorHAnsi" w:hAnsiTheme="majorHAnsi" w:cstheme="majorHAnsi"/>
                <w:sz w:val="16"/>
                <w:szCs w:val="16"/>
              </w:rPr>
              <w:t>Class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0C17093" w14:textId="77777777" w:rsidR="00F92D53" w:rsidRPr="005812CB" w:rsidRDefault="00F92D53" w:rsidP="00F92D53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</w:p>
        </w:tc>
        <w:tc>
          <w:tcPr>
            <w:tcW w:w="1412" w:type="pct"/>
            <w:shd w:val="clear" w:color="auto" w:fill="auto"/>
            <w:vAlign w:val="center"/>
          </w:tcPr>
          <w:p w14:paraId="3678B442" w14:textId="25275B5C" w:rsidR="0047229A" w:rsidRPr="005812CB" w:rsidRDefault="00FC1AC4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  <w:p w14:paraId="4B45C936" w14:textId="254F6E15" w:rsidR="00F92D53" w:rsidRPr="005812CB" w:rsidRDefault="00FC1AC4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 xml:space="preserve">SIZE </w:t>
            </w:r>
            <w:r w:rsidR="00F92D53" w:rsidRPr="005812CB">
              <w:rPr>
                <w:rFonts w:asciiTheme="majorHAnsi" w:hAnsiTheme="majorHAnsi" w:cstheme="majorHAnsi"/>
                <w:sz w:val="16"/>
                <w:szCs w:val="16"/>
              </w:rPr>
              <w:t>=</w:t>
            </w:r>
            <w:r w:rsidR="00FD0BFE" w:rsidRPr="005812CB">
              <w:rPr>
                <w:rFonts w:asciiTheme="majorHAnsi" w:hAnsiTheme="majorHAnsi" w:cstheme="majorHAnsi"/>
                <w:sz w:val="16"/>
                <w:szCs w:val="16"/>
              </w:rPr>
              <w:t>……………</w:t>
            </w: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………</w:t>
            </w:r>
          </w:p>
          <w:p w14:paraId="215FC3AA" w14:textId="77777777" w:rsidR="005851B9" w:rsidRPr="005812CB" w:rsidRDefault="005851B9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AC44D4F" w14:textId="77777777" w:rsidR="00F92D53" w:rsidRDefault="005851B9" w:rsidP="005851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CLASS</w:t>
            </w:r>
            <w:r w:rsidR="00FC1AC4" w:rsidRPr="005812CB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5812CB">
              <w:rPr>
                <w:rFonts w:asciiTheme="majorHAnsi" w:hAnsiTheme="majorHAnsi" w:cstheme="majorHAnsi"/>
                <w:sz w:val="16"/>
                <w:szCs w:val="16"/>
              </w:rPr>
              <w:t>=…………………</w:t>
            </w:r>
          </w:p>
          <w:p w14:paraId="37D6B514" w14:textId="77777777" w:rsidR="00487215" w:rsidRDefault="00487215" w:rsidP="0048721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DIA= 150 / 225 / 300 / 375 / 450 / 525 / 1050.</w:t>
            </w:r>
          </w:p>
          <w:p w14:paraId="49FC825E" w14:textId="0F26F8CE" w:rsidR="00C168F8" w:rsidRDefault="00C168F8" w:rsidP="00C168F8">
            <w:pPr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REF=___________________</w:t>
            </w:r>
          </w:p>
          <w:p w14:paraId="76B9E92C" w14:textId="7E6991A4" w:rsidR="00C168F8" w:rsidRDefault="00C168F8" w:rsidP="00C168F8">
            <w:pPr>
              <w:ind w:left="28"/>
              <w:rPr>
                <w:rFonts w:ascii="Arial" w:hAnsi="Arial" w:cs="Arial"/>
                <w:sz w:val="16"/>
                <w:szCs w:val="16"/>
              </w:rPr>
            </w:pPr>
            <w:r w:rsidRPr="00864774">
              <w:rPr>
                <w:rFonts w:ascii="Arial" w:hAnsi="Arial" w:cs="Arial"/>
                <w:sz w:val="16"/>
                <w:szCs w:val="16"/>
              </w:rPr>
              <w:t>PIT REF=</w:t>
            </w:r>
            <w:r>
              <w:rPr>
                <w:rFonts w:ascii="Arial" w:hAnsi="Arial" w:cs="Arial"/>
                <w:sz w:val="16"/>
                <w:szCs w:val="16"/>
              </w:rPr>
              <w:t>___________________</w:t>
            </w:r>
          </w:p>
          <w:p w14:paraId="55332BCD" w14:textId="77777777" w:rsidR="00C168F8" w:rsidRDefault="00C168F8" w:rsidP="00C168F8">
            <w:pPr>
              <w:ind w:left="28"/>
              <w:rPr>
                <w:rFonts w:ascii="Arial" w:hAnsi="Arial" w:cs="Arial"/>
                <w:sz w:val="16"/>
                <w:szCs w:val="16"/>
              </w:rPr>
            </w:pPr>
            <w:r w:rsidRPr="00864774">
              <w:rPr>
                <w:rFonts w:ascii="Arial" w:hAnsi="Arial" w:cs="Arial"/>
                <w:sz w:val="16"/>
                <w:szCs w:val="16"/>
              </w:rPr>
              <w:t>PIT REF=</w:t>
            </w:r>
            <w:r>
              <w:rPr>
                <w:rFonts w:ascii="Arial" w:hAnsi="Arial" w:cs="Arial"/>
                <w:sz w:val="16"/>
                <w:szCs w:val="16"/>
              </w:rPr>
              <w:t>___________________</w:t>
            </w:r>
          </w:p>
          <w:p w14:paraId="680880AE" w14:textId="5DCE9F5B" w:rsidR="00487215" w:rsidRPr="005812CB" w:rsidRDefault="00487215" w:rsidP="005851B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5FDCA9DA" w14:textId="77777777" w:rsidR="00F92D53" w:rsidRPr="005812CB" w:rsidRDefault="00F92D53" w:rsidP="00F92D53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93D85C7" w14:textId="2F6D0CE1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841F2B8" w14:textId="0593D0CF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5094500" w14:textId="12BE4A1A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5812CB"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FA8E7C4" w14:textId="77777777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DD03114" w14:textId="77777777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6F7B52A" w14:textId="77777777" w:rsidR="00F92D53" w:rsidRPr="005812CB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7EDF17C" w14:textId="77777777" w:rsidR="00F92D53" w:rsidRPr="005812CB" w:rsidRDefault="00F92D53" w:rsidP="00F92D53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FE0DB7" w:rsidRPr="00741190" w14:paraId="5BA61328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322557A" w14:textId="7B11B613" w:rsidR="00FE0DB7" w:rsidRDefault="00FE0DB7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1.8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736076E" w14:textId="3277CD81" w:rsidR="00FE0DB7" w:rsidRPr="005812CB" w:rsidRDefault="00340833" w:rsidP="00F92D53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33">
              <w:rPr>
                <w:rFonts w:asciiTheme="majorHAnsi" w:hAnsiTheme="majorHAnsi" w:cstheme="majorHAnsi"/>
                <w:sz w:val="16"/>
                <w:szCs w:val="16"/>
              </w:rPr>
              <w:t>Stage/Zone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EC7E632" w14:textId="6AFB1895" w:rsidR="00FE0DB7" w:rsidRPr="005812CB" w:rsidRDefault="007351D2" w:rsidP="00F92D53">
            <w:pPr>
              <w:pStyle w:val="Tabletext"/>
              <w:jc w:val="center"/>
              <w:rPr>
                <w:rFonts w:asciiTheme="majorHAnsi" w:hAnsiTheme="majorHAnsi" w:cstheme="majorHAnsi"/>
                <w:szCs w:val="16"/>
              </w:rPr>
            </w:pPr>
            <w:r w:rsidRPr="007351D2">
              <w:rPr>
                <w:rFonts w:asciiTheme="majorHAnsi" w:hAnsiTheme="majorHAnsi" w:cstheme="majorHAnsi"/>
                <w:szCs w:val="16"/>
              </w:rPr>
              <w:t>Site Layout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F838EC0" w14:textId="77777777" w:rsidR="00FE0DB7" w:rsidRDefault="007F06B8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7F06B8">
              <w:rPr>
                <w:rFonts w:asciiTheme="majorHAnsi" w:hAnsiTheme="majorHAnsi" w:cstheme="majorHAnsi"/>
                <w:sz w:val="16"/>
                <w:szCs w:val="16"/>
              </w:rPr>
              <w:t>1A / 1B/ 1C/ 1D / 1E / 1F / 1G / 2A / 2B / 2C / 2D / 2E / 2F / 2G / 3A / 3B / 3C / 4A / 4B / 4C / 5A / 5B / 5D / 6A / 6B</w:t>
            </w:r>
          </w:p>
          <w:p w14:paraId="6E78F12B" w14:textId="77777777" w:rsidR="007F06B8" w:rsidRDefault="00DC6E08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DC6E08">
              <w:rPr>
                <w:rFonts w:asciiTheme="majorHAnsi" w:hAnsiTheme="majorHAnsi" w:cstheme="majorHAnsi"/>
                <w:sz w:val="16"/>
                <w:szCs w:val="16"/>
              </w:rPr>
              <w:t>Stage___________</w:t>
            </w:r>
          </w:p>
          <w:p w14:paraId="75D6E0D4" w14:textId="65D9C574" w:rsidR="00DC6E08" w:rsidRPr="005812CB" w:rsidRDefault="00DC6E08" w:rsidP="00FD0BFE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0899BD96" w14:textId="77777777" w:rsidR="00DC6E08" w:rsidRPr="00DC6E08" w:rsidRDefault="00DC6E08" w:rsidP="00DC6E0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F7C2EF5" w14:textId="0D0AD2B3" w:rsidR="00FE0DB7" w:rsidRPr="005812CB" w:rsidRDefault="00DC6E08" w:rsidP="00DC6E0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A225647" w14:textId="5D595EBB" w:rsidR="00FE0DB7" w:rsidRPr="005812CB" w:rsidRDefault="00DC6E08" w:rsidP="00F92D5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254C380" w14:textId="71A0A732" w:rsidR="00FE0DB7" w:rsidRPr="005812CB" w:rsidRDefault="00DC6E08" w:rsidP="00F92D5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8DCD9F2" w14:textId="77777777" w:rsidR="00FE0DB7" w:rsidRPr="005812CB" w:rsidRDefault="00FE0DB7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BA1E796" w14:textId="7200F88D" w:rsidR="00FE0DB7" w:rsidRPr="005812CB" w:rsidRDefault="00ED3FFB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IR(R)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D3E5B0D" w14:textId="77777777" w:rsidR="00FE0DB7" w:rsidRPr="005812CB" w:rsidRDefault="00FE0DB7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C3801B4" w14:textId="77777777" w:rsidR="00FE0DB7" w:rsidRPr="005812CB" w:rsidRDefault="00FE0DB7" w:rsidP="00F92D53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F92D53" w:rsidRPr="003C1E57" w14:paraId="1733DE2D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1F68EC09" w14:textId="055C4757" w:rsidR="00F92D53" w:rsidRPr="003C1E57" w:rsidRDefault="00F92D53" w:rsidP="00F92D5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2.0 Excavation</w:t>
            </w:r>
          </w:p>
        </w:tc>
      </w:tr>
      <w:tr w:rsidR="00F92D53" w:rsidRPr="00741190" w14:paraId="4C418412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AAC008C" w14:textId="67EE0F45" w:rsidR="00F92D53" w:rsidRPr="004B6C8C" w:rsidRDefault="00F92D53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39DBCF3" w14:textId="2968E067" w:rsidR="00F92D53" w:rsidRPr="00D340C6" w:rsidRDefault="00F92D53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Excavation of Trench </w:t>
            </w:r>
            <w:r w:rsidR="00660491">
              <w:rPr>
                <w:rFonts w:asciiTheme="majorHAnsi" w:hAnsiTheme="majorHAnsi" w:cstheme="majorHAnsi"/>
                <w:sz w:val="14"/>
                <w:szCs w:val="14"/>
              </w:rPr>
              <w:t>Pipes/Culverts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B276A09" w14:textId="1AA25805" w:rsidR="00F92D53" w:rsidRDefault="00F92D53" w:rsidP="00F92D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701.15</w:t>
            </w:r>
          </w:p>
          <w:p w14:paraId="121BC6A5" w14:textId="1E23A535" w:rsidR="00F92D53" w:rsidRDefault="00F92D53" w:rsidP="00F92D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Table 701.151</w:t>
            </w:r>
          </w:p>
          <w:p w14:paraId="4EA06695" w14:textId="77777777" w:rsidR="00F92D53" w:rsidRDefault="00F92D53" w:rsidP="00F92D53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701.08</w:t>
            </w:r>
          </w:p>
          <w:p w14:paraId="556671B2" w14:textId="41409F0D" w:rsidR="00F92D53" w:rsidRPr="00D340C6" w:rsidRDefault="00F92D53" w:rsidP="00F92D5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12" w:type="pct"/>
            <w:shd w:val="clear" w:color="auto" w:fill="auto"/>
            <w:vAlign w:val="center"/>
          </w:tcPr>
          <w:p w14:paraId="7E3379EE" w14:textId="5C8E59DF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trench clearance width between 300mm to 600mm?</w:t>
            </w:r>
          </w:p>
          <w:p w14:paraId="5C1A9C9F" w14:textId="1F8EFDC2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78F7AD46" w14:textId="77777777" w:rsidR="00BD2FB4" w:rsidRPr="00BD2FB4" w:rsidRDefault="00BD2FB4" w:rsidP="00BD2FB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4BA9B76B" w14:textId="48EE69B3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7D59CC18" w14:textId="77777777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2EAF8C5E" w14:textId="77777777" w:rsidR="00F92D53" w:rsidRDefault="00BD2FB4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6E71F7" wp14:editId="19188CCF">
                  <wp:extent cx="2518913" cy="1052195"/>
                  <wp:effectExtent l="0" t="0" r="0" b="0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411" cy="114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796D4" w14:textId="5FFCACA8" w:rsidR="00BD2FB4" w:rsidRDefault="00BD2FB4" w:rsidP="00BD2FB4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Is the excavation at a sufficient depth for pipe/box culvert bedding?</w:t>
            </w:r>
          </w:p>
          <w:p w14:paraId="56249513" w14:textId="7B78900E" w:rsidR="00BD2FB4" w:rsidRPr="00BD2FB4" w:rsidRDefault="00BD2FB4" w:rsidP="00F92D5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 w:rsidRPr="00D0633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        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DCADABC" w14:textId="77777777" w:rsidR="00F92D53" w:rsidRDefault="00F92D53" w:rsidP="00F92D53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5477EAD1" w14:textId="4A363FC7" w:rsidR="00F92D53" w:rsidRPr="004B6C8C" w:rsidRDefault="00F92D53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77849DE" w14:textId="2D4678AE" w:rsidR="00F92D53" w:rsidRPr="004B6C8C" w:rsidRDefault="00F92D53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CB67960" w14:textId="5775D61D" w:rsidR="00F92D53" w:rsidRPr="004B6C8C" w:rsidRDefault="00F92D53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F5B4CC2" w14:textId="77777777" w:rsidR="00F92D53" w:rsidRPr="00741190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F11E8F3" w14:textId="77777777" w:rsidR="00F92D53" w:rsidRPr="00DA137D" w:rsidRDefault="00F92D53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  <w:p w14:paraId="35F33F73" w14:textId="77777777" w:rsidR="00280156" w:rsidRPr="00DA137D" w:rsidRDefault="00280156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01FA8453" w14:textId="10313332" w:rsidR="00F92D53" w:rsidRPr="00DA137D" w:rsidRDefault="00280156" w:rsidP="00F92D53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 w:rsidR="00251B39"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  <w:p w14:paraId="6C9CBC77" w14:textId="288AB099" w:rsidR="00F92D53" w:rsidRPr="002D1DF0" w:rsidRDefault="00F92D53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3F70329" w14:textId="24FD0705" w:rsidR="00F92D53" w:rsidRPr="002D1DF0" w:rsidRDefault="00F92D53" w:rsidP="00F92D53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6412552" w14:textId="5A5B7818" w:rsidR="00F92D53" w:rsidRPr="00741190" w:rsidRDefault="00F92D53" w:rsidP="00F92D5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137D" w:rsidRPr="00741190" w14:paraId="30B93D32" w14:textId="77777777" w:rsidTr="005C10AF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CA795D1" w14:textId="77950F15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42B57A2" w14:textId="65172243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Excavation for 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2DCD9A20" w14:textId="438A5988" w:rsidR="00DA137D" w:rsidRDefault="00DA137D" w:rsidP="00DA137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705.05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7090EA0" w14:textId="20A8B464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pit excavation not less than 400mm from external pit wall to side of excavation?</w:t>
            </w:r>
          </w:p>
          <w:p w14:paraId="7182DC2D" w14:textId="77777777" w:rsidR="00DA137D" w:rsidRPr="00BD2FB4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3C067F13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3326207" w14:textId="460FB995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Is the excavation at a sufficient depth for pit bedding?</w:t>
            </w:r>
          </w:p>
          <w:p w14:paraId="439E80E9" w14:textId="575C8CC8" w:rsidR="00DA137D" w:rsidRPr="00BD2FB4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 w:rsidRPr="00D0633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 xml:space="preserve">        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shd w:val="clear" w:color="auto" w:fill="auto"/>
          </w:tcPr>
          <w:p w14:paraId="5BF6C678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528CDB3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9681948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2C448D5" w14:textId="199E9D0D" w:rsidR="00DA137D" w:rsidRDefault="00DA137D" w:rsidP="00DA137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92" w:type="pct"/>
            <w:shd w:val="clear" w:color="auto" w:fill="auto"/>
          </w:tcPr>
          <w:p w14:paraId="74FBB08B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6B0C6DE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6CA34F2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F2AD338" w14:textId="465E2352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</w:tcPr>
          <w:p w14:paraId="247DE0ED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C2A994D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947D119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8F5DBE5" w14:textId="332D99C7" w:rsidR="00DA137D" w:rsidRPr="00EA0774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2B019DC9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47CBC05" w14:textId="77777777" w:rsidR="00251B39" w:rsidRPr="00DA137D" w:rsidRDefault="00251B39" w:rsidP="00251B3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6045CECD" w14:textId="77777777" w:rsidR="00251B39" w:rsidRPr="00DA137D" w:rsidRDefault="00251B39" w:rsidP="00251B3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  <w:p w14:paraId="780EE755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ECD945F" w14:textId="1A03135A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5FC20150" w14:textId="77777777" w:rsidR="00DA137D" w:rsidRPr="00741190" w:rsidRDefault="00DA137D" w:rsidP="00DA137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137D" w:rsidRPr="00741190" w14:paraId="121C1A6E" w14:textId="77777777" w:rsidTr="00A9655D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676E6B6D" w14:textId="3CC28698" w:rsidR="00DA137D" w:rsidRPr="00A9655D" w:rsidRDefault="00DA137D" w:rsidP="00DA137D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3.0 Bedding </w:t>
            </w:r>
          </w:p>
        </w:tc>
      </w:tr>
      <w:tr w:rsidR="00DA137D" w:rsidRPr="00741190" w14:paraId="2A5AA2FB" w14:textId="77777777" w:rsidTr="00406C1D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B2E9BAA" w14:textId="23EFFACF" w:rsidR="00DA137D" w:rsidRPr="004B6C8C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616C152" w14:textId="6B41CDFE" w:rsidR="00DA137D" w:rsidRPr="00D340C6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- Pipes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203243B" w14:textId="6FC0C38C" w:rsidR="00DA137D" w:rsidRPr="00D340C6" w:rsidRDefault="00DA137D" w:rsidP="00DA137D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>
              <w:rPr>
                <w:rFonts w:asciiTheme="majorHAnsi" w:hAnsiTheme="majorHAnsi" w:cstheme="majorHAnsi"/>
                <w:bCs/>
                <w:sz w:val="14"/>
                <w:szCs w:val="14"/>
              </w:rPr>
              <w:t>701.16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75C7F87" w14:textId="72245106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Pipe Diameter less than 1500mm? If so, has 100mm of bedding been placed?</w:t>
            </w:r>
          </w:p>
          <w:p w14:paraId="72953D20" w14:textId="77777777" w:rsidR="00DA137D" w:rsidRPr="00BD2FB4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3EF778EF" w14:textId="05A1CE63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B7772B3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BDBE90D" w14:textId="737F1956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Is the Pipe Diameter greater than 1500mm? If so, has 200mm of bedding been placed?</w:t>
            </w:r>
          </w:p>
          <w:p w14:paraId="5E886592" w14:textId="77777777" w:rsidR="00DA137D" w:rsidRPr="00BD2FB4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65662D12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D91C32C" w14:textId="68333D21" w:rsidR="00DA137D" w:rsidRPr="00BD2FB4" w:rsidRDefault="00DA137D" w:rsidP="00DA137D">
            <w:pPr>
              <w:spacing w:before="60"/>
              <w:rPr>
                <w:rFonts w:asciiTheme="majorHAnsi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(D = Pipe Diameter/Culvert Width).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6700D2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F963B9" w14:textId="56973FC5" w:rsidR="00DA137D" w:rsidRPr="004B6C8C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97389E5" w14:textId="74D658AA" w:rsidR="00DA137D" w:rsidRPr="004B6C8C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07E004B" w14:textId="489B854F" w:rsidR="00DA137D" w:rsidRPr="004B6C8C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</w:tcPr>
          <w:p w14:paraId="4CDDF884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D28AC95" w14:textId="77777777" w:rsidR="00DA137D" w:rsidRPr="002D1DF0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5B6BD21" w14:textId="77777777" w:rsidR="00251B39" w:rsidRPr="00DA137D" w:rsidRDefault="00251B39" w:rsidP="00251B3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4C71D3B4" w14:textId="69CE068A" w:rsidR="00DA137D" w:rsidRPr="00251B39" w:rsidRDefault="00251B39" w:rsidP="00251B3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  <w:p w14:paraId="7A93AD6D" w14:textId="12E8C83B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E7127C3" w14:textId="2709A72B" w:rsidR="00DA137D" w:rsidRPr="002D1DF0" w:rsidRDefault="00DA137D" w:rsidP="00DA137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260F0C61" w14:textId="77777777" w:rsidR="00DA137D" w:rsidRPr="00741190" w:rsidRDefault="00DA137D" w:rsidP="00DA137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137D" w:rsidRPr="00741190" w14:paraId="51AD7548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7DABF18" w14:textId="70ADCA76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DE1BA96" w14:textId="111B5BBC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- 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2EF357B2" w14:textId="77777777" w:rsidR="00DA137D" w:rsidRDefault="00DA137D" w:rsidP="00DA137D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705.05</w:t>
            </w:r>
          </w:p>
          <w:p w14:paraId="27BFCF2E" w14:textId="4FFDB9C9" w:rsidR="00DA137D" w:rsidRPr="00BD2FB4" w:rsidRDefault="00DA137D" w:rsidP="00DA137D">
            <w:pPr>
              <w:spacing w:before="60"/>
              <w:jc w:val="center"/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Cs/>
                <w:sz w:val="14"/>
                <w:szCs w:val="14"/>
              </w:rPr>
              <w:t>Table 701.091 &amp; 701.092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10B5E220" w14:textId="7777777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bedding been placed and compacted to a thickness not less than 80mm on clay foundation?</w:t>
            </w:r>
          </w:p>
          <w:p w14:paraId="02309827" w14:textId="6C4B915E" w:rsidR="00DA137D" w:rsidRPr="00BD2FB4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269D5845" w14:textId="58E54CA0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EF409CE" w14:textId="331C6D5F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bedding been placed and compacted to a thickness not less than 150mm on a rock foundation?</w:t>
            </w:r>
          </w:p>
          <w:p w14:paraId="047BE484" w14:textId="66C13DBE" w:rsidR="00DA137D" w:rsidRPr="00BD2FB4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FFA5666" w14:textId="579C1EED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1D1549B" w14:textId="1B5B3FAB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6A6473C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  <w:p w14:paraId="36A79813" w14:textId="77777777" w:rsidR="00DA137D" w:rsidRPr="00EA0774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5681DB9B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ADAD438" w14:textId="77777777" w:rsidR="00DA137D" w:rsidRPr="002D1DF0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1DFE9DE" w14:textId="77777777" w:rsidR="00251B39" w:rsidRPr="00DA137D" w:rsidRDefault="00251B39" w:rsidP="00251B3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361BDADE" w14:textId="77777777" w:rsidR="00251B39" w:rsidRPr="00251B39" w:rsidRDefault="00251B39" w:rsidP="00251B3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  <w:p w14:paraId="480C5524" w14:textId="7BF49AB4" w:rsidR="00DA137D" w:rsidRPr="00E67801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ED2A6D2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2569425" w14:textId="385ED6FE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407808C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A65C9B">
              <w:rPr>
                <w:rFonts w:asciiTheme="majorHAnsi" w:hAnsiTheme="majorHAnsi" w:cstheme="majorHAnsi"/>
                <w:sz w:val="14"/>
                <w:szCs w:val="14"/>
              </w:rPr>
              <w:t>Bedding and Backfill Material Conformance</w:t>
            </w:r>
          </w:p>
          <w:p w14:paraId="2EDB33BB" w14:textId="7777777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  <w:p w14:paraId="2A5C619B" w14:textId="77777777" w:rsidR="00DA137D" w:rsidRPr="00A65C9B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E7DF85A" w14:textId="77777777" w:rsidR="00DA137D" w:rsidRPr="00741190" w:rsidRDefault="00DA137D" w:rsidP="00DA137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137D" w:rsidRPr="00741190" w14:paraId="183E3E03" w14:textId="77777777" w:rsidTr="00FB3410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22B446F" w14:textId="7FECEF79" w:rsidR="00DA137D" w:rsidRPr="004B6C8C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00ED3A95" w14:textId="3E57F655" w:rsidR="00DA137D" w:rsidRPr="00D340C6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Material - Compaction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27ED1B1B" w14:textId="3ED20C44" w:rsidR="00DA137D" w:rsidRPr="00D340C6" w:rsidRDefault="00DA137D" w:rsidP="00DA137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701.20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750F1277" w14:textId="730486C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Has bedding been compacted to refusal?</w:t>
            </w:r>
          </w:p>
          <w:p w14:paraId="4E359E65" w14:textId="7002ABBF" w:rsidR="00DA137D" w:rsidRPr="004E2F4A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BB1D6B5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A0A67E2" w14:textId="7086E838" w:rsidR="00DA137D" w:rsidRPr="004B6C8C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4053DE" w14:textId="39348A3A" w:rsidR="00DA137D" w:rsidRPr="004B6C8C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ADE54C6" w14:textId="6D36D929" w:rsidR="00DA137D" w:rsidRPr="004B6C8C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</w:tcPr>
          <w:p w14:paraId="4E6703C6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36C5596" w14:textId="77777777" w:rsidR="00DA137D" w:rsidRPr="002D1DF0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7D834E6" w14:textId="77777777" w:rsidR="00251B39" w:rsidRPr="00DA137D" w:rsidRDefault="00251B39" w:rsidP="00251B3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7C723EFB" w14:textId="77777777" w:rsidR="00251B39" w:rsidRPr="00251B39" w:rsidRDefault="00251B39" w:rsidP="00251B39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  <w:p w14:paraId="6108A695" w14:textId="7618FE14" w:rsidR="00DA137D" w:rsidRPr="00251B39" w:rsidRDefault="00DA137D" w:rsidP="00251B3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3EB924C" w14:textId="296A94DC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1F58443B" w14:textId="54B41EDE" w:rsidR="00DA137D" w:rsidRPr="00A9655D" w:rsidRDefault="00DA137D" w:rsidP="00DA137D">
            <w:pPr>
              <w:pStyle w:val="SymalTableBody"/>
              <w:spacing w:before="20" w:after="20"/>
            </w:pPr>
          </w:p>
        </w:tc>
      </w:tr>
      <w:tr w:rsidR="00DA137D" w:rsidRPr="00741190" w14:paraId="4A8800FA" w14:textId="77777777" w:rsidTr="004B6C8C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</w:tcPr>
          <w:p w14:paraId="74D5D637" w14:textId="78DD7371" w:rsidR="00DA137D" w:rsidRPr="00A9655D" w:rsidRDefault="00DA137D" w:rsidP="00DA137D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</w:p>
        </w:tc>
      </w:tr>
      <w:tr w:rsidR="00DA137D" w:rsidRPr="00741190" w14:paraId="5459A568" w14:textId="77777777" w:rsidTr="002D1DF0">
        <w:trPr>
          <w:trHeight w:val="37"/>
        </w:trPr>
        <w:tc>
          <w:tcPr>
            <w:tcW w:w="243" w:type="pct"/>
            <w:shd w:val="clear" w:color="auto" w:fill="auto"/>
            <w:vAlign w:val="center"/>
          </w:tcPr>
          <w:p w14:paraId="5E9A608B" w14:textId="0FE0A883" w:rsidR="00DA137D" w:rsidRPr="004B6C8C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37699A6" w14:textId="426B6CA4" w:rsidR="00DA137D" w:rsidRPr="00D340C6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Laying of Pipes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095A9AD" w14:textId="77777777" w:rsidR="00DA137D" w:rsidRDefault="00DA137D" w:rsidP="00DA137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701.17 (a) </w:t>
            </w:r>
          </w:p>
          <w:p w14:paraId="57F15762" w14:textId="72A275D3" w:rsidR="00DA137D" w:rsidRPr="0077197C" w:rsidRDefault="00DA137D" w:rsidP="00DA137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lastRenderedPageBreak/>
              <w:t>701.17 (e)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00FFC3E3" w14:textId="1A571DF4" w:rsidR="00DA137D" w:rsidRPr="002D1DF0" w:rsidRDefault="00DA137D" w:rsidP="00DA137D">
            <w:pPr>
              <w:pStyle w:val="Tabletext"/>
              <w:jc w:val="both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2D1DF0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lastRenderedPageBreak/>
              <w:t>Are pipes being laid from downstream end?</w:t>
            </w:r>
          </w:p>
          <w:p w14:paraId="71D19C0B" w14:textId="410B3001" w:rsidR="00DA137D" w:rsidRDefault="00DA137D" w:rsidP="00DA137D">
            <w:pPr>
              <w:pStyle w:val="Tabletext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lastRenderedPageBreak/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66FB13B1" w14:textId="0464408E" w:rsidR="00DA137D" w:rsidRPr="002D1DF0" w:rsidRDefault="00DA137D" w:rsidP="00DA137D">
            <w:pPr>
              <w:pStyle w:val="Tabletext"/>
              <w:jc w:val="both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2D1DF0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Are socket ends of pipes being placed facing upstream and fully entered?</w:t>
            </w:r>
          </w:p>
          <w:p w14:paraId="46D1501C" w14:textId="653D73F2" w:rsidR="00DA137D" w:rsidRDefault="00DA137D" w:rsidP="00DA137D">
            <w:pPr>
              <w:pStyle w:val="Tabletext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1D6D5FC5" w14:textId="5359277E" w:rsidR="00DA137D" w:rsidRPr="002D1DF0" w:rsidRDefault="00DA137D" w:rsidP="00DA137D">
            <w:pPr>
              <w:pStyle w:val="Tabletext"/>
              <w:jc w:val="both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2D1DF0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Is the pipe in full contact with the bedding for the full length of each section?</w:t>
            </w:r>
          </w:p>
          <w:p w14:paraId="5FCCB6C1" w14:textId="77777777" w:rsidR="00DA137D" w:rsidRDefault="00DA137D" w:rsidP="00DA137D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60B241E3" w14:textId="7374B83B" w:rsidR="00DA137D" w:rsidRPr="002D1DF0" w:rsidRDefault="00DA137D" w:rsidP="00DA137D">
            <w:pPr>
              <w:pStyle w:val="Tabletext"/>
              <w:jc w:val="both"/>
              <w:rPr>
                <w:rFonts w:asciiTheme="majorHAnsi" w:hAnsiTheme="majorHAnsi" w:cstheme="majorHAnsi"/>
                <w:sz w:val="14"/>
                <w:szCs w:val="14"/>
              </w:rPr>
            </w:pPr>
            <w:r w:rsidRPr="0075789F">
              <w:rPr>
                <w:rFonts w:asciiTheme="majorHAnsi" w:hAnsiTheme="majorHAnsi" w:cstheme="majorHAnsi"/>
                <w:sz w:val="14"/>
                <w:szCs w:val="14"/>
              </w:rPr>
              <w:t>The compacted bedding shall be shaped to accommodate the joint collar and ensure that the pipe is supported along its full length.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A9A40BD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19681E6" w14:textId="2AB25187" w:rsidR="00DA137D" w:rsidRPr="00D340C6" w:rsidRDefault="00DA137D" w:rsidP="00DA137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60225A0" w14:textId="77E7BBF4" w:rsidR="00DA137D" w:rsidRPr="00D340C6" w:rsidRDefault="00DA137D" w:rsidP="00DA137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6A597E" w14:textId="0D855EF0" w:rsidR="00DA137D" w:rsidRPr="00D340C6" w:rsidRDefault="00DA137D" w:rsidP="00DA137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PE</w:t>
            </w:r>
          </w:p>
        </w:tc>
        <w:tc>
          <w:tcPr>
            <w:tcW w:w="245" w:type="pct"/>
            <w:shd w:val="clear" w:color="auto" w:fill="auto"/>
          </w:tcPr>
          <w:p w14:paraId="49F8260B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FE7220F" w14:textId="77777777" w:rsidR="002523AD" w:rsidRPr="00DA137D" w:rsidRDefault="002523AD" w:rsidP="002523A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31125312" w14:textId="77777777" w:rsidR="002523AD" w:rsidRPr="00251B39" w:rsidRDefault="002523AD" w:rsidP="002523A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  <w:p w14:paraId="71A57634" w14:textId="45E724CF" w:rsidR="00DA137D" w:rsidRPr="00E67801" w:rsidRDefault="00DA137D" w:rsidP="002523A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FD843B8" w14:textId="58821F3F" w:rsidR="00DA137D" w:rsidRPr="00F74CA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6AACDE0" w14:textId="62A2A6BE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51A8D0A8" w14:textId="77777777" w:rsidR="00DA137D" w:rsidRPr="00741190" w:rsidRDefault="00DA137D" w:rsidP="00DA137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137D" w:rsidRPr="00741190" w14:paraId="6100924A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97CAEA4" w14:textId="78B4114E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F44B0C1" w14:textId="5E7155A8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Installation of 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3CEFF429" w14:textId="77777777" w:rsidR="00DA137D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705.07</w:t>
            </w:r>
          </w:p>
          <w:p w14:paraId="5C769279" w14:textId="77777777" w:rsidR="00DA137D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705.08</w:t>
            </w:r>
          </w:p>
          <w:p w14:paraId="4BDE1408" w14:textId="77777777" w:rsidR="00DA137D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705.09</w:t>
            </w:r>
          </w:p>
          <w:p w14:paraId="21B35C36" w14:textId="77777777" w:rsidR="00DA137D" w:rsidRPr="00E00256" w:rsidRDefault="00DA137D" w:rsidP="00DA137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705.11</w:t>
            </w:r>
          </w:p>
          <w:p w14:paraId="493DBA99" w14:textId="77777777" w:rsidR="00DA137D" w:rsidRDefault="00DA137D" w:rsidP="00DA137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412" w:type="pct"/>
            <w:shd w:val="clear" w:color="auto" w:fill="auto"/>
            <w:vAlign w:val="center"/>
          </w:tcPr>
          <w:p w14:paraId="78E54D45" w14:textId="25527C2D" w:rsidR="00DA137D" w:rsidRPr="002D1DF0" w:rsidRDefault="00DA137D" w:rsidP="00DA137D">
            <w:pPr>
              <w:pStyle w:val="Tabletext"/>
              <w:jc w:val="both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2D1DF0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Have pre-cast pits been installed at the correct location and to the dimensions shown on the drawings?</w:t>
            </w:r>
          </w:p>
          <w:p w14:paraId="41BAA9DB" w14:textId="77777777" w:rsidR="00DA137D" w:rsidRDefault="00DA137D" w:rsidP="00DA137D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640B0C9E" w14:textId="77777777" w:rsidR="00DA137D" w:rsidRDefault="00DA137D" w:rsidP="00DA137D">
            <w:pPr>
              <w:spacing w:before="160"/>
              <w:rPr>
                <w:rFonts w:asciiTheme="majorHAnsi" w:eastAsia="Times New Roman" w:hAnsiTheme="majorHAnsi" w:cstheme="majorHAnsi"/>
                <w:b/>
                <w:sz w:val="14"/>
                <w:szCs w:val="14"/>
              </w:rPr>
            </w:pPr>
            <w:r>
              <w:rPr>
                <w:rFonts w:asciiTheme="majorHAnsi" w:eastAsia="Times New Roman" w:hAnsiTheme="majorHAnsi" w:cstheme="majorHAnsi"/>
                <w:b/>
                <w:sz w:val="14"/>
                <w:szCs w:val="14"/>
              </w:rPr>
              <w:t>Have subsurface drainage connections been cored at appropriate dimensions?</w:t>
            </w:r>
          </w:p>
          <w:p w14:paraId="602C5B4B" w14:textId="5F8ADC56" w:rsidR="00DA137D" w:rsidRPr="002D1DF0" w:rsidRDefault="00DA137D" w:rsidP="00DA137D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</w:tcPr>
          <w:p w14:paraId="0D99DEFD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0C41F6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84B6117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ED8B0AF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9FEF0AE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4642B83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1E61470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0B732AD" w14:textId="12AAC9FB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92" w:type="pct"/>
            <w:shd w:val="clear" w:color="auto" w:fill="auto"/>
          </w:tcPr>
          <w:p w14:paraId="3D136BFD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D229F87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44ED6FC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F9A4C52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D6EF0A1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41240A9" w14:textId="092321E3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3D7B4DE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F1FD5F0" w14:textId="4FE11659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</w:tcPr>
          <w:p w14:paraId="4DEB5D3C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964B6E3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7C9187B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8BCDD62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085C302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696E55C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5E9FF1F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35F2FC7" w14:textId="4CED161D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25B8CC19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7EC82AAC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44A8D1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322C563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50D2B6E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F62A961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708A8E7" w14:textId="77777777" w:rsidR="00456E7D" w:rsidRPr="00DA137D" w:rsidRDefault="00456E7D" w:rsidP="00456E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2244AEBD" w14:textId="77777777" w:rsidR="00456E7D" w:rsidRPr="00251B39" w:rsidRDefault="00456E7D" w:rsidP="00456E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  <w:p w14:paraId="3D7A96A7" w14:textId="0547D27D" w:rsidR="00456E7D" w:rsidRPr="00A9655D" w:rsidRDefault="00456E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</w:tcPr>
          <w:p w14:paraId="22F247A8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3E7625CF" w14:textId="77777777" w:rsidR="00DA137D" w:rsidRPr="00A65C9B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A0AB6B5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59556C8" w14:textId="553980B0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A65C9B">
              <w:rPr>
                <w:rFonts w:asciiTheme="majorHAnsi" w:hAnsiTheme="majorHAnsi" w:cstheme="majorHAnsi"/>
                <w:sz w:val="14"/>
                <w:szCs w:val="14"/>
              </w:rPr>
              <w:t>Test results for fibres and fibre content (if applicable) (Compliance Certificate provided by Supplier)</w:t>
            </w:r>
          </w:p>
          <w:p w14:paraId="5D2F15AA" w14:textId="7777777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  <w:p w14:paraId="43B3BA58" w14:textId="77777777" w:rsidR="00DA137D" w:rsidRDefault="00DA137D" w:rsidP="00DA137D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DA137D" w:rsidRPr="00741190" w14:paraId="43CDE4BE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D56F963" w14:textId="7F0E6C92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CAA3609" w14:textId="4D238AB8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Step Iron Fitting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58E7E6C3" w14:textId="678D8E15" w:rsidR="00DA137D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705.12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C90A248" w14:textId="1FC30839" w:rsidR="00DA137D" w:rsidRDefault="00DA137D" w:rsidP="00DA137D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Have p</w:t>
            </w:r>
            <w:r w:rsidRPr="002D1DF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its greater than 1.0 meter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been fitted with step irons? </w:t>
            </w:r>
          </w:p>
          <w:p w14:paraId="1F31EAFF" w14:textId="5910FBB2" w:rsidR="00DA137D" w:rsidRDefault="00DA137D" w:rsidP="00DA137D">
            <w:pPr>
              <w:pStyle w:val="Tabletext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19E42F87" w14:textId="68F1C779" w:rsidR="00DA137D" w:rsidRPr="002D1DF0" w:rsidRDefault="00DA137D" w:rsidP="00DA137D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  <w:r w:rsidRPr="002D1DF0">
              <w:rPr>
                <w:rFonts w:asciiTheme="majorHAnsi" w:hAnsiTheme="majorHAnsi" w:cstheme="majorHAnsi"/>
                <w:sz w:val="14"/>
                <w:szCs w:val="14"/>
              </w:rPr>
              <w:t>Step irons shall not obstruct openings or be fitted to a wall which has openings.</w:t>
            </w:r>
          </w:p>
          <w:p w14:paraId="13AE7827" w14:textId="117F2347" w:rsidR="00DA137D" w:rsidRPr="002D1DF0" w:rsidRDefault="00DA137D" w:rsidP="00DA137D">
            <w:pPr>
              <w:pStyle w:val="Tabletext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r w:rsidRPr="002D1DF0"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>Have step Irons shall be installed in accordance with the manufacturer’s instructions and are an approved proprietary type?</w:t>
            </w:r>
          </w:p>
          <w:p w14:paraId="538CAB78" w14:textId="5B4854EA" w:rsidR="00DA137D" w:rsidRPr="005942B3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shd w:val="clear" w:color="auto" w:fill="auto"/>
          </w:tcPr>
          <w:p w14:paraId="08D92641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D9D3B1F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F1CDE1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E7424BA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8B1D44D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92A7AEB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DBA6742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318194E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69AF242" w14:textId="2E8FA65F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</w:tcPr>
          <w:p w14:paraId="57EE469A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B1775B5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E0B92F1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D1120DD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52674C2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F5A1257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D7E619B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4735485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14CBBC0" w14:textId="677E4AA8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</w:tcPr>
          <w:p w14:paraId="7302EEC9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28F9A77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A25B466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3869FD8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EAF05CD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7E4544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6341997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7C6B888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DA20ADB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  <w:p w14:paraId="3C87380B" w14:textId="77777777" w:rsidR="00DA137D" w:rsidRPr="00A65C9B" w:rsidRDefault="00DA137D" w:rsidP="00DA137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47CB6C32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</w:tcPr>
          <w:p w14:paraId="6202A3E3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1A56209F" w14:textId="77777777" w:rsidR="00DA137D" w:rsidRPr="00A9655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</w:tcPr>
          <w:p w14:paraId="752E2F7A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2A7DD896" w14:textId="77777777" w:rsidR="00DA137D" w:rsidRDefault="00DA137D" w:rsidP="00DA137D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8EABD1F" w14:textId="77777777" w:rsidR="00DA137D" w:rsidRDefault="00DA137D" w:rsidP="00DA137D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06624CE" w14:textId="77777777" w:rsidR="00DA137D" w:rsidRDefault="00DA137D" w:rsidP="00DA137D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  <w:r w:rsidRPr="00A65C9B">
              <w:rPr>
                <w:rFonts w:asciiTheme="majorHAnsi" w:hAnsiTheme="majorHAnsi" w:cstheme="majorHAnsi"/>
                <w:sz w:val="14"/>
                <w:szCs w:val="14"/>
              </w:rPr>
              <w:t>Material Conformance Certificates</w:t>
            </w:r>
          </w:p>
          <w:p w14:paraId="099EC4D0" w14:textId="7777777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  <w:p w14:paraId="2AF1081A" w14:textId="77777777" w:rsidR="00DA137D" w:rsidRPr="00A65C9B" w:rsidRDefault="00DA137D" w:rsidP="00DA137D">
            <w:pPr>
              <w:spacing w:before="6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7E0529C" w14:textId="77777777" w:rsidR="00DA137D" w:rsidRPr="00A65C9B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DA137D" w:rsidRPr="00741190" w14:paraId="5EFF07E5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7E62C97" w14:textId="1F2B5160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4.4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44985AE" w14:textId="24895604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Shaping the floor and Surface Finish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3B5951F" w14:textId="77777777" w:rsidR="00DA137D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705.13</w:t>
            </w:r>
          </w:p>
          <w:p w14:paraId="039A427A" w14:textId="28268C8C" w:rsidR="00DA137D" w:rsidRDefault="00DA137D" w:rsidP="00DA137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lastRenderedPageBreak/>
              <w:t>705.14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4FC47C53" w14:textId="77777777" w:rsidR="00DA137D" w:rsidRPr="00794493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proofErr w:type="gramStart"/>
            <w:r w:rsidRPr="00794493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lastRenderedPageBreak/>
              <w:t>Has</w:t>
            </w:r>
            <w:proofErr w:type="gramEnd"/>
            <w:r w:rsidRPr="00794493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the drainage pit floors been smoothly shaped from the inlets to the outlet for a height of one third of the diameter of the outlet pipe with cementitious mortar?</w:t>
            </w:r>
          </w:p>
          <w:p w14:paraId="68464BBD" w14:textId="6E865383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lastRenderedPageBreak/>
              <w:t xml:space="preserve">Yes   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67F77DD3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FF4E2C3" w14:textId="2CE0AE8C" w:rsidR="00DA137D" w:rsidRPr="00794493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247ACD">
              <w:rPr>
                <w:rFonts w:asciiTheme="majorHAnsi" w:hAnsiTheme="majorHAnsi" w:cstheme="majorHAnsi"/>
                <w:sz w:val="14"/>
                <w:szCs w:val="14"/>
              </w:rPr>
              <w:t>Surfaces shall be finished uniform in appearance with a Class 2 surface finish in accordance with the requirements of Section 610.</w:t>
            </w:r>
          </w:p>
        </w:tc>
        <w:tc>
          <w:tcPr>
            <w:tcW w:w="341" w:type="pct"/>
            <w:shd w:val="clear" w:color="auto" w:fill="auto"/>
          </w:tcPr>
          <w:p w14:paraId="3DBF328C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B02F195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AFAE154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5A34BA0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499198F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0765406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0AC45A2" w14:textId="26823230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</w:tcPr>
          <w:p w14:paraId="6BCC2444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19833D3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708E784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BA67FD4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D82CFCA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E6A682D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32B607D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  <w:p w14:paraId="6BF815D1" w14:textId="77777777" w:rsidR="00DA137D" w:rsidRPr="00A9655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</w:tcPr>
          <w:p w14:paraId="72216297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5D02A21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DECDD6D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2F7633C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7A6B6F6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1C5BDC1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769D516" w14:textId="3A0D6C68" w:rsidR="00DA137D" w:rsidRPr="00EA0774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22206A10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50919CB6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7D35D518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153CF7E7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DA137D" w:rsidRPr="00741190" w14:paraId="70A8F0C5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6DE298E" w14:textId="5DFBEEBC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4.5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63ECE7C7" w14:textId="64376C72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Jointing - 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203B6B6D" w14:textId="77777777" w:rsidR="00DA137D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705.14</w:t>
            </w:r>
          </w:p>
          <w:p w14:paraId="2294FBB5" w14:textId="77777777" w:rsidR="00DA137D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705.16</w:t>
            </w:r>
          </w:p>
          <w:p w14:paraId="488910B1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610.32</w:t>
            </w:r>
          </w:p>
          <w:p w14:paraId="1284AA2B" w14:textId="77777777" w:rsidR="00DA137D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412" w:type="pct"/>
            <w:shd w:val="clear" w:color="auto" w:fill="auto"/>
            <w:vAlign w:val="center"/>
          </w:tcPr>
          <w:p w14:paraId="0D03A5BC" w14:textId="43FC4EBE" w:rsidR="00DA137D" w:rsidRPr="00794493" w:rsidRDefault="00DA137D" w:rsidP="00DA137D">
            <w:pPr>
              <w:pStyle w:val="Tabletext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proofErr w:type="gramStart"/>
            <w:r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>Has</w:t>
            </w:r>
            <w:proofErr w:type="gramEnd"/>
            <w:r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 xml:space="preserve"> the </w:t>
            </w:r>
            <w:r w:rsidRPr="00794493"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>joints between drainage pits, access chambers and pipes shall be made watertight using a cementitious mortar</w:t>
            </w:r>
            <w:r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>?</w:t>
            </w:r>
          </w:p>
          <w:p w14:paraId="0680E42E" w14:textId="1EAE8831" w:rsidR="00DA137D" w:rsidRPr="00E00256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</w:tc>
        <w:tc>
          <w:tcPr>
            <w:tcW w:w="341" w:type="pct"/>
            <w:shd w:val="clear" w:color="auto" w:fill="auto"/>
          </w:tcPr>
          <w:p w14:paraId="37B1504C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86244FC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CFD3510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8E98585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1B42FEF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9BE60CD" w14:textId="689FBDF6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</w:tcPr>
          <w:p w14:paraId="534773E9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736A0E9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5C800BC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4D0E9F6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E8E63E0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79452C5" w14:textId="75E5738A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</w:tcPr>
          <w:p w14:paraId="6A161387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BF812A8" w14:textId="77777777" w:rsidR="00DA137D" w:rsidRDefault="00DA137D" w:rsidP="00DA137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26F0B776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BBAEA3A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CB8B465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0380F2E" w14:textId="64ED744F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11AB39B8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02282F63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756FC6D9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5C2C57AF" w14:textId="77777777" w:rsidR="00456E7D" w:rsidRPr="00DA137D" w:rsidRDefault="00456E7D" w:rsidP="00456E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2C2CC14C" w14:textId="77777777" w:rsidR="00456E7D" w:rsidRPr="00251B39" w:rsidRDefault="00456E7D" w:rsidP="00456E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  <w:p w14:paraId="70D211CC" w14:textId="5AAE8D4E" w:rsidR="00456E7D" w:rsidRPr="00741190" w:rsidRDefault="00456E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4601A3AA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47F0819B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DA137D" w:rsidRPr="00741190" w14:paraId="3F42C28D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E2B6199" w14:textId="6C77EFD7" w:rsidR="00DA137D" w:rsidRPr="004B6C8C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14BE3C1" w14:textId="2172518F" w:rsidR="00DA137D" w:rsidRPr="00D340C6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Jointing – Pipes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476D2D4B" w14:textId="34206BBA" w:rsidR="00DA137D" w:rsidRPr="00D340C6" w:rsidRDefault="00DA137D" w:rsidP="00DA137D">
            <w:pPr>
              <w:pStyle w:val="Tabletext"/>
              <w:jc w:val="center"/>
              <w:rPr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701.18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7C8AECF2" w14:textId="7F864B77" w:rsidR="00DA137D" w:rsidRDefault="00DA137D" w:rsidP="00DA137D">
            <w:pPr>
              <w:pStyle w:val="Tabletext"/>
              <w:jc w:val="both"/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>Are rubber rings to be used on rubber ring joint pipes clean and free of debris?</w:t>
            </w:r>
          </w:p>
          <w:p w14:paraId="53C7E14A" w14:textId="77777777" w:rsidR="00DA137D" w:rsidRPr="00FD7F4B" w:rsidRDefault="00DA137D" w:rsidP="00DA137D">
            <w:pPr>
              <w:pStyle w:val="Tabletext"/>
              <w:jc w:val="both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05B3A7EF" w14:textId="77777777" w:rsidR="00DA137D" w:rsidRDefault="00DA137D" w:rsidP="00DA137D">
            <w:pPr>
              <w:pStyle w:val="Tabletext"/>
              <w:jc w:val="both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</w:p>
          <w:p w14:paraId="180DD629" w14:textId="7D2088C7" w:rsidR="00DA137D" w:rsidRDefault="00DA137D" w:rsidP="00DA137D">
            <w:pPr>
              <w:pStyle w:val="Tabletext"/>
              <w:jc w:val="both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>Have all interlocking joint reinforced concrete pipes been jointed or wrapped with 200mm wide external joint rubber band?</w:t>
            </w:r>
            <w:r w:rsidRPr="00FD7F4B"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 xml:space="preserve"> </w:t>
            </w:r>
            <w:r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  <w:t xml:space="preserve"> Has the rubber band been placed between the spigot and socket?</w:t>
            </w:r>
          </w:p>
          <w:p w14:paraId="65DDB384" w14:textId="77777777" w:rsidR="00DA137D" w:rsidRPr="00FD7F4B" w:rsidRDefault="00DA137D" w:rsidP="00DA137D">
            <w:pPr>
              <w:pStyle w:val="Tabletext"/>
              <w:jc w:val="both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52F699FF" w14:textId="597E9E48" w:rsidR="00DA137D" w:rsidRDefault="00DA137D" w:rsidP="00DA137D">
            <w:pPr>
              <w:pStyle w:val="Tabletext"/>
              <w:jc w:val="both"/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</w:pPr>
          </w:p>
          <w:p w14:paraId="541A48EF" w14:textId="00F5C091" w:rsidR="00DA137D" w:rsidRPr="00FD7F4B" w:rsidRDefault="00DA137D" w:rsidP="00DA137D">
            <w:pPr>
              <w:pStyle w:val="Tabletext"/>
              <w:jc w:val="both"/>
              <w:rPr>
                <w:rFonts w:asciiTheme="majorHAnsi" w:eastAsiaTheme="min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>Have pipes with lifting holes been placed with lifting holes uppermost? Have lifting holes been plugged after pipe installation?</w:t>
            </w:r>
          </w:p>
          <w:p w14:paraId="426F6957" w14:textId="38B510F1" w:rsidR="00DA137D" w:rsidRPr="00F74CAB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F870161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729194E" w14:textId="094CBFA2" w:rsidR="00DA137D" w:rsidRPr="00D340C6" w:rsidRDefault="00DA137D" w:rsidP="00DA137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EBC91FE" w14:textId="0FB248EF" w:rsidR="00DA137D" w:rsidRPr="00D176FE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9655D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33969C7" w14:textId="2A270E38" w:rsidR="00DA137D" w:rsidRPr="00D340C6" w:rsidRDefault="00DA137D" w:rsidP="00DA137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</w:tcPr>
          <w:p w14:paraId="7C9BF372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4213FC8C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238F5A3A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07655786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5D9A1A24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50010FDC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13D36676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3CD4CC05" w14:textId="77777777" w:rsidR="00456E7D" w:rsidRPr="00DA137D" w:rsidRDefault="00456E7D" w:rsidP="00456E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4AA3A219" w14:textId="77777777" w:rsidR="00456E7D" w:rsidRPr="00251B39" w:rsidRDefault="00456E7D" w:rsidP="00456E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  <w:p w14:paraId="05D75BDF" w14:textId="300E70A5" w:rsidR="00456E7D" w:rsidRPr="00741190" w:rsidRDefault="00456E7D" w:rsidP="00456E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31EC2C71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00850100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8F4DB74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C71A7E4" w14:textId="4CF68C33" w:rsidR="00DA137D" w:rsidRPr="00741190" w:rsidRDefault="00DA137D" w:rsidP="00DA137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137D" w:rsidRPr="00741190" w14:paraId="0497734D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9ADFA95" w14:textId="34F8641A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4.7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7327D5" w14:textId="4F22C469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Fitting of Covers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36CBDA0A" w14:textId="03D5C711" w:rsidR="00DA137D" w:rsidRDefault="00DA137D" w:rsidP="00DA137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705.17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5177878A" w14:textId="3FA56E86" w:rsidR="00DA137D" w:rsidRPr="009F421D" w:rsidRDefault="00DA137D" w:rsidP="00DA137D">
            <w:pPr>
              <w:ind w:left="28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F421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Pit Downstream</w:t>
            </w:r>
          </w:p>
          <w:p w14:paraId="64804FBC" w14:textId="260C93C1" w:rsidR="00DA137D" w:rsidRDefault="00DA137D" w:rsidP="00DA137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Pit  Number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___________</w:t>
            </w:r>
          </w:p>
          <w:p w14:paraId="3FC64D11" w14:textId="7D581880" w:rsidR="00DA137D" w:rsidRDefault="00DA137D" w:rsidP="00DA137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Lid Class______________</w:t>
            </w:r>
          </w:p>
          <w:p w14:paraId="262F644C" w14:textId="4FF0451E" w:rsidR="00DA137D" w:rsidRDefault="00DA137D" w:rsidP="00DA137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Lid Type_______________</w:t>
            </w:r>
          </w:p>
          <w:p w14:paraId="266D9A34" w14:textId="02CD5E7C" w:rsidR="00DA137D" w:rsidRPr="009F421D" w:rsidRDefault="00DA137D" w:rsidP="00DA137D">
            <w:pPr>
              <w:ind w:left="28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F421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Pit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Upstream</w:t>
            </w:r>
          </w:p>
          <w:p w14:paraId="06E60468" w14:textId="77777777" w:rsidR="00DA137D" w:rsidRDefault="00DA137D" w:rsidP="00DA137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color w:val="000000"/>
                <w:sz w:val="16"/>
                <w:szCs w:val="16"/>
              </w:rPr>
              <w:t>Pit  Number</w:t>
            </w:r>
            <w:proofErr w:type="gramEnd"/>
            <w:r>
              <w:rPr>
                <w:rFonts w:ascii="Arial" w:hAnsi="Arial" w:cs="Arial"/>
                <w:color w:val="000000"/>
                <w:sz w:val="16"/>
                <w:szCs w:val="16"/>
              </w:rPr>
              <w:t>___________</w:t>
            </w:r>
          </w:p>
          <w:p w14:paraId="4143C9C5" w14:textId="77777777" w:rsidR="00DA137D" w:rsidRDefault="00DA137D" w:rsidP="00DA137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Lid Class______________</w:t>
            </w:r>
          </w:p>
          <w:p w14:paraId="45788C4C" w14:textId="52E013CA" w:rsidR="00DA137D" w:rsidRPr="00463A06" w:rsidRDefault="00DA137D" w:rsidP="00DA137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Lid Type_______________</w:t>
            </w:r>
          </w:p>
        </w:tc>
        <w:tc>
          <w:tcPr>
            <w:tcW w:w="341" w:type="pct"/>
            <w:shd w:val="clear" w:color="auto" w:fill="auto"/>
          </w:tcPr>
          <w:p w14:paraId="3CAB1135" w14:textId="414B080B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lastRenderedPageBreak/>
              <w:t>Each Lot</w:t>
            </w:r>
          </w:p>
        </w:tc>
        <w:tc>
          <w:tcPr>
            <w:tcW w:w="292" w:type="pct"/>
            <w:shd w:val="clear" w:color="auto" w:fill="auto"/>
          </w:tcPr>
          <w:p w14:paraId="76807458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8FC58D1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3E825B7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FBA483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FE316EC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5F333B4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E133D4E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  <w:p w14:paraId="09BFF0AE" w14:textId="77777777" w:rsidR="00DA137D" w:rsidRPr="00A9655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</w:tcPr>
          <w:p w14:paraId="2323CD07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F7D4A67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49C287B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5C9F96F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072EFD0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6466EC41" w14:textId="77777777" w:rsidR="00DA137D" w:rsidRPr="00A65C9B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380EF32" w14:textId="5B8276D1" w:rsidR="00DA137D" w:rsidRPr="00EA0774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65C9B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24651C8B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5604CFFE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11AC38C4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6EE76A4E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Survey Conformance Report</w:t>
            </w:r>
          </w:p>
          <w:p w14:paraId="170A637D" w14:textId="3EE62161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</w:tc>
      </w:tr>
      <w:tr w:rsidR="00DA137D" w:rsidRPr="00741190" w14:paraId="68916FB4" w14:textId="77777777" w:rsidTr="00A9655D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049523F7" w14:textId="57F63D60" w:rsidR="00DA137D" w:rsidRPr="00A9655D" w:rsidRDefault="00DA137D" w:rsidP="00DA137D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5.0 Installation of Box Culverts </w:t>
            </w:r>
          </w:p>
        </w:tc>
      </w:tr>
      <w:tr w:rsidR="00DA137D" w:rsidRPr="00741190" w14:paraId="79A76FFF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E773657" w14:textId="40F6522C" w:rsidR="00DA137D" w:rsidRPr="004B6C8C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E6C7B4D" w14:textId="608FEC91" w:rsidR="00DA137D" w:rsidRPr="00D340C6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Laying Box Culverts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2C30EB2" w14:textId="1360C376" w:rsidR="00DA137D" w:rsidRPr="0077197C" w:rsidRDefault="00DA137D" w:rsidP="00DA137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701.17 (a) (c) (d)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4A13E445" w14:textId="747AD0D7" w:rsidR="00DA137D" w:rsidRPr="00C300E3" w:rsidRDefault="00DA137D" w:rsidP="00DA137D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Have consecutive sections of box culverts been firmly butted together?</w:t>
            </w:r>
          </w:p>
          <w:p w14:paraId="26AAABE9" w14:textId="5557A858" w:rsidR="00DA137D" w:rsidRDefault="00DA137D" w:rsidP="00DA137D">
            <w:pPr>
              <w:pStyle w:val="Tabletex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  <w:p w14:paraId="1EE22391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9F00A0B" w14:textId="56CCC47D" w:rsidR="00DA137D" w:rsidRPr="00C300E3" w:rsidRDefault="00DA137D" w:rsidP="00DA137D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</w:pPr>
            <w:r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 xml:space="preserve">Does the mortar have a minimum </w:t>
            </w:r>
            <w:proofErr w:type="gramStart"/>
            <w:r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>28 day</w:t>
            </w:r>
            <w:proofErr w:type="gramEnd"/>
            <w:r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 xml:space="preserve"> compressive strength of not less than 40MPa?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 xml:space="preserve"> </w:t>
            </w:r>
            <w:r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 xml:space="preserve">Is 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 xml:space="preserve">it at least </w:t>
            </w:r>
            <w:r w:rsidRPr="00C300E3"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>Type C Class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  <w:lang w:val="en-US"/>
              </w:rPr>
              <w:t xml:space="preserve">? </w:t>
            </w:r>
          </w:p>
          <w:p w14:paraId="60176E58" w14:textId="4B0A07CA" w:rsidR="00DA137D" w:rsidRPr="00C300E3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86233BF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DF12232" w14:textId="7A6803AB" w:rsidR="00DA137D" w:rsidRPr="00D340C6" w:rsidRDefault="00DA137D" w:rsidP="00DA137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6B9DE83" w14:textId="44CCB603" w:rsidR="00DA137D" w:rsidRPr="00D340C6" w:rsidRDefault="00DA137D" w:rsidP="00DA137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9655D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39A154A" w14:textId="586EC941" w:rsidR="00DA137D" w:rsidRPr="00D340C6" w:rsidRDefault="00DA137D" w:rsidP="00DA137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</w:tcPr>
          <w:p w14:paraId="092F9F96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</w:tcPr>
          <w:p w14:paraId="30094051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7516B88C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7BFC39B7" w14:textId="77777777" w:rsidR="00456E7D" w:rsidRDefault="00456E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163F1745" w14:textId="77777777" w:rsidR="00456E7D" w:rsidRPr="00DA137D" w:rsidRDefault="00456E7D" w:rsidP="00456E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0D6C7A3A" w14:textId="77777777" w:rsidR="00456E7D" w:rsidRPr="00251B39" w:rsidRDefault="00456E7D" w:rsidP="00456E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  <w:p w14:paraId="0309FFF5" w14:textId="03B2C355" w:rsidR="00456E7D" w:rsidRPr="00741190" w:rsidRDefault="00456E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</w:tcPr>
          <w:p w14:paraId="31AD11E7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42C61980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  <w:lang w:val="en-US"/>
              </w:rPr>
            </w:pPr>
            <w:r>
              <w:rPr>
                <w:rFonts w:asciiTheme="majorHAnsi" w:hAnsiTheme="majorHAnsi" w:cstheme="majorHAnsi"/>
                <w:sz w:val="14"/>
                <w:szCs w:val="14"/>
                <w:lang w:val="en-US"/>
              </w:rPr>
              <w:t>Technical Data Sheet</w:t>
            </w:r>
          </w:p>
          <w:p w14:paraId="44CD2402" w14:textId="77777777" w:rsidR="00DA137D" w:rsidRPr="00031D18" w:rsidRDefault="00DA137D" w:rsidP="00DA137D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  <w:p w14:paraId="579491BA" w14:textId="460BA04C" w:rsidR="00DA137D" w:rsidRPr="00741190" w:rsidRDefault="00DA137D" w:rsidP="00DA137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137D" w:rsidRPr="00741190" w14:paraId="3B1794C1" w14:textId="77777777" w:rsidTr="00A9655D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1B9B97B4" w14:textId="471F19C1" w:rsidR="00DA137D" w:rsidRPr="00741190" w:rsidRDefault="00DA137D" w:rsidP="00DA137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A9655D">
              <w:rPr>
                <w:b/>
                <w:bCs/>
                <w:sz w:val="20"/>
              </w:rPr>
              <w:t>6.0</w:t>
            </w:r>
            <w:r>
              <w:rPr>
                <w:b/>
                <w:bCs/>
                <w:sz w:val="20"/>
              </w:rPr>
              <w:t xml:space="preserve"> Backfilling </w:t>
            </w:r>
          </w:p>
        </w:tc>
      </w:tr>
      <w:tr w:rsidR="00DA137D" w:rsidRPr="00741190" w14:paraId="0F6D0530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D2AECAD" w14:textId="4A4BA262" w:rsidR="00DA137D" w:rsidRPr="004B6C8C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6.1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22C69738" w14:textId="797C4AAC" w:rsidR="00DA137D" w:rsidRPr="00D340C6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Backfill – Pipes/Culverts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37A40840" w14:textId="2ACAF5CB" w:rsidR="00DA137D" w:rsidRPr="00031D18" w:rsidRDefault="00DA137D" w:rsidP="00DA137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701.19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2D495EF5" w14:textId="3119A676" w:rsidR="00DA137D" w:rsidRPr="00463A06" w:rsidRDefault="00DA137D" w:rsidP="00DA137D">
            <w:pPr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Has the haunch zone been extended from top of bedding layer to 1/3 pipe diameter? Haunch zone material to be same as bedding layer. Haunch zone to be compacted to refusal in max 150mm layer.</w:t>
            </w:r>
          </w:p>
          <w:p w14:paraId="30E8E3BE" w14:textId="53B93415" w:rsidR="00DA137D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030FDDED" w14:textId="77777777" w:rsidR="00DA137D" w:rsidRPr="00463A06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2B14E8" w14:textId="7E5F68EE" w:rsidR="00DA137D" w:rsidRPr="00463A06" w:rsidRDefault="00DA137D" w:rsidP="00DA137D">
            <w:pPr>
              <w:keepNext/>
              <w:spacing w:before="19" w:line="200" w:lineRule="exact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Is the pipe to be backfilled in under an area to be paved? If so, has excavation below design subgrade level been backfilled with select backfill material? And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within the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lastRenderedPageBreak/>
              <w:t xml:space="preserve">pavement layer backfilled with </w:t>
            </w: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appropriate pavement material?</w:t>
            </w:r>
          </w:p>
          <w:p w14:paraId="77CDCEDC" w14:textId="77777777" w:rsidR="00DA137D" w:rsidRPr="00463A06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266B2230" w14:textId="77777777" w:rsidR="00DA137D" w:rsidRDefault="00DA137D" w:rsidP="00DA137D">
            <w:pPr>
              <w:keepNext/>
              <w:spacing w:before="19" w:line="200" w:lineRule="exact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</w:p>
          <w:p w14:paraId="286F7574" w14:textId="12C18DD7" w:rsidR="00DA137D" w:rsidRPr="00463A06" w:rsidRDefault="00DA137D" w:rsidP="00DA137D">
            <w:pPr>
              <w:keepNext/>
              <w:spacing w:before="19" w:line="200" w:lineRule="exact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Is the pipe to be backfilled in under an area to be paved? If so, has excavation below design subgrade level been backfilled with select backfill material? And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within the pavement layer backfilled with </w:t>
            </w: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appropriate pavement material?</w:t>
            </w:r>
          </w:p>
          <w:p w14:paraId="5332DFE2" w14:textId="2B4C73B8" w:rsidR="00DA137D" w:rsidRPr="00463A06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6ABC6840" w14:textId="77777777" w:rsidR="00DA137D" w:rsidRDefault="00DA137D" w:rsidP="00DA137D">
            <w:pPr>
              <w:keepNext/>
              <w:spacing w:before="19" w:line="200" w:lineRule="exact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</w:p>
          <w:p w14:paraId="1B6CC04A" w14:textId="150E9024" w:rsidR="00DA137D" w:rsidRPr="00463A06" w:rsidRDefault="00DA137D" w:rsidP="00DA137D">
            <w:pPr>
              <w:keepNext/>
              <w:spacing w:before="19" w:line="200" w:lineRule="exact"/>
              <w:rPr>
                <w:rFonts w:asciiTheme="majorHAnsi" w:hAnsiTheme="majorHAnsi" w:cstheme="majorHAnsi"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Is the pipe to be backfilled in under an area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not to be paved? If so, has the trench been backfilled with select backfill material to a level 0.3m above the top of the culvert? Ordinary backfill may be used above that level.</w:t>
            </w:r>
          </w:p>
          <w:p w14:paraId="361997FF" w14:textId="770B54F0" w:rsidR="00DA137D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  <w:p w14:paraId="08C682A9" w14:textId="77777777" w:rsidR="00DA137D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59ECF0" w14:textId="4426C119" w:rsidR="00DA137D" w:rsidRPr="00463A06" w:rsidRDefault="00DA137D" w:rsidP="00DA137D">
            <w:pPr>
              <w:keepNext/>
              <w:spacing w:before="19" w:line="200" w:lineRule="exact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Has the backfill material been backfilled in max 150mm layers?</w:t>
            </w:r>
          </w:p>
          <w:p w14:paraId="2ADD4EFA" w14:textId="4A858821" w:rsidR="00DA137D" w:rsidRPr="00463A06" w:rsidRDefault="00DA137D" w:rsidP="00DA137D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 w:rsidRPr="00064EBA">
              <w:rPr>
                <w:b/>
                <w:bCs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 w:rsidRPr="00064EBA">
              <w:rPr>
                <w:b/>
                <w:bCs/>
                <w:sz w:val="20"/>
              </w:rPr>
              <w:t xml:space="preserve">     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bCs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DDA7C63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72B8A7D" w14:textId="71E2E204" w:rsidR="00DA137D" w:rsidRPr="00D340C6" w:rsidRDefault="00DA137D" w:rsidP="00DA137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C6CA3B2" w14:textId="5B277A9B" w:rsidR="00DA137D" w:rsidRPr="00A67217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9655D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ED0A5AD" w14:textId="1030A63A" w:rsidR="00DA137D" w:rsidRPr="00D340C6" w:rsidRDefault="00DA137D" w:rsidP="00DA137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</w:p>
        </w:tc>
        <w:tc>
          <w:tcPr>
            <w:tcW w:w="245" w:type="pct"/>
            <w:shd w:val="clear" w:color="auto" w:fill="auto"/>
          </w:tcPr>
          <w:p w14:paraId="0570B8AA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D8FD413" w14:textId="77777777" w:rsidR="00E36FA1" w:rsidRPr="00DA137D" w:rsidRDefault="00E36FA1" w:rsidP="00E36FA1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51C7A0B6" w14:textId="77777777" w:rsidR="00E36FA1" w:rsidRPr="00251B39" w:rsidRDefault="00E36FA1" w:rsidP="00E36FA1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  <w:p w14:paraId="50690AED" w14:textId="02D9036B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8D516A3" w14:textId="3E2DEC8F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5559A6B7" w14:textId="3E1A22A4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NATA Test Report: Compaction</w:t>
            </w:r>
          </w:p>
          <w:p w14:paraId="6B5D9AC3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bCs w:val="0"/>
                <w:sz w:val="14"/>
                <w:szCs w:val="14"/>
              </w:rPr>
              <w:t xml:space="preserve">        </w:t>
            </w:r>
          </w:p>
          <w:p w14:paraId="51D264AC" w14:textId="4ADBE3D6" w:rsidR="00DA137D" w:rsidRPr="00741190" w:rsidRDefault="00DA137D" w:rsidP="00DA137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DA137D" w:rsidRPr="00741190" w14:paraId="2314EAE2" w14:textId="77777777" w:rsidTr="003D0E4B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30D7F4A" w14:textId="0F459FB1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6.2</w:t>
            </w:r>
          </w:p>
        </w:tc>
        <w:tc>
          <w:tcPr>
            <w:tcW w:w="633" w:type="pct"/>
            <w:shd w:val="clear" w:color="auto" w:fill="auto"/>
            <w:vAlign w:val="center"/>
          </w:tcPr>
          <w:p w14:paraId="37D8E4D1" w14:textId="6D137FBE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Backfill - Pits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6CF02D8" w14:textId="0F2C8A46" w:rsidR="00DA137D" w:rsidRDefault="00DA137D" w:rsidP="00DA137D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Clause 705.18</w:t>
            </w:r>
          </w:p>
        </w:tc>
        <w:tc>
          <w:tcPr>
            <w:tcW w:w="1412" w:type="pct"/>
            <w:shd w:val="clear" w:color="auto" w:fill="auto"/>
            <w:vAlign w:val="center"/>
          </w:tcPr>
          <w:p w14:paraId="3AC16962" w14:textId="4080E34A" w:rsidR="00DA137D" w:rsidRPr="00463A06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Has the pit been backfilled in layers not exceeding 300mm? </w:t>
            </w:r>
            <w:proofErr w:type="gramStart"/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Pit</w:t>
            </w:r>
            <w:proofErr w:type="gramEnd"/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backfill to be compacted to refusal using hand held equipment.</w:t>
            </w:r>
          </w:p>
          <w:p w14:paraId="28F4B928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EACC594" w14:textId="175F16F7" w:rsidR="00DA137D" w:rsidRDefault="00DA137D" w:rsidP="00DA137D">
            <w:pPr>
              <w:keepNext/>
              <w:spacing w:before="19" w:line="200" w:lineRule="exac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bCs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5247F94" w14:textId="3600B8CE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62270"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3F2F2D" w14:textId="54BE7DB8" w:rsidR="00DA137D" w:rsidRPr="00A9655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701A617" w14:textId="2AE9CF3E" w:rsidR="00DA137D" w:rsidRPr="00EA0774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62270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54DAAE8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26D4EB7" w14:textId="77777777" w:rsidR="00E36FA1" w:rsidRPr="00DA137D" w:rsidRDefault="00E36FA1" w:rsidP="00E36FA1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IR/</w:t>
            </w:r>
          </w:p>
          <w:p w14:paraId="2FA244FF" w14:textId="796D3E4C" w:rsidR="00DA137D" w:rsidRPr="00E36FA1" w:rsidRDefault="00E36FA1" w:rsidP="00E36FA1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DA137D">
              <w:rPr>
                <w:b/>
                <w:bCs/>
                <w:sz w:val="14"/>
                <w:szCs w:val="14"/>
              </w:rPr>
              <w:t>CYP(</w:t>
            </w:r>
            <w:r>
              <w:rPr>
                <w:b/>
                <w:bCs/>
                <w:sz w:val="14"/>
                <w:szCs w:val="14"/>
              </w:rPr>
              <w:t>S</w:t>
            </w:r>
            <w:r w:rsidRPr="00DA137D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F3DC5BF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FD82BCA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DA137D" w:rsidRPr="00741190" w14:paraId="1B542883" w14:textId="77777777" w:rsidTr="00993D94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55EA5F3A" w14:textId="50692C96" w:rsidR="00DA137D" w:rsidRPr="00741190" w:rsidRDefault="00DA137D" w:rsidP="00DA137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 w:val="20"/>
              </w:rPr>
              <w:t>7</w:t>
            </w:r>
            <w:r w:rsidRPr="00A9655D">
              <w:rPr>
                <w:b/>
                <w:bCs/>
                <w:sz w:val="20"/>
              </w:rPr>
              <w:t>.0</w:t>
            </w:r>
            <w:r>
              <w:rPr>
                <w:b/>
                <w:bCs/>
                <w:sz w:val="20"/>
              </w:rPr>
              <w:t xml:space="preserve"> Completion </w:t>
            </w:r>
          </w:p>
        </w:tc>
      </w:tr>
      <w:tr w:rsidR="00DA137D" w:rsidRPr="00741190" w14:paraId="00670C43" w14:textId="77777777" w:rsidTr="00E62D51">
        <w:trPr>
          <w:trHeight w:val="227"/>
        </w:trPr>
        <w:tc>
          <w:tcPr>
            <w:tcW w:w="2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4F0B3A" w14:textId="1E605883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7.1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EB31E" w14:textId="1805E884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As-built Survey  </w:t>
            </w:r>
          </w:p>
        </w:tc>
        <w:tc>
          <w:tcPr>
            <w:tcW w:w="4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C407" w14:textId="77777777" w:rsidR="00DA137D" w:rsidRPr="00DA46CB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VR Clause </w:t>
            </w:r>
            <w:r w:rsidRPr="00DA46CB">
              <w:rPr>
                <w:rFonts w:asciiTheme="majorHAnsi" w:hAnsiTheme="majorHAnsi" w:cstheme="majorHAnsi"/>
                <w:sz w:val="14"/>
                <w:szCs w:val="14"/>
              </w:rPr>
              <w:t>705.1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9</w:t>
            </w:r>
          </w:p>
          <w:p w14:paraId="39747E5F" w14:textId="253EEF69" w:rsidR="00DA137D" w:rsidRDefault="00DA137D" w:rsidP="00DA137D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DA46CB">
              <w:rPr>
                <w:rFonts w:asciiTheme="majorHAnsi" w:hAnsiTheme="majorHAnsi" w:cstheme="majorHAnsi"/>
                <w:sz w:val="14"/>
                <w:szCs w:val="14"/>
              </w:rPr>
              <w:t>610.4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7</w:t>
            </w:r>
          </w:p>
          <w:p w14:paraId="1DDA7A44" w14:textId="4520D874" w:rsidR="00DA137D" w:rsidRDefault="00DA137D" w:rsidP="00DA137D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DA46CB">
              <w:rPr>
                <w:rFonts w:asciiTheme="majorHAnsi" w:hAnsiTheme="majorHAnsi" w:cstheme="majorHAnsi"/>
                <w:sz w:val="14"/>
                <w:szCs w:val="14"/>
              </w:rPr>
              <w:t>610.4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6</w:t>
            </w:r>
          </w:p>
        </w:tc>
        <w:tc>
          <w:tcPr>
            <w:tcW w:w="14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0C9A3D" w14:textId="58311249" w:rsidR="00DA137D" w:rsidRDefault="00DA137D" w:rsidP="00DA137D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Has the pipe been laid with adequate fall and invert levels within ±10mm of design?</w:t>
            </w:r>
          </w:p>
          <w:p w14:paraId="6D97727A" w14:textId="39B3B2E9" w:rsidR="00DA137D" w:rsidRDefault="00DA137D" w:rsidP="00DA137D">
            <w:pPr>
              <w:spacing w:before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bCs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247646E2" w14:textId="77777777" w:rsidR="00DA137D" w:rsidRDefault="00DA137D" w:rsidP="00DA137D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Is the invert level of pipes at pipes </w:t>
            </w: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±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5</w:t>
            </w: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0mm of design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?</w:t>
            </w:r>
          </w:p>
          <w:p w14:paraId="1091A32F" w14:textId="54DAAEDA" w:rsidR="00DA137D" w:rsidRDefault="00DA137D" w:rsidP="00DA137D">
            <w:pPr>
              <w:spacing w:before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sz w:val="14"/>
                <w:szCs w:val="14"/>
              </w:rPr>
              <w:t xml:space="preserve">No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bCs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</w:p>
          <w:p w14:paraId="23218450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</w:p>
          <w:p w14:paraId="79640AA4" w14:textId="1B9AF7CF" w:rsidR="00DA137D" w:rsidRPr="009F421D" w:rsidRDefault="00DA137D" w:rsidP="00DA137D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Is the </w:t>
            </w:r>
            <w:r w:rsidRPr="009F421D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line of the 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pit </w:t>
            </w:r>
            <w:r w:rsidRPr="009F421D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cover 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been installed </w:t>
            </w:r>
            <w:r w:rsidRPr="00463A06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±</w:t>
            </w:r>
            <w:r w:rsidRPr="009F421D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10mm of the design kerb line?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 </w:t>
            </w:r>
          </w:p>
          <w:p w14:paraId="0DF922C1" w14:textId="77777777" w:rsidR="00DA137D" w:rsidRDefault="00DA137D" w:rsidP="00DA137D">
            <w:pPr>
              <w:pStyle w:val="Tabletext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  <w:sz w:val="20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  <w:sz w:val="20"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29B6EC41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A765EE5" w14:textId="5DB6B8FE" w:rsidR="00DA137D" w:rsidRPr="009F421D" w:rsidRDefault="00DA137D" w:rsidP="00DA137D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9F421D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Is the pit cover level </w:t>
            </w:r>
            <w:r w:rsidRPr="00463A06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±</w:t>
            </w:r>
            <w:r w:rsidRPr="009F421D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10 mm of the design level for that point?</w:t>
            </w:r>
          </w:p>
          <w:p w14:paraId="3DE36425" w14:textId="1A234F76" w:rsidR="00DA137D" w:rsidRPr="00463A06" w:rsidRDefault="00DA137D" w:rsidP="00DA137D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06A58ED1" w14:textId="30D09728" w:rsidR="00DA137D" w:rsidRDefault="00DA137D" w:rsidP="00DA137D">
            <w:pPr>
              <w:pStyle w:val="SymalTableBody"/>
              <w:spacing w:before="20" w:after="2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Is the offset of entry pits within </w:t>
            </w:r>
            <w:r w:rsidRPr="00463A06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±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2</w:t>
            </w:r>
            <w:r w:rsidRPr="009F421D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0 mm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of kerbs/barriers?</w:t>
            </w:r>
          </w:p>
          <w:p w14:paraId="68F1D6A5" w14:textId="77777777" w:rsidR="00DA137D" w:rsidRPr="00463A06" w:rsidRDefault="00DA137D" w:rsidP="00DA137D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Yes    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07F56F98" w14:textId="01680C48" w:rsidR="00DA137D" w:rsidRDefault="00DA137D" w:rsidP="00DA137D">
            <w:pPr>
              <w:pStyle w:val="Tabletext"/>
              <w:jc w:val="both"/>
              <w:rPr>
                <w:rFonts w:asciiTheme="majorHAnsi" w:hAnsiTheme="majorHAnsi" w:cstheme="majorHAnsi"/>
                <w:b/>
                <w:sz w:val="14"/>
                <w:szCs w:val="14"/>
              </w:rPr>
            </w:pPr>
            <w:r w:rsidRPr="00947707">
              <w:rPr>
                <w:b/>
                <w:sz w:val="14"/>
                <w:szCs w:val="14"/>
              </w:rPr>
              <w:t xml:space="preserve">Is the offset of entry pits within </w:t>
            </w:r>
            <w:r w:rsidRPr="00947707">
              <w:rPr>
                <w:rFonts w:asciiTheme="majorHAnsi" w:hAnsiTheme="majorHAnsi" w:cstheme="majorHAnsi"/>
                <w:b/>
                <w:sz w:val="14"/>
                <w:szCs w:val="14"/>
              </w:rPr>
              <w:t>±20 mm of kerbs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>/</w:t>
            </w:r>
            <w:r w:rsidRPr="00947707">
              <w:rPr>
                <w:rFonts w:asciiTheme="majorHAnsi" w:hAnsiTheme="majorHAnsi" w:cstheme="majorHAnsi"/>
                <w:b/>
                <w:sz w:val="14"/>
                <w:szCs w:val="14"/>
              </w:rPr>
              <w:t>barrie</w:t>
            </w:r>
            <w:r>
              <w:rPr>
                <w:rFonts w:asciiTheme="majorHAnsi" w:hAnsiTheme="majorHAnsi" w:cstheme="majorHAnsi"/>
                <w:b/>
                <w:sz w:val="14"/>
                <w:szCs w:val="14"/>
              </w:rPr>
              <w:t>s?</w:t>
            </w:r>
          </w:p>
          <w:p w14:paraId="7CD40E18" w14:textId="0FABC5EE" w:rsidR="00DA137D" w:rsidRDefault="00DA137D" w:rsidP="00DA137D">
            <w:pPr>
              <w:spacing w:before="6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  <w:p w14:paraId="03E50A06" w14:textId="5E38EF6A" w:rsidR="00DA137D" w:rsidRPr="00947707" w:rsidRDefault="00DA137D" w:rsidP="00DA137D">
            <w:pPr>
              <w:pStyle w:val="Tabletext"/>
              <w:jc w:val="both"/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>Is the p</w:t>
            </w:r>
            <w:r w:rsidRPr="00947707"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 xml:space="preserve">lan location of pits other than offsets to </w:t>
            </w:r>
            <w:proofErr w:type="spellStart"/>
            <w:r w:rsidRPr="00947707"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>kerb</w:t>
            </w:r>
            <w:proofErr w:type="spellEnd"/>
            <w:r w:rsidRPr="00947707">
              <w:rPr>
                <w:rFonts w:asciiTheme="majorHAnsi" w:hAnsiTheme="majorHAnsi" w:cstheme="majorHAnsi"/>
                <w:b/>
                <w:sz w:val="14"/>
                <w:szCs w:val="14"/>
                <w:lang w:val="en-US"/>
              </w:rPr>
              <w:t xml:space="preserve"> lines or barriers ±100 mm</w:t>
            </w:r>
            <w:r w:rsidRPr="00947707">
              <w:rPr>
                <w:rFonts w:asciiTheme="majorHAnsi" w:hAnsiTheme="majorHAnsi" w:cstheme="majorHAnsi"/>
                <w:b/>
                <w:sz w:val="14"/>
                <w:szCs w:val="14"/>
              </w:rPr>
              <w:t>?</w:t>
            </w:r>
          </w:p>
          <w:p w14:paraId="6191398D" w14:textId="1D1FE271" w:rsidR="00DA137D" w:rsidRPr="00947707" w:rsidRDefault="00DA137D" w:rsidP="00DA137D">
            <w:pPr>
              <w:spacing w:before="6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□</w:t>
            </w:r>
            <w:r>
              <w:rPr>
                <w:b/>
              </w:rPr>
              <w:t xml:space="preserve">       </w:t>
            </w:r>
            <w:r>
              <w:rPr>
                <w:b/>
                <w:sz w:val="14"/>
                <w:szCs w:val="14"/>
              </w:rPr>
              <w:t xml:space="preserve">No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D0633D">
              <w:rPr>
                <w:b/>
                <w:sz w:val="28"/>
                <w:szCs w:val="28"/>
              </w:rPr>
              <w:t xml:space="preserve"> </w:t>
            </w:r>
            <w:r w:rsidRPr="00D0633D">
              <w:rPr>
                <w:rFonts w:ascii="Arial" w:hAnsi="Arial" w:cs="Arial"/>
                <w:b/>
                <w:sz w:val="28"/>
                <w:szCs w:val="28"/>
              </w:rPr>
              <w:t>□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59AE91" w14:textId="7F7236D0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62270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ADB9CE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62270">
              <w:rPr>
                <w:sz w:val="14"/>
                <w:szCs w:val="14"/>
              </w:rPr>
              <w:t>R</w:t>
            </w:r>
          </w:p>
          <w:p w14:paraId="5A8AAA12" w14:textId="32BDF193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252E0E">
              <w:rPr>
                <w:b/>
                <w:bCs/>
                <w:sz w:val="14"/>
                <w:szCs w:val="14"/>
                <w:u w:val="single"/>
              </w:rPr>
              <w:t>H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B53A0" w14:textId="3BE950CC" w:rsidR="00DA137D" w:rsidRPr="00EA0774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62270"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3E7DC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D2A862" w14:textId="00CD6506" w:rsidR="00DA137D" w:rsidRPr="00E36FA1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E36FA1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9279B1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A95285" w14:textId="77777777" w:rsidR="00DA137D" w:rsidRDefault="00DA137D" w:rsidP="00DA137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A7AD6">
              <w:rPr>
                <w:sz w:val="14"/>
                <w:szCs w:val="14"/>
              </w:rPr>
              <w:t>Survey Conformance Certificate</w:t>
            </w:r>
          </w:p>
          <w:p w14:paraId="14CFB321" w14:textId="7777777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Yes    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20"/>
              </w:rPr>
              <w:t xml:space="preserve">   </w:t>
            </w:r>
            <w:r>
              <w:rPr>
                <w:b/>
                <w:bCs/>
                <w:sz w:val="14"/>
                <w:szCs w:val="14"/>
              </w:rPr>
              <w:t xml:space="preserve">No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0633D">
              <w:rPr>
                <w:rFonts w:ascii="Arial" w:hAnsi="Arial" w:cs="Arial"/>
                <w:b/>
                <w:bCs/>
                <w:sz w:val="28"/>
                <w:szCs w:val="28"/>
              </w:rPr>
              <w:t>□</w:t>
            </w:r>
            <w:r>
              <w:rPr>
                <w:b/>
                <w:bCs/>
                <w:sz w:val="14"/>
                <w:szCs w:val="14"/>
              </w:rPr>
              <w:t xml:space="preserve">        </w:t>
            </w:r>
          </w:p>
          <w:p w14:paraId="515336B8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DA137D" w:rsidRPr="00741190" w14:paraId="1774F2AF" w14:textId="77777777" w:rsidTr="00E62D51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F1883" w14:textId="7777777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4E3A3C52" w14:textId="7777777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5B4D1E55" w14:textId="7777777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415EC586" w14:textId="7777777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1E730C6E" w14:textId="7777777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1AAAA245" w14:textId="77777777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  <w:p w14:paraId="32C3C8B5" w14:textId="3EB0AB5B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7.2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B721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2B180F4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AF13F40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D4C2C9C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81865CB" w14:textId="241463FA" w:rsidR="00DA137D" w:rsidRPr="00B03F34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B03F34">
              <w:rPr>
                <w:rFonts w:asciiTheme="majorHAnsi" w:hAnsiTheme="majorHAnsi" w:cstheme="majorHAnsi"/>
                <w:sz w:val="14"/>
                <w:szCs w:val="14"/>
              </w:rPr>
              <w:lastRenderedPageBreak/>
              <w:t xml:space="preserve">Compaction and moisture content of  </w:t>
            </w:r>
          </w:p>
          <w:p w14:paraId="1BF7A651" w14:textId="2B05C5F5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proofErr w:type="gramStart"/>
            <w:r w:rsidRPr="00B03F34">
              <w:rPr>
                <w:rFonts w:asciiTheme="majorHAnsi" w:hAnsiTheme="majorHAnsi" w:cstheme="majorHAnsi"/>
                <w:sz w:val="14"/>
                <w:szCs w:val="14"/>
              </w:rPr>
              <w:t>backfill  &amp;</w:t>
            </w:r>
            <w:proofErr w:type="gramEnd"/>
            <w:r w:rsidRPr="00B03F34">
              <w:rPr>
                <w:rFonts w:asciiTheme="majorHAnsi" w:hAnsiTheme="majorHAnsi" w:cstheme="majorHAnsi"/>
                <w:sz w:val="14"/>
                <w:szCs w:val="14"/>
              </w:rPr>
              <w:t xml:space="preserve"> bedding material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C430A" w14:textId="77777777" w:rsidR="00DA137D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5401A77" w14:textId="77777777" w:rsidR="00DA137D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1E33C03" w14:textId="765490B3" w:rsidR="00DA137D" w:rsidRPr="00E078D4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E078D4">
              <w:rPr>
                <w:rFonts w:asciiTheme="majorHAnsi" w:hAnsiTheme="majorHAnsi" w:cstheme="majorHAnsi"/>
                <w:sz w:val="14"/>
                <w:szCs w:val="14"/>
              </w:rPr>
              <w:lastRenderedPageBreak/>
              <w:t>701.20a</w:t>
            </w:r>
          </w:p>
          <w:p w14:paraId="06B42DBF" w14:textId="558204FF" w:rsidR="00DA137D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E078D4">
              <w:rPr>
                <w:rFonts w:asciiTheme="majorHAnsi" w:hAnsiTheme="majorHAnsi" w:cstheme="majorHAnsi"/>
                <w:sz w:val="14"/>
                <w:szCs w:val="14"/>
              </w:rPr>
              <w:t>701.20b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1FBB" w14:textId="77777777" w:rsidR="00DA137D" w:rsidRDefault="00DA137D" w:rsidP="00DA137D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</w:p>
          <w:p w14:paraId="7BEC31FB" w14:textId="27440F63" w:rsidR="00DA137D" w:rsidRDefault="00DA137D" w:rsidP="00DA137D">
            <w:pPr>
              <w:spacing w:before="6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D21DB7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lastRenderedPageBreak/>
              <w:t>Has a total of 3 compaction tests taken place, per lot, inclusive of pit compaction, achieving 97% compaction?</w:t>
            </w:r>
          </w:p>
          <w:p w14:paraId="494BB454" w14:textId="2F46667E" w:rsidR="00DA137D" w:rsidRPr="00463A06" w:rsidRDefault="00DA137D" w:rsidP="00DA137D">
            <w:pPr>
              <w:spacing w:before="60"/>
              <w:jc w:val="center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8E7515">
              <w:rPr>
                <w:rFonts w:ascii="Arial" w:hAnsi="Arial" w:cs="Arial"/>
                <w:color w:val="000000"/>
                <w:sz w:val="16"/>
                <w:szCs w:val="16"/>
              </w:rPr>
              <w:t xml:space="preserve">Yes   </w:t>
            </w:r>
            <w:r w:rsidRPr="008E7515">
              <w:rPr>
                <w:rFonts w:ascii="Segoe UI Symbol" w:hAnsi="Segoe UI Symbol" w:cs="Segoe UI Symbol"/>
                <w:color w:val="000000"/>
                <w:sz w:val="16"/>
                <w:szCs w:val="16"/>
              </w:rPr>
              <w:t>☐</w:t>
            </w:r>
            <w:r w:rsidRPr="008E751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No   </w:t>
            </w:r>
            <w:r w:rsidRPr="008E7515">
              <w:rPr>
                <w:rFonts w:ascii="Segoe UI Symbol" w:hAnsi="Segoe UI Symbol" w:cs="Segoe UI Symbol"/>
                <w:color w:val="000000"/>
                <w:sz w:val="16"/>
                <w:szCs w:val="16"/>
              </w:rPr>
              <w:t>☐</w:t>
            </w:r>
            <w:r w:rsidRPr="008E751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N/A   </w:t>
            </w:r>
            <w:r w:rsidRPr="008E7515">
              <w:rPr>
                <w:rFonts w:ascii="Segoe UI Symbol" w:hAnsi="Segoe UI Symbol" w:cs="Segoe UI Symbol"/>
                <w:color w:val="000000"/>
                <w:sz w:val="16"/>
                <w:szCs w:val="16"/>
              </w:rPr>
              <w:t>☐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4012C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BF486A3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7E8DF8C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7851E057" w14:textId="6EDE0EC0" w:rsidR="00DA137D" w:rsidRPr="00462270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52909">
              <w:rPr>
                <w:sz w:val="14"/>
                <w:szCs w:val="14"/>
              </w:rPr>
              <w:lastRenderedPageBreak/>
              <w:t>At 20% of all lots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F1E13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FE3BED1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6550D66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1161BC19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B8E3320" w14:textId="07EFB0E3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R</w:t>
            </w:r>
          </w:p>
          <w:p w14:paraId="78186409" w14:textId="61880E01" w:rsidR="00DA137D" w:rsidRPr="00462270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A9AAF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21486F88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4CB232A0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04FF6FAA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5AC2A5FA" w14:textId="6B4D0681" w:rsidR="00DA137D" w:rsidRPr="00462270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SE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59A2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7E089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50904215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4F61A6CB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29DFE3D9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  <w:u w:val="single"/>
              </w:rPr>
            </w:pPr>
          </w:p>
          <w:p w14:paraId="098998B0" w14:textId="704889EB" w:rsidR="00DA137D" w:rsidRPr="00014E2F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014E2F">
              <w:rPr>
                <w:b/>
                <w:bCs/>
                <w:sz w:val="14"/>
                <w:szCs w:val="14"/>
              </w:rPr>
              <w:lastRenderedPageBreak/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33CB9" w14:textId="77777777" w:rsidR="00DA137D" w:rsidRPr="00741190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C33E" w14:textId="77777777" w:rsidR="00DA137D" w:rsidRDefault="00DA137D" w:rsidP="00DA137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0AA75826" w14:textId="77777777" w:rsidR="00DA137D" w:rsidRDefault="00DA137D" w:rsidP="00DA137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3BEFB28A" w14:textId="77777777" w:rsidR="00DA137D" w:rsidRDefault="00DA137D" w:rsidP="00DA137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  <w:p w14:paraId="3D2D8C87" w14:textId="50ED5556" w:rsidR="00DA137D" w:rsidRPr="00CA7AD6" w:rsidRDefault="00DA137D" w:rsidP="00DA137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12153B">
              <w:rPr>
                <w:sz w:val="14"/>
                <w:szCs w:val="14"/>
              </w:rPr>
              <w:lastRenderedPageBreak/>
              <w:t> Attach Compaction Reports</w:t>
            </w:r>
          </w:p>
        </w:tc>
      </w:tr>
      <w:tr w:rsidR="00DA137D" w:rsidRPr="00741190" w14:paraId="4FF3B2C0" w14:textId="77777777" w:rsidTr="00E62D51">
        <w:trPr>
          <w:trHeight w:val="227"/>
        </w:trPr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BAA5" w14:textId="04278EDE" w:rsidR="00DA137D" w:rsidRDefault="00DA137D" w:rsidP="00DA137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7.3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23092" w14:textId="3F344CFC" w:rsidR="00DA137D" w:rsidRDefault="00DA137D" w:rsidP="00DA137D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4"/>
                <w:szCs w:val="14"/>
              </w:rPr>
            </w:pPr>
            <w:r w:rsidRPr="009C632F">
              <w:rPr>
                <w:rFonts w:asciiTheme="majorHAnsi" w:hAnsiTheme="majorHAnsi" w:cstheme="majorHAnsi"/>
                <w:sz w:val="14"/>
                <w:szCs w:val="14"/>
              </w:rPr>
              <w:t>CCTV Inspection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28B5" w14:textId="547A38F0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701.30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1A97" w14:textId="3A2B703C" w:rsidR="00DA137D" w:rsidRPr="00B6118F" w:rsidRDefault="00DA137D" w:rsidP="00DA137D">
            <w:pPr>
              <w:tabs>
                <w:tab w:val="left" w:pos="28"/>
                <w:tab w:val="left" w:pos="91"/>
                <w:tab w:val="left" w:pos="206"/>
              </w:tabs>
              <w:spacing w:before="60"/>
              <w:ind w:right="-57"/>
              <w:rPr>
                <w:rFonts w:asciiTheme="majorHAnsi" w:hAnsiTheme="majorHAnsi" w:cstheme="majorHAnsi"/>
                <w:sz w:val="14"/>
                <w:szCs w:val="14"/>
              </w:rPr>
            </w:pPr>
            <w:r w:rsidRPr="00947707">
              <w:rPr>
                <w:b/>
                <w:snapToGrid w:val="0"/>
                <w:sz w:val="14"/>
                <w:szCs w:val="14"/>
              </w:rPr>
              <w:t>Have all storm water lines been inspected by CCTV and found to be free of defects prior to placement of pavement?</w:t>
            </w:r>
          </w:p>
          <w:p w14:paraId="2C2C6F29" w14:textId="5935399E" w:rsidR="00DA137D" w:rsidRPr="008625C4" w:rsidRDefault="00DA137D" w:rsidP="00DA137D">
            <w:pPr>
              <w:pStyle w:val="Tabletext"/>
              <w:jc w:val="both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   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sz w:val="14"/>
                <w:szCs w:val="14"/>
              </w:rPr>
              <w:t xml:space="preserve">         N/A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05A22" w14:textId="77777777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  <w:p w14:paraId="3FB155B5" w14:textId="44BEAE3B" w:rsidR="00DA137D" w:rsidRDefault="00DA137D" w:rsidP="00DA137D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1C41E" w14:textId="622EEC24" w:rsidR="00DA137D" w:rsidRPr="00947707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947707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D71B0" w14:textId="3D2611B2" w:rsidR="00DA137D" w:rsidRPr="00947707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947707">
              <w:rPr>
                <w:b/>
                <w:bCs/>
                <w:sz w:val="14"/>
                <w:szCs w:val="14"/>
              </w:rPr>
              <w:t>PE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F4F04" w14:textId="77777777" w:rsidR="00DA137D" w:rsidRPr="00947707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743BE" w14:textId="506A915F" w:rsidR="00DA137D" w:rsidRPr="00947707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947707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E8A18" w14:textId="2357D39D" w:rsidR="00DA137D" w:rsidRPr="00947707" w:rsidRDefault="00DA137D" w:rsidP="00DA137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947707">
              <w:rPr>
                <w:b/>
                <w:bCs/>
                <w:sz w:val="14"/>
                <w:szCs w:val="14"/>
              </w:rPr>
              <w:t>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8666B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D7E06F7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16DE1876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615D1B8A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CCTV Inspection Report</w:t>
            </w:r>
          </w:p>
          <w:p w14:paraId="4BF67192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Yes    </w:t>
            </w:r>
            <w:r w:rsidRPr="00064EBA">
              <w:rPr>
                <w:b/>
                <w:sz w:val="20"/>
              </w:rPr>
              <w:t xml:space="preserve"> </w:t>
            </w:r>
            <w:r w:rsidRPr="00064EBA">
              <w:rPr>
                <w:rFonts w:cstheme="minorHAnsi"/>
                <w:b/>
                <w:sz w:val="28"/>
                <w:szCs w:val="28"/>
              </w:rPr>
              <w:t>□</w:t>
            </w:r>
            <w:r w:rsidRPr="00064EB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14"/>
                <w:szCs w:val="14"/>
              </w:rPr>
              <w:t xml:space="preserve">No     </w:t>
            </w:r>
            <w:r w:rsidRPr="00064EBA">
              <w:rPr>
                <w:b/>
                <w:sz w:val="24"/>
                <w:szCs w:val="24"/>
              </w:rPr>
              <w:t xml:space="preserve"> </w:t>
            </w:r>
            <w:r w:rsidRPr="00064EBA">
              <w:rPr>
                <w:rFonts w:ascii="Arial" w:hAnsi="Arial" w:cs="Arial"/>
                <w:b/>
                <w:sz w:val="24"/>
                <w:szCs w:val="24"/>
              </w:rPr>
              <w:t>□</w:t>
            </w:r>
            <w:r>
              <w:rPr>
                <w:b/>
                <w:bCs w:val="0"/>
                <w:sz w:val="14"/>
                <w:szCs w:val="14"/>
              </w:rPr>
              <w:t xml:space="preserve">        </w:t>
            </w:r>
          </w:p>
          <w:p w14:paraId="486FD238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4E08291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3FDAE72" w14:textId="77777777" w:rsidR="00DA137D" w:rsidRDefault="00DA137D" w:rsidP="00DA137D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38848BCB" w14:textId="77777777" w:rsidR="00DA137D" w:rsidRDefault="00DA137D" w:rsidP="00DA137D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p w14:paraId="7C0D4D42" w14:textId="77777777" w:rsidR="003B30F4" w:rsidRDefault="003B30F4" w:rsidP="00B27F39">
      <w:pPr>
        <w:pStyle w:val="SymalBodycopylvl1"/>
        <w:spacing w:before="60" w:after="0"/>
      </w:pPr>
    </w:p>
    <w:p w14:paraId="76F8CA88" w14:textId="77777777" w:rsidR="003B30F4" w:rsidRDefault="003B30F4" w:rsidP="00B27F39">
      <w:pPr>
        <w:pStyle w:val="SymalBodycopylvl1"/>
        <w:spacing w:before="60" w:after="0"/>
      </w:pPr>
    </w:p>
    <w:p w14:paraId="3393D27E" w14:textId="77777777" w:rsidR="003B30F4" w:rsidRDefault="003B30F4" w:rsidP="00B27F39">
      <w:pPr>
        <w:pStyle w:val="SymalBodycopylvl1"/>
        <w:spacing w:before="60" w:after="0"/>
      </w:pPr>
    </w:p>
    <w:p w14:paraId="771A7126" w14:textId="77777777" w:rsidR="003B30F4" w:rsidRDefault="003B30F4" w:rsidP="00B27F39">
      <w:pPr>
        <w:pStyle w:val="SymalBodycopylvl1"/>
        <w:spacing w:before="60" w:after="0"/>
      </w:pPr>
    </w:p>
    <w:p w14:paraId="0E0671D3" w14:textId="77777777" w:rsidR="003B30F4" w:rsidRDefault="003B30F4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8BF906B" w:rsidR="00EA0774" w:rsidRPr="005056E3" w:rsidRDefault="00031D18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7E30AF"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2064BA8D" w14:textId="63D3EECA" w:rsidR="00A9655D" w:rsidRPr="003B30F4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A9655D" w:rsidRPr="003B30F4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FDFD" w14:textId="77777777" w:rsidR="00D71732" w:rsidRDefault="00D71732" w:rsidP="007617B0">
      <w:pPr>
        <w:spacing w:after="0"/>
      </w:pPr>
      <w:r>
        <w:separator/>
      </w:r>
    </w:p>
  </w:endnote>
  <w:endnote w:type="continuationSeparator" w:id="0">
    <w:p w14:paraId="298259E4" w14:textId="77777777" w:rsidR="00D71732" w:rsidRDefault="00D71732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CCA05BC" w:rsidR="00D340C6" w:rsidRPr="00AD0710" w:rsidRDefault="00AC0E98" w:rsidP="00453327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Issue date </w:t>
          </w:r>
          <w:r w:rsidR="009976EF">
            <w:rPr>
              <w:szCs w:val="16"/>
            </w:rPr>
            <w:t>2</w:t>
          </w:r>
          <w:r w:rsidR="00257F7B">
            <w:rPr>
              <w:szCs w:val="16"/>
            </w:rPr>
            <w:t>3</w:t>
          </w:r>
          <w:r w:rsidR="00D340C6" w:rsidRPr="00AD0710">
            <w:rPr>
              <w:szCs w:val="16"/>
            </w:rPr>
            <w:t>/</w:t>
          </w:r>
          <w:r w:rsidR="009976EF">
            <w:rPr>
              <w:szCs w:val="16"/>
            </w:rPr>
            <w:t>0</w:t>
          </w:r>
          <w:r w:rsidR="00257F7B">
            <w:rPr>
              <w:szCs w:val="16"/>
            </w:rPr>
            <w:t>6</w:t>
          </w:r>
          <w:r w:rsidR="00D340C6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52FBDA63" w:rsidR="00D340C6" w:rsidRPr="00AD0710" w:rsidRDefault="00AC0E9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Issue </w:t>
          </w:r>
          <w:r w:rsidR="00257F7B">
            <w:rPr>
              <w:szCs w:val="16"/>
            </w:rPr>
            <w:t>00</w:t>
          </w:r>
          <w:r w:rsidR="00031D18" w:rsidRPr="00AD0710">
            <w:rPr>
              <w:szCs w:val="16"/>
            </w:rPr>
            <w:t xml:space="preserve"> Issue date </w:t>
          </w:r>
          <w:r w:rsidR="009976EF">
            <w:rPr>
              <w:szCs w:val="16"/>
            </w:rPr>
            <w:t>2</w:t>
          </w:r>
          <w:r w:rsidR="00257F7B">
            <w:rPr>
              <w:szCs w:val="16"/>
            </w:rPr>
            <w:t>3</w:t>
          </w:r>
          <w:r w:rsidR="009976EF">
            <w:rPr>
              <w:szCs w:val="16"/>
            </w:rPr>
            <w:t>/0</w:t>
          </w:r>
          <w:r w:rsidR="00257F7B">
            <w:rPr>
              <w:szCs w:val="16"/>
            </w:rPr>
            <w:t>6</w:t>
          </w:r>
          <w:r w:rsidR="00031D18" w:rsidRPr="00AD0710">
            <w:rPr>
              <w:szCs w:val="16"/>
            </w:rPr>
            <w:t>/202</w:t>
          </w:r>
          <w:r w:rsidR="00412F25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C5713" w14:textId="77777777" w:rsidR="00D71732" w:rsidRDefault="00D71732" w:rsidP="007617B0">
      <w:pPr>
        <w:spacing w:after="0"/>
      </w:pPr>
      <w:r>
        <w:separator/>
      </w:r>
    </w:p>
  </w:footnote>
  <w:footnote w:type="continuationSeparator" w:id="0">
    <w:p w14:paraId="0A253835" w14:textId="77777777" w:rsidR="00D71732" w:rsidRDefault="00D71732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EndPr/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EndPr/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-94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-94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74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63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37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9CC5BFC"/>
    <w:multiLevelType w:val="hybridMultilevel"/>
    <w:tmpl w:val="A8925672"/>
    <w:lvl w:ilvl="0" w:tplc="09FED3CA">
      <w:start w:val="6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114D61"/>
    <w:multiLevelType w:val="hybridMultilevel"/>
    <w:tmpl w:val="B388D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95E6204"/>
    <w:multiLevelType w:val="hybridMultilevel"/>
    <w:tmpl w:val="F16C8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5FF54A5"/>
    <w:multiLevelType w:val="hybridMultilevel"/>
    <w:tmpl w:val="A85A101C"/>
    <w:lvl w:ilvl="0" w:tplc="3D44D9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6" w:hanging="360"/>
      </w:pPr>
    </w:lvl>
    <w:lvl w:ilvl="2" w:tplc="0C09001B" w:tentative="1">
      <w:start w:val="1"/>
      <w:numFmt w:val="lowerRoman"/>
      <w:lvlText w:val="%3."/>
      <w:lvlJc w:val="right"/>
      <w:pPr>
        <w:ind w:left="2256" w:hanging="180"/>
      </w:pPr>
    </w:lvl>
    <w:lvl w:ilvl="3" w:tplc="0C09000F" w:tentative="1">
      <w:start w:val="1"/>
      <w:numFmt w:val="decimal"/>
      <w:lvlText w:val="%4."/>
      <w:lvlJc w:val="left"/>
      <w:pPr>
        <w:ind w:left="2976" w:hanging="360"/>
      </w:pPr>
    </w:lvl>
    <w:lvl w:ilvl="4" w:tplc="0C090019" w:tentative="1">
      <w:start w:val="1"/>
      <w:numFmt w:val="lowerLetter"/>
      <w:lvlText w:val="%5."/>
      <w:lvlJc w:val="left"/>
      <w:pPr>
        <w:ind w:left="3696" w:hanging="360"/>
      </w:pPr>
    </w:lvl>
    <w:lvl w:ilvl="5" w:tplc="0C09001B" w:tentative="1">
      <w:start w:val="1"/>
      <w:numFmt w:val="lowerRoman"/>
      <w:lvlText w:val="%6."/>
      <w:lvlJc w:val="right"/>
      <w:pPr>
        <w:ind w:left="4416" w:hanging="180"/>
      </w:pPr>
    </w:lvl>
    <w:lvl w:ilvl="6" w:tplc="0C09000F" w:tentative="1">
      <w:start w:val="1"/>
      <w:numFmt w:val="decimal"/>
      <w:lvlText w:val="%7."/>
      <w:lvlJc w:val="left"/>
      <w:pPr>
        <w:ind w:left="5136" w:hanging="360"/>
      </w:pPr>
    </w:lvl>
    <w:lvl w:ilvl="7" w:tplc="0C090019" w:tentative="1">
      <w:start w:val="1"/>
      <w:numFmt w:val="lowerLetter"/>
      <w:lvlText w:val="%8."/>
      <w:lvlJc w:val="left"/>
      <w:pPr>
        <w:ind w:left="5856" w:hanging="360"/>
      </w:pPr>
    </w:lvl>
    <w:lvl w:ilvl="8" w:tplc="0C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1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2" w15:restartNumberingAfterBreak="0">
    <w:nsid w:val="7B1C3299"/>
    <w:multiLevelType w:val="hybridMultilevel"/>
    <w:tmpl w:val="9236B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abstractNum w:abstractNumId="24" w15:restartNumberingAfterBreak="0">
    <w:nsid w:val="7EF26BDF"/>
    <w:multiLevelType w:val="hybridMultilevel"/>
    <w:tmpl w:val="543CE700"/>
    <w:lvl w:ilvl="0" w:tplc="E58AA52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3080">
    <w:abstractNumId w:val="16"/>
  </w:num>
  <w:num w:numId="2" w16cid:durableId="135882040">
    <w:abstractNumId w:val="11"/>
  </w:num>
  <w:num w:numId="3" w16cid:durableId="1351375560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387805285">
    <w:abstractNumId w:val="3"/>
  </w:num>
  <w:num w:numId="5" w16cid:durableId="1867717215">
    <w:abstractNumId w:val="17"/>
  </w:num>
  <w:num w:numId="6" w16cid:durableId="1180579981">
    <w:abstractNumId w:val="4"/>
  </w:num>
  <w:num w:numId="7" w16cid:durableId="645285879">
    <w:abstractNumId w:val="6"/>
  </w:num>
  <w:num w:numId="8" w16cid:durableId="1462960153">
    <w:abstractNumId w:val="1"/>
  </w:num>
  <w:num w:numId="9" w16cid:durableId="1328441059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09394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5249432">
    <w:abstractNumId w:val="13"/>
  </w:num>
  <w:num w:numId="12" w16cid:durableId="7069520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10651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960078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79010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95937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3819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277464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5819237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32570576">
    <w:abstractNumId w:val="0"/>
  </w:num>
  <w:num w:numId="21" w16cid:durableId="629242949">
    <w:abstractNumId w:val="9"/>
  </w:num>
  <w:num w:numId="22" w16cid:durableId="1192188324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309333882">
    <w:abstractNumId w:val="19"/>
  </w:num>
  <w:num w:numId="24" w16cid:durableId="497041853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238342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01366578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629825039">
    <w:abstractNumId w:val="20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646006533">
    <w:abstractNumId w:val="18"/>
  </w:num>
  <w:num w:numId="29" w16cid:durableId="62022295">
    <w:abstractNumId w:val="8"/>
  </w:num>
  <w:num w:numId="30" w16cid:durableId="131140209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303466466">
    <w:abstractNumId w:val="21"/>
  </w:num>
  <w:num w:numId="32" w16cid:durableId="1567703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598176">
    <w:abstractNumId w:val="10"/>
  </w:num>
  <w:num w:numId="34" w16cid:durableId="1042553057">
    <w:abstractNumId w:val="15"/>
  </w:num>
  <w:num w:numId="35" w16cid:durableId="1511094562">
    <w:abstractNumId w:val="24"/>
  </w:num>
  <w:num w:numId="36" w16cid:durableId="1627546516">
    <w:abstractNumId w:val="2"/>
  </w:num>
  <w:num w:numId="37" w16cid:durableId="1836847167">
    <w:abstractNumId w:val="5"/>
  </w:num>
  <w:num w:numId="38" w16cid:durableId="1551259558">
    <w:abstractNumId w:val="12"/>
  </w:num>
  <w:num w:numId="39" w16cid:durableId="283006404">
    <w:abstractNumId w:val="14"/>
  </w:num>
  <w:num w:numId="40" w16cid:durableId="1664822461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ytjQ3MzA1N7M0MzJV0lEKTi0uzszPAykwqwUAYukGbCwAAAA="/>
  </w:docVars>
  <w:rsids>
    <w:rsidRoot w:val="00EA0774"/>
    <w:rsid w:val="000125AB"/>
    <w:rsid w:val="00012FBA"/>
    <w:rsid w:val="00013E57"/>
    <w:rsid w:val="00014E2F"/>
    <w:rsid w:val="000158DC"/>
    <w:rsid w:val="00021F49"/>
    <w:rsid w:val="00031D18"/>
    <w:rsid w:val="0003431C"/>
    <w:rsid w:val="00035C95"/>
    <w:rsid w:val="0004110C"/>
    <w:rsid w:val="00042A87"/>
    <w:rsid w:val="0004421D"/>
    <w:rsid w:val="00046F51"/>
    <w:rsid w:val="000628FA"/>
    <w:rsid w:val="000730D0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4F94"/>
    <w:rsid w:val="000B6205"/>
    <w:rsid w:val="000B695B"/>
    <w:rsid w:val="000C28DA"/>
    <w:rsid w:val="000D0E97"/>
    <w:rsid w:val="000D19DD"/>
    <w:rsid w:val="000D2C8F"/>
    <w:rsid w:val="000D4A7C"/>
    <w:rsid w:val="000D6DC3"/>
    <w:rsid w:val="000F15B9"/>
    <w:rsid w:val="000F6E06"/>
    <w:rsid w:val="00112853"/>
    <w:rsid w:val="001153A9"/>
    <w:rsid w:val="0012153B"/>
    <w:rsid w:val="0012160E"/>
    <w:rsid w:val="00123A2C"/>
    <w:rsid w:val="00130D54"/>
    <w:rsid w:val="001329E3"/>
    <w:rsid w:val="0013432E"/>
    <w:rsid w:val="0013631B"/>
    <w:rsid w:val="00136359"/>
    <w:rsid w:val="00145C21"/>
    <w:rsid w:val="00150E01"/>
    <w:rsid w:val="00152695"/>
    <w:rsid w:val="00152A1E"/>
    <w:rsid w:val="00164930"/>
    <w:rsid w:val="00164D07"/>
    <w:rsid w:val="001811DA"/>
    <w:rsid w:val="0018362E"/>
    <w:rsid w:val="00191157"/>
    <w:rsid w:val="00191711"/>
    <w:rsid w:val="001925E8"/>
    <w:rsid w:val="00195C7E"/>
    <w:rsid w:val="001A7888"/>
    <w:rsid w:val="001B06FE"/>
    <w:rsid w:val="001B4060"/>
    <w:rsid w:val="001C2875"/>
    <w:rsid w:val="001D6AD5"/>
    <w:rsid w:val="001E02D6"/>
    <w:rsid w:val="001E260A"/>
    <w:rsid w:val="001E5EB5"/>
    <w:rsid w:val="001F3ABC"/>
    <w:rsid w:val="001F4330"/>
    <w:rsid w:val="001F5EAE"/>
    <w:rsid w:val="0020352B"/>
    <w:rsid w:val="002129DE"/>
    <w:rsid w:val="00213887"/>
    <w:rsid w:val="0022227C"/>
    <w:rsid w:val="00227E3C"/>
    <w:rsid w:val="0024535F"/>
    <w:rsid w:val="0024627B"/>
    <w:rsid w:val="00251B39"/>
    <w:rsid w:val="002523AD"/>
    <w:rsid w:val="00252AED"/>
    <w:rsid w:val="00254B48"/>
    <w:rsid w:val="0025506A"/>
    <w:rsid w:val="002554CB"/>
    <w:rsid w:val="00257F7B"/>
    <w:rsid w:val="002608E7"/>
    <w:rsid w:val="00264F3C"/>
    <w:rsid w:val="00276E10"/>
    <w:rsid w:val="00280156"/>
    <w:rsid w:val="00280FAE"/>
    <w:rsid w:val="00281140"/>
    <w:rsid w:val="00282680"/>
    <w:rsid w:val="0028562B"/>
    <w:rsid w:val="00290DBD"/>
    <w:rsid w:val="002B33D2"/>
    <w:rsid w:val="002B7C52"/>
    <w:rsid w:val="002C020C"/>
    <w:rsid w:val="002C3E58"/>
    <w:rsid w:val="002C40D8"/>
    <w:rsid w:val="002D08B8"/>
    <w:rsid w:val="002D1DF0"/>
    <w:rsid w:val="002E08A0"/>
    <w:rsid w:val="002E1EBA"/>
    <w:rsid w:val="002E46E4"/>
    <w:rsid w:val="002F7E9F"/>
    <w:rsid w:val="00301828"/>
    <w:rsid w:val="00305A59"/>
    <w:rsid w:val="003141E2"/>
    <w:rsid w:val="0031420F"/>
    <w:rsid w:val="00317156"/>
    <w:rsid w:val="00317891"/>
    <w:rsid w:val="00337228"/>
    <w:rsid w:val="0033732E"/>
    <w:rsid w:val="00340833"/>
    <w:rsid w:val="00345D7B"/>
    <w:rsid w:val="00346FF0"/>
    <w:rsid w:val="00351D72"/>
    <w:rsid w:val="00352510"/>
    <w:rsid w:val="003868C5"/>
    <w:rsid w:val="00386D74"/>
    <w:rsid w:val="0039441E"/>
    <w:rsid w:val="00395F0F"/>
    <w:rsid w:val="003A1A4C"/>
    <w:rsid w:val="003A2DF5"/>
    <w:rsid w:val="003B1DA5"/>
    <w:rsid w:val="003B30F4"/>
    <w:rsid w:val="003B361E"/>
    <w:rsid w:val="003B3B14"/>
    <w:rsid w:val="003C1E57"/>
    <w:rsid w:val="003C2BA2"/>
    <w:rsid w:val="003C6F6D"/>
    <w:rsid w:val="003D0E4B"/>
    <w:rsid w:val="003D7204"/>
    <w:rsid w:val="003E111A"/>
    <w:rsid w:val="003E2E17"/>
    <w:rsid w:val="003E4005"/>
    <w:rsid w:val="003F1AC6"/>
    <w:rsid w:val="003F22E3"/>
    <w:rsid w:val="003F396E"/>
    <w:rsid w:val="004110DC"/>
    <w:rsid w:val="004121D0"/>
    <w:rsid w:val="00412F25"/>
    <w:rsid w:val="00414B29"/>
    <w:rsid w:val="00422652"/>
    <w:rsid w:val="00426CA1"/>
    <w:rsid w:val="004310D2"/>
    <w:rsid w:val="00434660"/>
    <w:rsid w:val="00436624"/>
    <w:rsid w:val="00440208"/>
    <w:rsid w:val="0044465E"/>
    <w:rsid w:val="004446C0"/>
    <w:rsid w:val="00453327"/>
    <w:rsid w:val="00456E7D"/>
    <w:rsid w:val="00460ED2"/>
    <w:rsid w:val="00463A06"/>
    <w:rsid w:val="00463EF2"/>
    <w:rsid w:val="00465924"/>
    <w:rsid w:val="00465C9A"/>
    <w:rsid w:val="004661B2"/>
    <w:rsid w:val="0047229A"/>
    <w:rsid w:val="00475BB5"/>
    <w:rsid w:val="0047722B"/>
    <w:rsid w:val="00481DBA"/>
    <w:rsid w:val="00482E78"/>
    <w:rsid w:val="00484408"/>
    <w:rsid w:val="00484A6F"/>
    <w:rsid w:val="00487215"/>
    <w:rsid w:val="004908DD"/>
    <w:rsid w:val="00492A2D"/>
    <w:rsid w:val="004A0E5D"/>
    <w:rsid w:val="004A405A"/>
    <w:rsid w:val="004A4EDE"/>
    <w:rsid w:val="004A7E34"/>
    <w:rsid w:val="004B1AD9"/>
    <w:rsid w:val="004B6C8C"/>
    <w:rsid w:val="004B7DF8"/>
    <w:rsid w:val="004C0D19"/>
    <w:rsid w:val="004C14A8"/>
    <w:rsid w:val="004C766D"/>
    <w:rsid w:val="004D1370"/>
    <w:rsid w:val="004D1AFB"/>
    <w:rsid w:val="004D1FC0"/>
    <w:rsid w:val="004D39F9"/>
    <w:rsid w:val="004E1444"/>
    <w:rsid w:val="004E23FF"/>
    <w:rsid w:val="004E2F4A"/>
    <w:rsid w:val="004F0428"/>
    <w:rsid w:val="004F1599"/>
    <w:rsid w:val="004F4C75"/>
    <w:rsid w:val="004F7DCE"/>
    <w:rsid w:val="005009B9"/>
    <w:rsid w:val="0050180D"/>
    <w:rsid w:val="0050215F"/>
    <w:rsid w:val="005056E3"/>
    <w:rsid w:val="00505D2E"/>
    <w:rsid w:val="00513362"/>
    <w:rsid w:val="0052741B"/>
    <w:rsid w:val="00527AFB"/>
    <w:rsid w:val="00534122"/>
    <w:rsid w:val="00535B3C"/>
    <w:rsid w:val="005371C9"/>
    <w:rsid w:val="00537E2F"/>
    <w:rsid w:val="00537E86"/>
    <w:rsid w:val="00541D39"/>
    <w:rsid w:val="00544906"/>
    <w:rsid w:val="00545BA5"/>
    <w:rsid w:val="005462B0"/>
    <w:rsid w:val="00552FA3"/>
    <w:rsid w:val="00564CAC"/>
    <w:rsid w:val="00567B07"/>
    <w:rsid w:val="0057088F"/>
    <w:rsid w:val="0057414C"/>
    <w:rsid w:val="00581148"/>
    <w:rsid w:val="005812CB"/>
    <w:rsid w:val="0058363C"/>
    <w:rsid w:val="005851B9"/>
    <w:rsid w:val="00587F35"/>
    <w:rsid w:val="005942B3"/>
    <w:rsid w:val="0059509B"/>
    <w:rsid w:val="005A2DB2"/>
    <w:rsid w:val="005A545C"/>
    <w:rsid w:val="005A730C"/>
    <w:rsid w:val="005B7315"/>
    <w:rsid w:val="005C244C"/>
    <w:rsid w:val="005D7F6B"/>
    <w:rsid w:val="005E1C0B"/>
    <w:rsid w:val="005E1E7C"/>
    <w:rsid w:val="005E1EEB"/>
    <w:rsid w:val="005E7C7F"/>
    <w:rsid w:val="005F20A8"/>
    <w:rsid w:val="00600E4F"/>
    <w:rsid w:val="00607B0C"/>
    <w:rsid w:val="00610C6D"/>
    <w:rsid w:val="00612627"/>
    <w:rsid w:val="00613248"/>
    <w:rsid w:val="006239C8"/>
    <w:rsid w:val="00624ADE"/>
    <w:rsid w:val="00626F76"/>
    <w:rsid w:val="0062751F"/>
    <w:rsid w:val="00635B53"/>
    <w:rsid w:val="00640BAA"/>
    <w:rsid w:val="00644773"/>
    <w:rsid w:val="0065381A"/>
    <w:rsid w:val="00653EE2"/>
    <w:rsid w:val="00657AFA"/>
    <w:rsid w:val="00660491"/>
    <w:rsid w:val="006660B9"/>
    <w:rsid w:val="00671642"/>
    <w:rsid w:val="00684AC4"/>
    <w:rsid w:val="00697598"/>
    <w:rsid w:val="006B7AF5"/>
    <w:rsid w:val="006B7EE7"/>
    <w:rsid w:val="006C1CE9"/>
    <w:rsid w:val="006D5AF1"/>
    <w:rsid w:val="006E29C0"/>
    <w:rsid w:val="006E50F4"/>
    <w:rsid w:val="006E6451"/>
    <w:rsid w:val="006F2187"/>
    <w:rsid w:val="006F6C26"/>
    <w:rsid w:val="007020DA"/>
    <w:rsid w:val="00706B2D"/>
    <w:rsid w:val="007101DE"/>
    <w:rsid w:val="00713840"/>
    <w:rsid w:val="0071393C"/>
    <w:rsid w:val="007332CD"/>
    <w:rsid w:val="007351D2"/>
    <w:rsid w:val="00741190"/>
    <w:rsid w:val="007502EC"/>
    <w:rsid w:val="007531BF"/>
    <w:rsid w:val="00753AB2"/>
    <w:rsid w:val="00753B1F"/>
    <w:rsid w:val="00754283"/>
    <w:rsid w:val="007617B0"/>
    <w:rsid w:val="007617D8"/>
    <w:rsid w:val="00770D7E"/>
    <w:rsid w:val="0077197C"/>
    <w:rsid w:val="00773D79"/>
    <w:rsid w:val="00791F49"/>
    <w:rsid w:val="00794493"/>
    <w:rsid w:val="00797266"/>
    <w:rsid w:val="007A3D8B"/>
    <w:rsid w:val="007B51B3"/>
    <w:rsid w:val="007C033B"/>
    <w:rsid w:val="007C1826"/>
    <w:rsid w:val="007C18AE"/>
    <w:rsid w:val="007D1349"/>
    <w:rsid w:val="007D1801"/>
    <w:rsid w:val="007D2294"/>
    <w:rsid w:val="007D24E8"/>
    <w:rsid w:val="007E30AF"/>
    <w:rsid w:val="007F06B8"/>
    <w:rsid w:val="007F383E"/>
    <w:rsid w:val="007F409D"/>
    <w:rsid w:val="007F5D0E"/>
    <w:rsid w:val="007F7B79"/>
    <w:rsid w:val="008042D6"/>
    <w:rsid w:val="00804B35"/>
    <w:rsid w:val="00807516"/>
    <w:rsid w:val="00812D80"/>
    <w:rsid w:val="00815CB5"/>
    <w:rsid w:val="00826421"/>
    <w:rsid w:val="00836163"/>
    <w:rsid w:val="008449B9"/>
    <w:rsid w:val="008460EF"/>
    <w:rsid w:val="00846784"/>
    <w:rsid w:val="00846D58"/>
    <w:rsid w:val="00847B71"/>
    <w:rsid w:val="00852A26"/>
    <w:rsid w:val="00854579"/>
    <w:rsid w:val="00857276"/>
    <w:rsid w:val="00857D3C"/>
    <w:rsid w:val="008658C5"/>
    <w:rsid w:val="00891F2F"/>
    <w:rsid w:val="00892EDB"/>
    <w:rsid w:val="008969A1"/>
    <w:rsid w:val="008A6FA5"/>
    <w:rsid w:val="008B3132"/>
    <w:rsid w:val="008B3A4E"/>
    <w:rsid w:val="008B44D5"/>
    <w:rsid w:val="008C72DE"/>
    <w:rsid w:val="008D0815"/>
    <w:rsid w:val="008D7258"/>
    <w:rsid w:val="008F52D6"/>
    <w:rsid w:val="008F658D"/>
    <w:rsid w:val="00903633"/>
    <w:rsid w:val="00905271"/>
    <w:rsid w:val="009113FF"/>
    <w:rsid w:val="009122A5"/>
    <w:rsid w:val="0092310D"/>
    <w:rsid w:val="00927815"/>
    <w:rsid w:val="009317A5"/>
    <w:rsid w:val="00934D59"/>
    <w:rsid w:val="00947707"/>
    <w:rsid w:val="00947D2E"/>
    <w:rsid w:val="00952909"/>
    <w:rsid w:val="0095617A"/>
    <w:rsid w:val="00956461"/>
    <w:rsid w:val="0095774A"/>
    <w:rsid w:val="00957810"/>
    <w:rsid w:val="009612AB"/>
    <w:rsid w:val="0096243E"/>
    <w:rsid w:val="00967143"/>
    <w:rsid w:val="00976256"/>
    <w:rsid w:val="0097797F"/>
    <w:rsid w:val="009922C3"/>
    <w:rsid w:val="0099656E"/>
    <w:rsid w:val="009976EF"/>
    <w:rsid w:val="00997E2B"/>
    <w:rsid w:val="00997ED4"/>
    <w:rsid w:val="009A1BF1"/>
    <w:rsid w:val="009A2F10"/>
    <w:rsid w:val="009A3D1A"/>
    <w:rsid w:val="009A4487"/>
    <w:rsid w:val="009B08F6"/>
    <w:rsid w:val="009B0F20"/>
    <w:rsid w:val="009B6FD8"/>
    <w:rsid w:val="009B7B58"/>
    <w:rsid w:val="009B7C00"/>
    <w:rsid w:val="009C100B"/>
    <w:rsid w:val="009C4E96"/>
    <w:rsid w:val="009C632F"/>
    <w:rsid w:val="009C6905"/>
    <w:rsid w:val="009C6D48"/>
    <w:rsid w:val="009D2A75"/>
    <w:rsid w:val="009D585E"/>
    <w:rsid w:val="009D67E4"/>
    <w:rsid w:val="009E54C2"/>
    <w:rsid w:val="009E61A6"/>
    <w:rsid w:val="009F421D"/>
    <w:rsid w:val="00A01549"/>
    <w:rsid w:val="00A037F8"/>
    <w:rsid w:val="00A17054"/>
    <w:rsid w:val="00A230A9"/>
    <w:rsid w:val="00A263D2"/>
    <w:rsid w:val="00A265F2"/>
    <w:rsid w:val="00A3252B"/>
    <w:rsid w:val="00A37F27"/>
    <w:rsid w:val="00A41887"/>
    <w:rsid w:val="00A42645"/>
    <w:rsid w:val="00A4264E"/>
    <w:rsid w:val="00A508F1"/>
    <w:rsid w:val="00A51E64"/>
    <w:rsid w:val="00A55A8E"/>
    <w:rsid w:val="00A62A1A"/>
    <w:rsid w:val="00A64F70"/>
    <w:rsid w:val="00A65C9F"/>
    <w:rsid w:val="00A67217"/>
    <w:rsid w:val="00A71811"/>
    <w:rsid w:val="00A7458C"/>
    <w:rsid w:val="00A76AD2"/>
    <w:rsid w:val="00A82F0E"/>
    <w:rsid w:val="00A85D35"/>
    <w:rsid w:val="00A93158"/>
    <w:rsid w:val="00A939A2"/>
    <w:rsid w:val="00A95C96"/>
    <w:rsid w:val="00A9655D"/>
    <w:rsid w:val="00A9669B"/>
    <w:rsid w:val="00AA52D9"/>
    <w:rsid w:val="00AA785F"/>
    <w:rsid w:val="00AB1CA0"/>
    <w:rsid w:val="00AB2FD2"/>
    <w:rsid w:val="00AC0E98"/>
    <w:rsid w:val="00AC5039"/>
    <w:rsid w:val="00AD0E45"/>
    <w:rsid w:val="00AD403E"/>
    <w:rsid w:val="00AD4192"/>
    <w:rsid w:val="00AD4512"/>
    <w:rsid w:val="00AD4DCF"/>
    <w:rsid w:val="00AE0057"/>
    <w:rsid w:val="00AE0464"/>
    <w:rsid w:val="00AF0B93"/>
    <w:rsid w:val="00AF0F69"/>
    <w:rsid w:val="00AF198A"/>
    <w:rsid w:val="00AF1ECC"/>
    <w:rsid w:val="00B00A3E"/>
    <w:rsid w:val="00B03F34"/>
    <w:rsid w:val="00B04CA9"/>
    <w:rsid w:val="00B052DD"/>
    <w:rsid w:val="00B1720B"/>
    <w:rsid w:val="00B20900"/>
    <w:rsid w:val="00B216A5"/>
    <w:rsid w:val="00B272DB"/>
    <w:rsid w:val="00B27F39"/>
    <w:rsid w:val="00B324A8"/>
    <w:rsid w:val="00B35F2F"/>
    <w:rsid w:val="00B37391"/>
    <w:rsid w:val="00B409C1"/>
    <w:rsid w:val="00B53353"/>
    <w:rsid w:val="00B6118F"/>
    <w:rsid w:val="00B623C4"/>
    <w:rsid w:val="00B6306C"/>
    <w:rsid w:val="00B72C8F"/>
    <w:rsid w:val="00B8060D"/>
    <w:rsid w:val="00B83F95"/>
    <w:rsid w:val="00B8480C"/>
    <w:rsid w:val="00B8549A"/>
    <w:rsid w:val="00B864E4"/>
    <w:rsid w:val="00B950F8"/>
    <w:rsid w:val="00B96A59"/>
    <w:rsid w:val="00B96C42"/>
    <w:rsid w:val="00BA0363"/>
    <w:rsid w:val="00BA0FF7"/>
    <w:rsid w:val="00BB3A03"/>
    <w:rsid w:val="00BB4E37"/>
    <w:rsid w:val="00BB508E"/>
    <w:rsid w:val="00BB5159"/>
    <w:rsid w:val="00BC276E"/>
    <w:rsid w:val="00BC66ED"/>
    <w:rsid w:val="00BC6BA6"/>
    <w:rsid w:val="00BD00A2"/>
    <w:rsid w:val="00BD2FB4"/>
    <w:rsid w:val="00BD6AFB"/>
    <w:rsid w:val="00BE22A5"/>
    <w:rsid w:val="00BE3698"/>
    <w:rsid w:val="00BE62B0"/>
    <w:rsid w:val="00BE7AC7"/>
    <w:rsid w:val="00C0210A"/>
    <w:rsid w:val="00C0328A"/>
    <w:rsid w:val="00C10D9F"/>
    <w:rsid w:val="00C14D23"/>
    <w:rsid w:val="00C1631D"/>
    <w:rsid w:val="00C168F8"/>
    <w:rsid w:val="00C16AE3"/>
    <w:rsid w:val="00C16F2F"/>
    <w:rsid w:val="00C17BFF"/>
    <w:rsid w:val="00C300E3"/>
    <w:rsid w:val="00C32626"/>
    <w:rsid w:val="00C35E2A"/>
    <w:rsid w:val="00C40179"/>
    <w:rsid w:val="00C5331B"/>
    <w:rsid w:val="00C54893"/>
    <w:rsid w:val="00C5707D"/>
    <w:rsid w:val="00C60631"/>
    <w:rsid w:val="00C613EF"/>
    <w:rsid w:val="00C6169C"/>
    <w:rsid w:val="00C648FE"/>
    <w:rsid w:val="00C64D7F"/>
    <w:rsid w:val="00C64D89"/>
    <w:rsid w:val="00C64EE5"/>
    <w:rsid w:val="00C7104F"/>
    <w:rsid w:val="00C76539"/>
    <w:rsid w:val="00C86A51"/>
    <w:rsid w:val="00C910F0"/>
    <w:rsid w:val="00C9411A"/>
    <w:rsid w:val="00CA14F8"/>
    <w:rsid w:val="00CA2371"/>
    <w:rsid w:val="00CA29FD"/>
    <w:rsid w:val="00CA47C1"/>
    <w:rsid w:val="00CB5C8B"/>
    <w:rsid w:val="00CC61F8"/>
    <w:rsid w:val="00CE09EE"/>
    <w:rsid w:val="00CE7217"/>
    <w:rsid w:val="00CE72C7"/>
    <w:rsid w:val="00CF1D59"/>
    <w:rsid w:val="00D012A3"/>
    <w:rsid w:val="00D044E2"/>
    <w:rsid w:val="00D12376"/>
    <w:rsid w:val="00D156BC"/>
    <w:rsid w:val="00D176FE"/>
    <w:rsid w:val="00D20314"/>
    <w:rsid w:val="00D2101B"/>
    <w:rsid w:val="00D21DB7"/>
    <w:rsid w:val="00D340C6"/>
    <w:rsid w:val="00D3691D"/>
    <w:rsid w:val="00D44CD7"/>
    <w:rsid w:val="00D60E1B"/>
    <w:rsid w:val="00D640F0"/>
    <w:rsid w:val="00D65FB7"/>
    <w:rsid w:val="00D66D53"/>
    <w:rsid w:val="00D67B67"/>
    <w:rsid w:val="00D705C8"/>
    <w:rsid w:val="00D71732"/>
    <w:rsid w:val="00D73579"/>
    <w:rsid w:val="00D77AC2"/>
    <w:rsid w:val="00D81159"/>
    <w:rsid w:val="00D83E1A"/>
    <w:rsid w:val="00D91A8F"/>
    <w:rsid w:val="00DA137D"/>
    <w:rsid w:val="00DA2F1B"/>
    <w:rsid w:val="00DA696F"/>
    <w:rsid w:val="00DB03AF"/>
    <w:rsid w:val="00DB2E8D"/>
    <w:rsid w:val="00DB678F"/>
    <w:rsid w:val="00DB6BD6"/>
    <w:rsid w:val="00DB7890"/>
    <w:rsid w:val="00DC03D8"/>
    <w:rsid w:val="00DC0FBE"/>
    <w:rsid w:val="00DC33F4"/>
    <w:rsid w:val="00DC4011"/>
    <w:rsid w:val="00DC6889"/>
    <w:rsid w:val="00DC6E08"/>
    <w:rsid w:val="00DD345D"/>
    <w:rsid w:val="00DD4E84"/>
    <w:rsid w:val="00DD5BA4"/>
    <w:rsid w:val="00DE21F2"/>
    <w:rsid w:val="00E00F9E"/>
    <w:rsid w:val="00E02F93"/>
    <w:rsid w:val="00E078D4"/>
    <w:rsid w:val="00E106BE"/>
    <w:rsid w:val="00E106CA"/>
    <w:rsid w:val="00E123B5"/>
    <w:rsid w:val="00E21139"/>
    <w:rsid w:val="00E31A35"/>
    <w:rsid w:val="00E34823"/>
    <w:rsid w:val="00E36C70"/>
    <w:rsid w:val="00E36FA1"/>
    <w:rsid w:val="00E42DEF"/>
    <w:rsid w:val="00E52B4F"/>
    <w:rsid w:val="00E5519D"/>
    <w:rsid w:val="00E57CDF"/>
    <w:rsid w:val="00E62D51"/>
    <w:rsid w:val="00E634AB"/>
    <w:rsid w:val="00E6382E"/>
    <w:rsid w:val="00E67801"/>
    <w:rsid w:val="00E75CA8"/>
    <w:rsid w:val="00E770D4"/>
    <w:rsid w:val="00E81208"/>
    <w:rsid w:val="00E83298"/>
    <w:rsid w:val="00E83487"/>
    <w:rsid w:val="00E85AF9"/>
    <w:rsid w:val="00E86D4E"/>
    <w:rsid w:val="00E87EFD"/>
    <w:rsid w:val="00E9273C"/>
    <w:rsid w:val="00E969B9"/>
    <w:rsid w:val="00E97394"/>
    <w:rsid w:val="00EA0774"/>
    <w:rsid w:val="00EB133B"/>
    <w:rsid w:val="00EB232B"/>
    <w:rsid w:val="00EB240D"/>
    <w:rsid w:val="00EC0602"/>
    <w:rsid w:val="00ED07F6"/>
    <w:rsid w:val="00ED28AC"/>
    <w:rsid w:val="00ED3FFB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0B1B"/>
    <w:rsid w:val="00F3483A"/>
    <w:rsid w:val="00F3522A"/>
    <w:rsid w:val="00F3524C"/>
    <w:rsid w:val="00F42B0A"/>
    <w:rsid w:val="00F47D83"/>
    <w:rsid w:val="00F52793"/>
    <w:rsid w:val="00F53864"/>
    <w:rsid w:val="00F54238"/>
    <w:rsid w:val="00F55BD8"/>
    <w:rsid w:val="00F561DA"/>
    <w:rsid w:val="00F57852"/>
    <w:rsid w:val="00F61BDD"/>
    <w:rsid w:val="00F63AB4"/>
    <w:rsid w:val="00F67E9F"/>
    <w:rsid w:val="00F71032"/>
    <w:rsid w:val="00F71084"/>
    <w:rsid w:val="00F72B96"/>
    <w:rsid w:val="00F74CAB"/>
    <w:rsid w:val="00F90A08"/>
    <w:rsid w:val="00F92D53"/>
    <w:rsid w:val="00FA1CAD"/>
    <w:rsid w:val="00FB1C3B"/>
    <w:rsid w:val="00FB57C8"/>
    <w:rsid w:val="00FC1AC4"/>
    <w:rsid w:val="00FC1FCC"/>
    <w:rsid w:val="00FC7567"/>
    <w:rsid w:val="00FD0603"/>
    <w:rsid w:val="00FD0BFE"/>
    <w:rsid w:val="00FD7F4B"/>
    <w:rsid w:val="00FE0BF1"/>
    <w:rsid w:val="00FE0DB7"/>
    <w:rsid w:val="00FE1A9D"/>
    <w:rsid w:val="00FE3562"/>
    <w:rsid w:val="00FE3E04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Title/>
  <Subtitle/>
  <Date/>
</root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UX7PN3QV6WVR-444327919-738235</_dlc_DocId>
    <_dlc_DocIdUrl xmlns="c3186035-6365-4e39-8c78-219fa40dd4cd">
      <Url>https://johnholland.sharepoint.com/sites/p/v/mmts/_layouts/15/DocIdRedir.aspx?ID=UX7PN3QV6WVR-444327919-738235</Url>
      <Description>UX7PN3QV6WVR-444327919-738235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209F1F-5204-4D4B-8D80-6616E7BD59F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E9A6618-2E60-415B-B7B9-559822CC9E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C3550C-C6DD-4632-81E9-3762B82D61B5}">
  <ds:schemaRefs>
    <ds:schemaRef ds:uri="http://www.w3.org/XML/1998/namespace"/>
    <ds:schemaRef ds:uri="c3186035-6365-4e39-8c78-219fa40dd4cd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8d8624c6-e5ac-4fe1-9352-ed08f32c9a9e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927A5A0E-5934-42D4-846A-0C4F85F5C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Template.dotx</Template>
  <TotalTime>146</TotalTime>
  <Pages>10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53</cp:revision>
  <cp:lastPrinted>2022-10-03T03:23:00Z</cp:lastPrinted>
  <dcterms:created xsi:type="dcterms:W3CDTF">2022-09-29T10:02:00Z</dcterms:created>
  <dcterms:modified xsi:type="dcterms:W3CDTF">2022-11-24T02:22:00Z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0x0101004B99D80C40A2DA4BBC8505990A67D41D</vt:lpwstr>
  </property>
  <property fmtid="{D5CDD505-2E9C-101B-9397-08002B2CF9AE}" pid="3" name="_dlc_DocIdItemGuid">
    <vt:lpwstr>d46c1304-69ce-4e83-8624-3ac1dac2a521</vt:lpwstr>
  </property>
  <property fmtid="{D5CDD505-2E9C-101B-9397-08002B2CF9AE}" pid="4" name="MediaServiceImageTags">
    <vt:lpwstr/>
  </property>
</Properties>
</file>