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城市综合服务平台（二期）可行性研究报告</w:t>
      </w:r>
    </w:p>
    <w:p>
      <w:r>
        <w:t>本项目拟建设城市综合服务平台（二期），服务对象包括市级业务部门、区级经办人员和社会公众。</w:t>
      </w:r>
    </w:p>
    <w:p>
      <w:r>
        <w:t>一期项目已完成基础门户和部分事项办理能力，但跨部门数据协同、统一身份认证扩展和运行态势监测能力仍需完善。</w:t>
      </w:r>
    </w:p>
    <w:p>
      <w:r>
        <w:t>业务部门需要统一身份认证能力，实现统一登录、单点登录、权限校验和用户会话管理。</w:t>
      </w:r>
    </w:p>
    <w:p>
      <w:r>
        <w:t>业务部门需要数据共享交换能力，实现跨部门数据交换、接口发布、交换监控和数据订阅管理。</w:t>
      </w:r>
    </w:p>
    <w:p>
      <w:r>
        <w:t>管理人员需要综合态势分析能力，展示业务办理量、数据交换量、系统运行状态和异常告警趋势。</w:t>
      </w:r>
    </w:p>
    <w:p>
      <w:r>
        <w:t>建设统一身份认证模块，提供账号统一管理、单点登录、权限校验、会话管理和登录审计能力。</w:t>
      </w:r>
    </w:p>
    <w:p>
      <w:r>
        <w:t>建设数据共享交换模块，提供跨部门数据交换、接口发布、接口订阅、交换监控和异常告警能力。</w:t>
      </w:r>
    </w:p>
    <w:p>
      <w:r>
        <w:t>建设综合态势分析模块，提供运行指标看板、趋势分析、告警统计和管理驾驶舱能力。</w:t>
      </w:r>
    </w:p>
    <w:p>
      <w:r>
        <w:t>系统采用前后端分离架构，统一接入认证服务、数据交换服务和监控分析服务。</w:t>
      </w:r>
    </w:p>
    <w:p>
      <w:r>
        <w:t>项目投资主要包括软件开发、系统集成、测试部署和运维培训费用。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