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城市综合服务平台（一期）可行性研究报告</w:t>
      </w:r>
    </w:p>
    <w:p>
      <w:r>
        <w:t>一期项目建设城市综合服务平台基础能力，面向市级业务部门和区级经办人员，支撑统一入口、身份认证、数据交换和基础报表统计。</w:t>
      </w:r>
    </w:p>
    <w:p>
      <w:r>
        <w:t>为解决多系统重复登录、数据接口分散和业务运行状态不可视等问题，一期项目建设平台基础支撑能力。</w:t>
      </w:r>
    </w:p>
    <w:p>
      <w:r>
        <w:t>系统需要统一身份认证能力，实现统一登录、单点登录、权限校验和用户会话管理。</w:t>
      </w:r>
    </w:p>
    <w:p>
      <w:r>
        <w:t>系统需要数据交换平台能力，实现跨部门数据交换、接口发布、交换监控和数据订阅管理。</w:t>
      </w:r>
    </w:p>
    <w:p>
      <w:r>
        <w:t>系统需要基础报表统计能力，实现业务办理数量统计、数据交换数量统计和常用报表导出。</w:t>
      </w:r>
    </w:p>
    <w:p>
      <w:r>
        <w:t>建设统一身份认证模块，提供账号统一管理、单点登录、权限校验、会话管理和登录审计能力。</w:t>
      </w:r>
    </w:p>
    <w:p>
      <w:r>
        <w:t>建设数据交换平台模块，提供跨部门数据交换、接口发布、接口订阅、交换监控和异常告警能力。</w:t>
      </w:r>
    </w:p>
    <w:p>
      <w:r>
        <w:t>建设基础报表统计模块，提供业务数量统计、数据交换统计和报表导出能力。</w:t>
      </w:r>
    </w:p>
    <w:p>
      <w:r>
        <w:t>系统采用统一门户和公共支撑服务架构，接入认证、交换和报表能力。</w:t>
      </w:r>
    </w:p>
    <w:p>
      <w:r>
        <w:t>项目投资主要包括平台基础能力开发、部署和测试费用。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