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市域营商服务一网通办平台（二期）可行性研究报告</w:t>
      </w:r>
    </w:p>
    <w:p/>
    <w:p>
      <w:pPr>
        <w:jc w:val="center"/>
      </w:pPr>
      <w:r>
        <w:rPr>
          <w:sz w:val="24"/>
        </w:rPr>
        <w:t>阶段：当期（二期）</w:t>
        <w:br/>
        <w:t>测试用途：重复建设检查接口联调样例</w:t>
      </w:r>
    </w:p>
    <w:p>
      <w:r>
        <w:br w:type="page"/>
      </w:r>
    </w:p>
    <w:p>
      <w:pPr>
        <w:pStyle w:val="Heading1"/>
      </w:pPr>
      <w:r>
        <w:t>一、项目概况</w:t>
      </w:r>
    </w:p>
    <w:p>
      <w:pPr>
        <w:spacing w:line="300" w:lineRule="auto"/>
        <w:ind w:firstLine="420"/>
      </w:pPr>
      <w:r>
        <w:t>本项目拟建设市域营商服务一网通办平台（二期），围绕企业开办、项目申报、政策兑现、诉求办理和运行监管等场景，完善跨部门协同服务能力。服务对象包括市级业务部门、区级经办人员、园区服务专员和企业用户。</w:t>
      </w:r>
    </w:p>
    <w:p>
      <w:pPr>
        <w:spacing w:line="300" w:lineRule="auto"/>
        <w:ind w:firstLine="420"/>
      </w:pPr>
      <w:r>
        <w:t>一期项目已形成统一门户、基础身份认证、事项受理、数据交换和基础统计能力。二期拟在既有基础上扩展业务协同深度，但本测试样例中故意保留若干与一期高度相似的能力，用于验证跨报告重复建设识别。</w:t>
      </w:r>
    </w:p>
    <w:p>
      <w:pPr>
        <w:spacing w:line="300" w:lineRule="auto"/>
        <w:ind w:firstLine="420"/>
      </w:pPr>
      <w:r>
        <w:t>为验证当前报告内部重复建设识别，本报告还在不同章节中以不同名称重复描述了若干相同能力，例如统一账号管理与身份服务、数据共享交换与数据协同服务总线。</w:t>
      </w:r>
    </w:p>
    <w:p>
      <w:pPr>
        <w:pStyle w:val="Heading1"/>
      </w:pPr>
      <w:r>
        <w:t>二、现状问题与建设必要性</w:t>
      </w:r>
    </w:p>
    <w:p>
      <w:pPr>
        <w:pStyle w:val="ListBullet"/>
        <w:spacing w:line="288" w:lineRule="auto"/>
      </w:pPr>
      <w:r>
        <w:t>企业服务入口分散，不同业务系统仍存在重复登录、重复授权和账号状态不一致问题。</w:t>
      </w:r>
    </w:p>
    <w:p>
      <w:pPr>
        <w:pStyle w:val="ListBullet"/>
        <w:spacing w:line="288" w:lineRule="auto"/>
      </w:pPr>
      <w:r>
        <w:t>跨部门数据共享依赖人工协调，接口发布、接口订阅、交换监控和异常告警能力需要进一步体系化。</w:t>
      </w:r>
    </w:p>
    <w:p>
      <w:pPr>
        <w:pStyle w:val="ListBullet"/>
        <w:spacing w:line="288" w:lineRule="auto"/>
      </w:pPr>
      <w:r>
        <w:t>项目申报材料预审主要依赖人工核对，规则命中、材料缺项和表单一致性校验效率不高。</w:t>
      </w:r>
    </w:p>
    <w:p>
      <w:pPr>
        <w:pStyle w:val="ListBullet"/>
        <w:spacing w:line="288" w:lineRule="auto"/>
      </w:pPr>
      <w:r>
        <w:t>运行态势监测指标分散，企业办件量、政策兑现量、诉求响应时长和接口调用量缺少统一看板。</w:t>
      </w:r>
    </w:p>
    <w:p>
      <w:pPr>
        <w:pStyle w:val="Heading1"/>
      </w:pPr>
      <w:r>
        <w:t>三、建设目标</w:t>
      </w:r>
    </w:p>
    <w:p>
      <w:pPr>
        <w:spacing w:line="300" w:lineRule="auto"/>
        <w:ind w:firstLine="420"/>
      </w:pPr>
      <w:r>
        <w:t>建设统一身份认证与用户接入服务，提供统一账号管理、单点登录、权限校验、会话管理和登录审计能力，支撑多部门业务系统统一接入。</w:t>
      </w:r>
    </w:p>
    <w:p>
      <w:pPr>
        <w:spacing w:line="300" w:lineRule="auto"/>
        <w:ind w:firstLine="420"/>
      </w:pPr>
      <w:r>
        <w:t>建设跨部门数据共享交换能力，提供跨部门数据交换、接口发布、接口订阅、交换监控和异常告警能力，提升事项协同办理效率。</w:t>
      </w:r>
    </w:p>
    <w:p>
      <w:pPr>
        <w:spacing w:line="300" w:lineRule="auto"/>
        <w:ind w:firstLine="420"/>
      </w:pPr>
      <w:r>
        <w:t>建设智能材料预审和政策精准推送能力，支撑企业申报材料自动核验、政策匹配、办理进度跟踪和闭环反馈。</w:t>
      </w:r>
    </w:p>
    <w:p>
      <w:pPr>
        <w:spacing w:line="300" w:lineRule="auto"/>
        <w:ind w:firstLine="420"/>
      </w:pPr>
      <w:r>
        <w:t>建设运行态势监测能力，形成业务办理量、数据交换量、系统运行状态、异常告警趋势和服务满意度综合分析。</w:t>
      </w:r>
    </w:p>
    <w:p>
      <w:pPr>
        <w:pStyle w:val="Heading1"/>
      </w:pPr>
      <w:r>
        <w:t>四、建设内容与功能设计</w:t>
      </w:r>
    </w:p>
    <w:p>
      <w:pPr>
        <w:pStyle w:val="Heading2"/>
      </w:pPr>
      <w:r>
        <w:t>4.1 统一身份认证中心</w:t>
      </w:r>
    </w:p>
    <w:p>
      <w:pPr>
        <w:spacing w:line="300" w:lineRule="auto"/>
        <w:ind w:firstLine="420"/>
      </w:pPr>
      <w:r>
        <w:t>建设统一身份认证中心，提供账号统一管理、单点登录、权限校验、会话管理、登录审计和组织机构同步能力。该模块负责企业用户、经办人员和部门管理员的身份认证，支持与现有政务门户账号体系对接。</w:t>
      </w:r>
    </w:p>
    <w:p>
      <w:pPr>
        <w:spacing w:line="300" w:lineRule="auto"/>
        <w:ind w:firstLine="420"/>
      </w:pPr>
      <w:r>
        <w:t>功能点包括统一账号管理、单点登录、权限校验、会话管理、登录审计、密码策略管理和账号生命周期管理。</w:t>
      </w:r>
    </w:p>
    <w:p>
      <w:pPr>
        <w:pStyle w:val="Heading2"/>
      </w:pPr>
      <w:r>
        <w:t>4.2 用户接入与身份服务</w:t>
      </w:r>
    </w:p>
    <w:p>
      <w:pPr>
        <w:spacing w:line="300" w:lineRule="auto"/>
        <w:ind w:firstLine="420"/>
      </w:pPr>
      <w:r>
        <w:t>建设用户接入与身份服务模块，提供统一账号管理、单点登录、权限校验、会话管理和登录审计能力，为移动端、PC 端和部门业务系统提供统一身份服务。</w:t>
      </w:r>
    </w:p>
    <w:p>
      <w:pPr>
        <w:spacing w:line="300" w:lineRule="auto"/>
        <w:ind w:firstLine="420"/>
      </w:pPr>
      <w:r>
        <w:t>本模块与 4.1 统一身份认证中心在账号统一管理、单点登录、权限校验、会话管理和登录审计方面存在高度重合，保留该描述用于验证当期报告内部重复建设检查。</w:t>
      </w:r>
    </w:p>
    <w:p>
      <w:pPr>
        <w:pStyle w:val="Heading2"/>
      </w:pPr>
      <w:r>
        <w:t>4.3 跨部门数据共享交换平台</w:t>
      </w:r>
    </w:p>
    <w:p>
      <w:pPr>
        <w:spacing w:line="300" w:lineRule="auto"/>
        <w:ind w:firstLine="420"/>
      </w:pPr>
      <w:r>
        <w:t>建设跨部门数据共享交换平台，提供跨部门数据交换、接口发布、接口订阅、交换监控、异常告警和数据目录维护能力。平台支持企业登记、税务、社保、信用和项目审批等数据按需共享。</w:t>
      </w:r>
    </w:p>
    <w:p>
      <w:pPr>
        <w:spacing w:line="300" w:lineRule="auto"/>
        <w:ind w:firstLine="420"/>
      </w:pPr>
      <w:r>
        <w:t>功能点包括跨部门数据交换、接口发布、接口订阅、交换监控、异常告警、数据目录维护和交换日志审计。</w:t>
      </w:r>
    </w:p>
    <w:p>
      <w:pPr>
        <w:pStyle w:val="Heading2"/>
      </w:pPr>
      <w:r>
        <w:t>4.4 数据协同服务总线</w:t>
      </w:r>
    </w:p>
    <w:p>
      <w:pPr>
        <w:spacing w:line="300" w:lineRule="auto"/>
        <w:ind w:firstLine="420"/>
      </w:pPr>
      <w:r>
        <w:t>建设数据协同服务总线，提供跨部门数据交换、接口发布、接口订阅、交换监控、异常告警和数据目录维护能力，实现业务系统之间的数据协同和接口治理。</w:t>
      </w:r>
    </w:p>
    <w:p>
      <w:pPr>
        <w:spacing w:line="300" w:lineRule="auto"/>
        <w:ind w:firstLine="420"/>
      </w:pPr>
      <w:r>
        <w:t>该模块与 4.3 跨部门数据共享交换平台在跨部门数据交换、接口发布、接口订阅、交换监控和异常告警方面存在明显重复，用于验证当期报告内部重复功能点识别。</w:t>
      </w:r>
    </w:p>
    <w:p>
      <w:pPr>
        <w:pStyle w:val="Heading2"/>
      </w:pPr>
      <w:r>
        <w:t>4.5 企业诉求闭环办理</w:t>
      </w:r>
    </w:p>
    <w:p>
      <w:pPr>
        <w:spacing w:line="300" w:lineRule="auto"/>
        <w:ind w:firstLine="420"/>
      </w:pPr>
      <w:r>
        <w:t>建设企业诉求闭环办理模块，提供诉求登记、工单分派、部门协同、办理反馈、超期预警和满意度评价能力。企业可通过统一门户提交问题，系统按照事项类型和属地自动分派。</w:t>
      </w:r>
    </w:p>
    <w:p>
      <w:pPr>
        <w:spacing w:line="300" w:lineRule="auto"/>
        <w:ind w:firstLine="420"/>
      </w:pPr>
      <w:r>
        <w:t>功能点包括诉求登记、工单流转、部门协同办理、超期预警、办理反馈和服务评价。</w:t>
      </w:r>
    </w:p>
    <w:p>
      <w:pPr>
        <w:pStyle w:val="Heading2"/>
      </w:pPr>
      <w:r>
        <w:t>4.6 智能材料预审</w:t>
      </w:r>
    </w:p>
    <w:p>
      <w:pPr>
        <w:spacing w:line="300" w:lineRule="auto"/>
        <w:ind w:firstLine="420"/>
      </w:pPr>
      <w:r>
        <w:t>建设智能材料预审模块，提供申报材料完整性校验、表单字段一致性校验、证照复用校验、规则命中提示和缺项补正建议能力。</w:t>
      </w:r>
    </w:p>
    <w:p>
      <w:pPr>
        <w:spacing w:line="300" w:lineRule="auto"/>
        <w:ind w:firstLine="420"/>
      </w:pPr>
      <w:r>
        <w:t>系统依据事项材料清单、字段规则和历史办件经验，对企业上传材料进行自动检查，减少人工初审工作量。</w:t>
      </w:r>
    </w:p>
    <w:p>
      <w:pPr>
        <w:pStyle w:val="Heading2"/>
      </w:pPr>
      <w:r>
        <w:t>4.7 政策精准推送</w:t>
      </w:r>
    </w:p>
    <w:p>
      <w:pPr>
        <w:spacing w:line="300" w:lineRule="auto"/>
        <w:ind w:firstLine="420"/>
      </w:pPr>
      <w:r>
        <w:t>建设政策精准推送模块，提供企业画像、政策标签、匹配规则、推送订阅和触达反馈能力。系统根据行业、规模、区域、信用等级和项目类型自动匹配政策。</w:t>
      </w:r>
    </w:p>
    <w:p>
      <w:pPr>
        <w:pStyle w:val="Heading2"/>
      </w:pPr>
      <w:r>
        <w:t>4.8 运行态势监测与驾驶舱</w:t>
      </w:r>
    </w:p>
    <w:p>
      <w:pPr>
        <w:spacing w:line="300" w:lineRule="auto"/>
        <w:ind w:firstLine="420"/>
      </w:pPr>
      <w:r>
        <w:t>建设运行态势监测与驾驶舱，提供业务办理量统计、数据交换量统计、系统运行状态监测、异常告警趋势分析、服务满意度分析和部门绩效排行。</w:t>
      </w:r>
    </w:p>
    <w:p>
      <w:pPr>
        <w:spacing w:line="300" w:lineRule="auto"/>
        <w:ind w:firstLine="420"/>
      </w:pPr>
      <w:r>
        <w:t>该能力与一期建设的运行监测看板、交换监控和基础统计能力存在延续关系，可用于验证当期与往期报告之间的重复或高度相似功能。</w:t>
      </w:r>
    </w:p>
    <w:p>
      <w:pPr>
        <w:pStyle w:val="Heading2"/>
      </w:pPr>
      <w:r>
        <w:t>4.9 移动端事项办理</w:t>
      </w:r>
    </w:p>
    <w:p>
      <w:pPr>
        <w:spacing w:line="300" w:lineRule="auto"/>
        <w:ind w:firstLine="420"/>
      </w:pPr>
      <w:r>
        <w:t>建设移动端事项办理能力，提供事项查询、掌上申报、材料上传、进度提醒、消息订阅和移动端评价能力，提升企业使用便利性。</w:t>
      </w:r>
    </w:p>
    <w:p>
      <w:pPr>
        <w:pStyle w:val="Heading1"/>
      </w:pPr>
      <w:r>
        <w:t>五、主要功能点清单</w:t>
      </w:r>
    </w:p>
    <w:p>
      <w:pPr>
        <w:spacing w:line="300" w:lineRule="auto"/>
        <w:ind w:firstLine="420"/>
      </w:pPr>
      <w:r>
        <w:t>为便于自动抽取，本章节以文字方式再次列出主要功能点：统一账号管理、单点登录、权限校验、会话管理、登录审计、跨部门数据交换、接口发布、接口订阅、交换监控、异常告警、诉求登记、工单流转、智能材料预审、政策精准推送、运行态势监测、移动端事项办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功能点</w:t>
            </w:r>
          </w:p>
        </w:tc>
        <w:tc>
          <w:tcPr>
            <w:tcW w:type="dxa" w:w="2880"/>
          </w:tcPr>
          <w:p>
            <w:r>
              <w:t>建设内容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统一身份认证中心</w:t>
            </w:r>
          </w:p>
        </w:tc>
        <w:tc>
          <w:tcPr>
            <w:tcW w:type="dxa" w:w="2880"/>
          </w:tcPr>
          <w:p>
            <w:r>
              <w:t>统一账号管理、单点登录、权限校验、会话管理、登录审计</w:t>
            </w:r>
          </w:p>
        </w:tc>
        <w:tc>
          <w:tcPr>
            <w:tcW w:type="dxa" w:w="2880"/>
          </w:tcPr>
          <w:p>
            <w:r>
              <w:t>与用户接入与身份服务形成当期内部重复</w:t>
            </w:r>
          </w:p>
        </w:tc>
      </w:tr>
      <w:tr>
        <w:tc>
          <w:tcPr>
            <w:tcW w:type="dxa" w:w="2880"/>
          </w:tcPr>
          <w:p>
            <w:r>
              <w:t>用户接入与身份服务</w:t>
            </w:r>
          </w:p>
        </w:tc>
        <w:tc>
          <w:tcPr>
            <w:tcW w:type="dxa" w:w="2880"/>
          </w:tcPr>
          <w:p>
            <w:r>
              <w:t>统一账号管理、单点登录、权限校验、会话管理、登录审计</w:t>
            </w:r>
          </w:p>
        </w:tc>
        <w:tc>
          <w:tcPr>
            <w:tcW w:type="dxa" w:w="2880"/>
          </w:tcPr>
          <w:p>
            <w:r>
              <w:t>与统一身份认证中心高度相似</w:t>
            </w:r>
          </w:p>
        </w:tc>
      </w:tr>
      <w:tr>
        <w:tc>
          <w:tcPr>
            <w:tcW w:type="dxa" w:w="2880"/>
          </w:tcPr>
          <w:p>
            <w:r>
              <w:t>跨部门数据共享交换平台</w:t>
            </w:r>
          </w:p>
        </w:tc>
        <w:tc>
          <w:tcPr>
            <w:tcW w:type="dxa" w:w="2880"/>
          </w:tcPr>
          <w:p>
            <w:r>
              <w:t>跨部门数据交换、接口发布、接口订阅、交换监控、异常告警</w:t>
            </w:r>
          </w:p>
        </w:tc>
        <w:tc>
          <w:tcPr>
            <w:tcW w:type="dxa" w:w="2880"/>
          </w:tcPr>
          <w:p>
            <w:r>
              <w:t>与数据协同服务总线形成当期内部重复</w:t>
            </w:r>
          </w:p>
        </w:tc>
      </w:tr>
      <w:tr>
        <w:tc>
          <w:tcPr>
            <w:tcW w:type="dxa" w:w="2880"/>
          </w:tcPr>
          <w:p>
            <w:r>
              <w:t>数据协同服务总线</w:t>
            </w:r>
          </w:p>
        </w:tc>
        <w:tc>
          <w:tcPr>
            <w:tcW w:type="dxa" w:w="2880"/>
          </w:tcPr>
          <w:p>
            <w:r>
              <w:t>跨部门数据交换、接口发布、接口订阅、交换监控、异常告警</w:t>
            </w:r>
          </w:p>
        </w:tc>
        <w:tc>
          <w:tcPr>
            <w:tcW w:type="dxa" w:w="2880"/>
          </w:tcPr>
          <w:p>
            <w:r>
              <w:t>与一期数据交换平台形成跨期重复</w:t>
            </w:r>
          </w:p>
        </w:tc>
      </w:tr>
      <w:tr>
        <w:tc>
          <w:tcPr>
            <w:tcW w:type="dxa" w:w="2880"/>
          </w:tcPr>
          <w:p>
            <w:r>
              <w:t>运行态势监测与驾驶舱</w:t>
            </w:r>
          </w:p>
        </w:tc>
        <w:tc>
          <w:tcPr>
            <w:tcW w:type="dxa" w:w="2880"/>
          </w:tcPr>
          <w:p>
            <w:r>
              <w:t>业务办理量、数据交换量、系统运行状态、异常告警趋势分析</w:t>
            </w:r>
          </w:p>
        </w:tc>
        <w:tc>
          <w:tcPr>
            <w:tcW w:type="dxa" w:w="2880"/>
          </w:tcPr>
          <w:p>
            <w:r>
              <w:t>与一期运行监测看板相似</w:t>
            </w:r>
          </w:p>
        </w:tc>
      </w:tr>
    </w:tbl>
    <w:p>
      <w:pPr>
        <w:pStyle w:val="Heading1"/>
      </w:pPr>
      <w:r>
        <w:t>六、实施计划与投资估算</w:t>
      </w:r>
    </w:p>
    <w:p>
      <w:pPr>
        <w:spacing w:line="300" w:lineRule="auto"/>
        <w:ind w:firstLine="420"/>
      </w:pPr>
      <w:r>
        <w:t>项目建设周期拟定为 12 个月，分为需求深化、系统设计、开发集成、试运行和验收五个阶段。投资内容包括软件开发、系统集成、测试部署、数据治理和运维培训。</w:t>
      </w:r>
    </w:p>
    <w:p>
      <w:pPr>
        <w:spacing w:line="300" w:lineRule="auto"/>
        <w:ind w:firstLine="420"/>
      </w:pPr>
      <w:r>
        <w:t>本测试样例不用于真实投资测算，仅用于重复建设检查模块联调验证。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