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价格合理性超标检测样例</w:t>
      </w:r>
    </w:p>
    <w:p>
      <w:r>
        <w:t>本项目为上海市市级新建项目，按等保二级建设。以下金额仅用于验证价格合理性规则。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投资估算总表（单位：万元）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项目总投资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计费总基数</w:t>
            </w:r>
          </w:p>
        </w:tc>
      </w:tr>
      <w:tr>
        <w:tc>
          <w:tcPr>
            <w:tcW w:type="dxa" w:w="2880"/>
          </w:tcPr>
          <w:p>
            <w:r>
              <w:t>一、系统建设费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直接建设费</w:t>
            </w:r>
          </w:p>
        </w:tc>
      </w:tr>
      <w:tr>
        <w:tc>
          <w:tcPr>
            <w:tcW w:type="dxa" w:w="2880"/>
          </w:tcPr>
          <w:p>
            <w:r>
              <w:t>1.1应用软件开发</w:t>
            </w:r>
          </w:p>
        </w:tc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软件测试费计费基数</w:t>
            </w:r>
          </w:p>
        </w:tc>
      </w:tr>
      <w:tr>
        <w:tc>
          <w:tcPr>
            <w:tcW w:type="dxa" w:w="2880"/>
          </w:tcPr>
          <w:p>
            <w:r>
              <w:t>1.2硬件购置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软硬件购置费组成</w:t>
            </w:r>
          </w:p>
        </w:tc>
      </w:tr>
      <w:tr>
        <w:tc>
          <w:tcPr>
            <w:tcW w:type="dxa" w:w="2880"/>
          </w:tcPr>
          <w:p>
            <w:r>
              <w:t>1.3产品软件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软硬件购置费组成</w:t>
            </w:r>
          </w:p>
        </w:tc>
      </w:tr>
      <w:tr>
        <w:tc>
          <w:tcPr>
            <w:tcW w:type="dxa" w:w="2880"/>
          </w:tcPr>
          <w:p>
            <w:r>
              <w:t>咨询费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故意超过标准上限</w:t>
            </w:r>
          </w:p>
        </w:tc>
      </w:tr>
      <w:tr>
        <w:tc>
          <w:tcPr>
            <w:tcW w:type="dxa" w:w="2880"/>
          </w:tcPr>
          <w:p>
            <w:r>
              <w:t>工程监理费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故意超过标准上限</w:t>
            </w:r>
          </w:p>
        </w:tc>
      </w:tr>
      <w:tr>
        <w:tc>
          <w:tcPr>
            <w:tcW w:type="dxa" w:w="2880"/>
          </w:tcPr>
          <w:p>
            <w:r>
              <w:t>软件测试费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故意超过标准上限</w:t>
            </w:r>
          </w:p>
        </w:tc>
      </w:tr>
      <w:tr>
        <w:tc>
          <w:tcPr>
            <w:tcW w:type="dxa" w:w="2880"/>
          </w:tcPr>
          <w:p>
            <w:r>
              <w:t>系统集成费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故意超过6%上限</w:t>
            </w:r>
          </w:p>
        </w:tc>
      </w:tr>
      <w:tr>
        <w:tc>
          <w:tcPr>
            <w:tcW w:type="dxa" w:w="2880"/>
          </w:tcPr>
          <w:p>
            <w:r>
              <w:t>安全测评费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故意超过标准上限</w:t>
            </w:r>
          </w:p>
        </w:tc>
      </w:tr>
      <w:tr>
        <w:tc>
          <w:tcPr>
            <w:tcW w:type="dxa" w:w="2880"/>
          </w:tcPr>
          <w:p>
            <w:r>
              <w:t>等级保护测评费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与安全测评费重复申报</w:t>
            </w:r>
          </w:p>
        </w:tc>
      </w:tr>
      <w:tr>
        <w:tc>
          <w:tcPr>
            <w:tcW w:type="dxa" w:w="2880"/>
          </w:tcPr>
          <w:p>
            <w:r>
              <w:t>密码应用测评费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故意超过标准上限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