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5"/>
      </w:pPr>
      <w:r>
        <w:rPr>
          <w:rFonts w:ascii="Times New Roman"/>
        </w:rPr>
        <w:t>ICS</w:t>
      </w:r>
      <w:r>
        <w:rPr>
          <w:rFonts w:hint="eastAsia" w:ascii="MS Mincho" w:hAnsi="MS Mincho" w:eastAsia="MS Mincho" w:cs="MS Mincho"/>
        </w:rPr>
        <w:t> </w:t>
      </w:r>
      <w:bookmarkStart w:id="0" w:name="ICS"/>
      <w:bookmarkStart w:id="132" w:name="_GoBack"/>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lang/>
        </w:rPr>
        <w:t>27.120.99</w:t>
      </w:r>
      <w:r>
        <w:fldChar w:fldCharType="end"/>
      </w:r>
      <w:bookmarkEnd w:id="132"/>
      <w:bookmarkEnd w:id="0"/>
    </w:p>
    <w:p>
      <w:pPr>
        <w:pStyle w:val="125"/>
      </w:pPr>
      <w:bookmarkStart w:id="1" w:name="WXFLH"/>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lang/>
        </w:rPr>
        <w:t>F69</w:t>
      </w:r>
      <w:r>
        <w:fldChar w:fldCharType="end"/>
      </w:r>
      <w:bookmarkEnd w:id="1"/>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854" w:type="dxa"/>
            <w:tcBorders>
              <w:top w:val="nil"/>
              <w:left w:val="nil"/>
              <w:bottom w:val="nil"/>
              <w:right w:val="nil"/>
            </w:tcBorders>
            <w:shd w:val="clear" w:color="auto" w:fill="auto"/>
            <w:noWrap w:val="0"/>
            <w:vAlign w:val="top"/>
          </w:tcPr>
          <w:p>
            <w:pPr>
              <w:pStyle w:val="125"/>
            </w:pPr>
            <w:r>
              <w:fldChar w:fldCharType="begin">
                <w:ffData>
                  <w:name w:val="BAH"/>
                  <w:enabled/>
                  <w:calcOnExit w:val="0"/>
                  <w:textInput/>
                </w:ffData>
              </w:fldChar>
            </w:r>
            <w:bookmarkStart w:id="2" w:name="BAH"/>
            <w:r>
              <w:instrText xml:space="preserve"> FORMTEXT </w:instrText>
            </w:r>
            <w:r>
              <w:fldChar w:fldCharType="separate"/>
            </w:r>
            <w:r>
              <w:rPr>
                <w:rFonts w:hint="eastAsia"/>
              </w:rPr>
              <w:t>备案号：</w:t>
            </w:r>
            <w:r>
              <w:fldChar w:fldCharType="end"/>
            </w:r>
            <w:bookmarkEnd w:id="2"/>
          </w:p>
        </w:tc>
      </w:tr>
    </w:tbl>
    <w:p>
      <w:pPr>
        <w:pStyle w:val="68"/>
      </w:pPr>
      <w:bookmarkStart w:id="3" w:name="c1"/>
      <w:r>
        <w:fldChar w:fldCharType="begin">
          <w:ffData>
            <w:name w:val="c1"/>
            <w:enabled/>
            <w:calcOnExit w:val="0"/>
            <w:textInput>
              <w:maxLength w:val="2"/>
            </w:textInput>
          </w:ffData>
        </w:fldChar>
      </w:r>
      <w:r>
        <w:instrText xml:space="preserve"> FORMTEXT </w:instrText>
      </w:r>
      <w:r>
        <w:fldChar w:fldCharType="separate"/>
      </w:r>
      <w:r>
        <w:rPr>
          <w:rFonts w:hint="eastAsia"/>
          <w:lang/>
        </w:rPr>
        <w:t>NB</w:t>
      </w:r>
      <w:r>
        <w:fldChar w:fldCharType="end"/>
      </w:r>
      <w:bookmarkEnd w:id="3"/>
    </w:p>
    <w:p>
      <w:pPr>
        <w:pStyle w:val="112"/>
      </w:pPr>
      <w:r>
        <w:rPr>
          <w:rFonts w:hint="eastAsia"/>
        </w:rPr>
        <w:t>中华人民共和国</w:t>
      </w:r>
      <w:bookmarkStart w:id="4" w:name="c2"/>
      <w:r>
        <w:fldChar w:fldCharType="begin">
          <w:ffData>
            <w:name w:val="c2"/>
            <w:enabled/>
            <w:calcOnExit w:val="0"/>
            <w:textInput/>
          </w:ffData>
        </w:fldChar>
      </w:r>
      <w:r>
        <w:instrText xml:space="preserve"> FORMTEXT </w:instrText>
      </w:r>
      <w:r>
        <w:fldChar w:fldCharType="separate"/>
      </w:r>
      <w:r>
        <w:rPr>
          <w:rFonts w:hint="eastAsia"/>
        </w:rPr>
        <w:t>能源</w:t>
      </w:r>
      <w:r>
        <w:fldChar w:fldCharType="end"/>
      </w:r>
      <w:bookmarkEnd w:id="4"/>
      <w:r>
        <w:rPr>
          <w:rFonts w:hint="eastAsia"/>
        </w:rPr>
        <w:t>行业标准</w:t>
      </w:r>
    </w:p>
    <w:p>
      <w:pPr>
        <w:pStyle w:val="49"/>
        <w:rPr>
          <w:rFonts w:hAnsi="黑体"/>
          <w:lang w:val="de-DE"/>
        </w:rPr>
      </w:pPr>
      <w:bookmarkStart w:id="5" w:name="StdNo0"/>
      <w:r>
        <w:rPr>
          <w:rFonts w:ascii="Times New Roman"/>
        </w:rPr>
        <w:fldChar w:fldCharType="begin">
          <w:ffData>
            <w:name w:val="StdNo0"/>
            <w:enabled/>
            <w:calcOnExit w:val="0"/>
            <w:textInput>
              <w:default w:val="XX"/>
              <w:maxLength w:val="2"/>
            </w:textInput>
          </w:ffData>
        </w:fldChar>
      </w:r>
      <w:r>
        <w:rPr>
          <w:rFonts w:ascii="Times New Roman"/>
          <w:lang w:val="de-DE"/>
        </w:rPr>
        <w:instrText xml:space="preserve"> FORMTEXT </w:instrText>
      </w:r>
      <w:r>
        <w:rPr>
          <w:rFonts w:ascii="Times New Roman"/>
        </w:rPr>
        <w:fldChar w:fldCharType="separate"/>
      </w:r>
      <w:r>
        <w:rPr>
          <w:rFonts w:hint="eastAsia" w:ascii="Times New Roman"/>
          <w:lang w:val="de-DE"/>
        </w:rPr>
        <w:t>NB</w:t>
      </w:r>
      <w:r>
        <w:rPr>
          <w:rFonts w:ascii="Times New Roman"/>
        </w:rPr>
        <w:fldChar w:fldCharType="end"/>
      </w:r>
      <w:bookmarkEnd w:id="5"/>
      <w:r>
        <w:rPr>
          <w:rFonts w:ascii="Times New Roman"/>
          <w:lang w:val="de-DE"/>
        </w:rPr>
        <w:t xml:space="preserve">/T </w:t>
      </w:r>
      <w:bookmarkStart w:id="6" w:name="StdNo1"/>
      <w:r>
        <w:rPr>
          <w:rFonts w:hAnsi="黑体"/>
        </w:rPr>
        <w:fldChar w:fldCharType="begin">
          <w:ffData>
            <w:name w:val="StdNo1"/>
            <w:enabled/>
            <w:calcOnExit w:val="0"/>
            <w:textInput>
              <w:default w:val="XXXXX"/>
            </w:textInput>
          </w:ffData>
        </w:fldChar>
      </w:r>
      <w:r>
        <w:rPr>
          <w:rFonts w:hAnsi="黑体"/>
          <w:lang w:val="de-DE"/>
        </w:rPr>
        <w:instrText xml:space="preserve"> FORMTEXT </w:instrText>
      </w:r>
      <w:r>
        <w:rPr>
          <w:rFonts w:hAnsi="黑体"/>
        </w:rPr>
        <w:fldChar w:fldCharType="separate"/>
      </w:r>
      <w:r>
        <w:rPr>
          <w:rFonts w:hAnsi="黑体"/>
          <w:lang w:val="de-DE"/>
        </w:rPr>
        <w:t>XXXXX</w:t>
      </w:r>
      <w:r>
        <w:rPr>
          <w:rFonts w:hAnsi="黑体"/>
        </w:rPr>
        <w:fldChar w:fldCharType="end"/>
      </w:r>
      <w:bookmarkEnd w:id="6"/>
      <w:r>
        <w:rPr>
          <w:rFonts w:hAnsi="黑体"/>
          <w:lang w:val="de-DE"/>
        </w:rPr>
        <w:t>—</w:t>
      </w:r>
      <w:bookmarkStart w:id="7" w:name="StdNo2"/>
      <w:r>
        <w:rPr>
          <w:rFonts w:hAnsi="黑体"/>
        </w:rPr>
        <w:fldChar w:fldCharType="begin">
          <w:ffData>
            <w:name w:val="StdNo2"/>
            <w:enabled/>
            <w:calcOnExit w:val="0"/>
            <w:textInput>
              <w:default w:val="XXXX"/>
              <w:maxLength w:val="4"/>
            </w:textInput>
          </w:ffData>
        </w:fldChar>
      </w:r>
      <w:r>
        <w:rPr>
          <w:rFonts w:hAnsi="黑体"/>
          <w:lang w:val="de-DE"/>
        </w:rPr>
        <w:instrText xml:space="preserve"> FORMTEXT </w:instrText>
      </w:r>
      <w:r>
        <w:rPr>
          <w:rFonts w:hAnsi="黑体"/>
        </w:rPr>
        <w:fldChar w:fldCharType="separate"/>
      </w:r>
      <w:r>
        <w:rPr>
          <w:rFonts w:hAnsi="黑体"/>
          <w:lang w:val="de-DE"/>
        </w:rPr>
        <w:t>XXXX</w:t>
      </w:r>
      <w:r>
        <w:rPr>
          <w:rFonts w:hAnsi="黑体"/>
        </w:rPr>
        <w:fldChar w:fldCharType="end"/>
      </w:r>
      <w:bookmarkEnd w:id="7"/>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356" w:type="dxa"/>
            <w:tcBorders>
              <w:top w:val="nil"/>
              <w:left w:val="nil"/>
              <w:bottom w:val="nil"/>
              <w:right w:val="nil"/>
            </w:tcBorders>
            <w:shd w:val="clear" w:color="auto" w:fill="auto"/>
            <w:noWrap w:val="0"/>
            <w:vAlign w:val="top"/>
          </w:tcPr>
          <w:p>
            <w:pPr>
              <w:pStyle w:val="78"/>
            </w:pPr>
            <w:bookmarkStart w:id="8" w:name="DT"/>
            <w:r>
              <w:rPr>
                <w:lang/>
              </w:rPr>
              <mc:AlternateContent>
                <mc:Choice Requires="wps">
                  <w:drawing>
                    <wp:anchor distT="0" distB="0" distL="114300" distR="114300" simplePos="0" relativeHeight="251661312" behindDoc="1" locked="0" layoutInCell="1" allowOverlap="1">
                      <wp:simplePos x="0" y="0"/>
                      <wp:positionH relativeFrom="column">
                        <wp:posOffset>4734560</wp:posOffset>
                      </wp:positionH>
                      <wp:positionV relativeFrom="paragraph">
                        <wp:posOffset>34290</wp:posOffset>
                      </wp:positionV>
                      <wp:extent cx="1143000" cy="228600"/>
                      <wp:effectExtent l="0" t="0" r="0" b="0"/>
                      <wp:wrapNone/>
                      <wp:docPr id="3" name="DT"/>
                      <wp:cNvGraphicFramePr/>
                      <a:graphic xmlns:a="http://schemas.openxmlformats.org/drawingml/2006/main">
                        <a:graphicData uri="http://schemas.microsoft.com/office/word/2010/wordprocessingShape">
                          <wps:wsp>
                            <wps:cNvSpPr/>
                            <wps:spPr>
                              <a:xfrm>
                                <a:off x="0" y="0"/>
                                <a:ext cx="1143000" cy="228600"/>
                              </a:xfrm>
                              <a:prstGeom prst="rect">
                                <a:avLst/>
                              </a:prstGeom>
                              <a:solidFill>
                                <a:srgbClr val="FFFFFF"/>
                              </a:solidFill>
                              <a:ln>
                                <a:noFill/>
                              </a:ln>
                            </wps:spPr>
                            <wps:bodyPr wrap="square" upright="1"/>
                          </wps:wsp>
                        </a:graphicData>
                      </a:graphic>
                    </wp:anchor>
                  </w:drawing>
                </mc:Choice>
                <mc:Fallback>
                  <w:pict>
                    <v:rect id="DT" o:spid="_x0000_s1026" o:spt="1" style="position:absolute;left:0pt;margin-left:372.8pt;margin-top:2.7pt;height:18pt;width:90pt;z-index:-251655168;mso-width-relative:page;mso-height-relative:page;" fillcolor="#FFFFFF" filled="t" stroked="f" coordsize="21600,21600"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5g8svWAAAACAEA&#10;AA8AAAAAAAAAAQAgAAAAIgAAAGRycy9kb3ducmV2LnhtbFBLAQIUABQAAAAIAIdO4kBI1cctqgEA&#10;AGcDAAAOAAAAAAAAAAEAIAAAACUBAABkcnMvZTJvRG9jLnhtbFBLBQYAAAAABgAGAFkBAABBBQAA&#10;AAA=&#10;">
                      <v:fill on="t" focussize="0,0"/>
                      <v:stroke on="f"/>
                      <v:imagedata o:title=""/>
                      <o:lock v:ext="edit" aspectratio="f"/>
                    </v:rect>
                  </w:pict>
                </mc:Fallback>
              </mc:AlternateContent>
            </w:r>
            <w:r>
              <w:fldChar w:fldCharType="begin">
                <w:ffData>
                  <w:name w:val="DT"/>
                  <w:enabled/>
                  <w:calcOnExit w:val="0"/>
                  <w:textInput/>
                </w:ffData>
              </w:fldChar>
            </w:r>
            <w:r>
              <w:instrText xml:space="preserve"> FORMTEXT </w:instrText>
            </w:r>
            <w:r>
              <w:fldChar w:fldCharType="separate"/>
            </w:r>
            <w:r>
              <w:rPr>
                <w:lang/>
              </w:rPr>
              <w:t> </w:t>
            </w:r>
            <w:r>
              <w:rPr>
                <w:lang/>
              </w:rPr>
              <w:t> </w:t>
            </w:r>
            <w:r>
              <w:rPr>
                <w:lang/>
              </w:rPr>
              <w:t> </w:t>
            </w:r>
            <w:r>
              <w:rPr>
                <w:lang/>
              </w:rPr>
              <w:t> </w:t>
            </w:r>
            <w:r>
              <w:rPr>
                <w:lang/>
              </w:rPr>
              <w:t> </w:t>
            </w:r>
            <w:r>
              <w:fldChar w:fldCharType="end"/>
            </w:r>
            <w:bookmarkEnd w:id="8"/>
          </w:p>
        </w:tc>
      </w:tr>
    </w:tbl>
    <w:p>
      <w:pPr>
        <w:pStyle w:val="49"/>
        <w:rPr>
          <w:rFonts w:hAnsi="黑体"/>
        </w:rPr>
      </w:pPr>
    </w:p>
    <w:p>
      <w:pPr>
        <w:pStyle w:val="49"/>
        <w:rPr>
          <w:rFonts w:hAnsi="黑体"/>
        </w:rPr>
      </w:pPr>
    </w:p>
    <w:p>
      <w:pPr>
        <w:pStyle w:val="80"/>
        <w:rPr>
          <w:rFonts w:hint="eastAsia"/>
        </w:rPr>
      </w:pPr>
      <w:bookmarkStart w:id="9" w:name="StdName"/>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核电厂定期安全评价</w:t>
      </w:r>
    </w:p>
    <w:p>
      <w:pPr>
        <w:pStyle w:val="80"/>
      </w:pPr>
      <w:r>
        <w:rPr>
          <w:rFonts w:hint="eastAsia"/>
        </w:rPr>
        <w:t>第1部分：通用要求</w:t>
      </w:r>
      <w:r>
        <w:fldChar w:fldCharType="end"/>
      </w:r>
      <w:bookmarkEnd w:id="9"/>
    </w:p>
    <w:p>
      <w:pPr>
        <w:pStyle w:val="81"/>
        <w:rPr>
          <w:rFonts w:hint="eastAsia"/>
        </w:rPr>
      </w:pPr>
      <w:bookmarkStart w:id="10" w:name="StdEnglishName"/>
      <w:r>
        <w:fldChar w:fldCharType="begin">
          <w:ffData>
            <w:name w:val="StdEnglishName"/>
            <w:enabled/>
            <w:calcOnExit w:val="0"/>
            <w:textInput>
              <w:default w:val="点击此处添加标准英文译名"/>
            </w:textInput>
          </w:ffData>
        </w:fldChar>
      </w:r>
      <w:r>
        <w:instrText xml:space="preserve"> FORMTEXT </w:instrText>
      </w:r>
      <w:r>
        <w:fldChar w:fldCharType="separate"/>
      </w:r>
      <w:r>
        <w:t xml:space="preserve">Preparation of </w:t>
      </w:r>
      <w:r>
        <w:rPr>
          <w:rFonts w:hint="eastAsia"/>
        </w:rPr>
        <w:t>p</w:t>
      </w:r>
      <w:r>
        <w:t xml:space="preserve">eriodic </w:t>
      </w:r>
      <w:r>
        <w:rPr>
          <w:rFonts w:hint="eastAsia"/>
        </w:rPr>
        <w:t>s</w:t>
      </w:r>
      <w:r>
        <w:t xml:space="preserve">afety </w:t>
      </w:r>
      <w:r>
        <w:rPr>
          <w:rFonts w:hint="eastAsia"/>
        </w:rPr>
        <w:t>r</w:t>
      </w:r>
      <w:r>
        <w:t xml:space="preserve">eview for </w:t>
      </w:r>
      <w:r>
        <w:rPr>
          <w:rFonts w:hint="eastAsia"/>
        </w:rPr>
        <w:t>n</w:t>
      </w:r>
      <w:r>
        <w:t xml:space="preserve">uclear </w:t>
      </w:r>
      <w:r>
        <w:rPr>
          <w:rFonts w:hint="eastAsia"/>
        </w:rPr>
        <w:t>p</w:t>
      </w:r>
      <w:r>
        <w:t xml:space="preserve">ower </w:t>
      </w:r>
      <w:r>
        <w:rPr>
          <w:rFonts w:hint="eastAsia"/>
        </w:rPr>
        <w:t>p</w:t>
      </w:r>
      <w:r>
        <w:t>lants—</w:t>
      </w:r>
    </w:p>
    <w:p>
      <w:pPr>
        <w:pStyle w:val="81"/>
      </w:pPr>
      <w:r>
        <w:t xml:space="preserve">Part </w:t>
      </w:r>
      <w:r>
        <w:rPr>
          <w:rFonts w:hint="eastAsia"/>
        </w:rPr>
        <w:t>1</w:t>
      </w:r>
      <w:r>
        <w:t xml:space="preserve">: </w:t>
      </w:r>
      <w:r>
        <w:rPr>
          <w:rFonts w:hint="eastAsia"/>
        </w:rPr>
        <w:t>General Requirements</w:t>
      </w:r>
      <w:r>
        <w:fldChar w:fldCharType="end"/>
      </w:r>
      <w:bookmarkEnd w:id="10"/>
    </w:p>
    <w:p>
      <w:pPr>
        <w:pStyle w:val="82"/>
      </w:pPr>
      <w:bookmarkStart w:id="11" w:name="YZBS"/>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11"/>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855" w:type="dxa"/>
            <w:tcBorders>
              <w:top w:val="nil"/>
              <w:left w:val="nil"/>
              <w:bottom w:val="nil"/>
              <w:right w:val="nil"/>
            </w:tcBorders>
            <w:shd w:val="clear" w:color="auto" w:fill="auto"/>
            <w:noWrap w:val="0"/>
            <w:vAlign w:val="top"/>
          </w:tcPr>
          <w:p>
            <w:pPr>
              <w:pStyle w:val="83"/>
            </w:pPr>
            <w:r>
              <w:rPr>
                <w:lang/>
              </w:rPr>
              <mc:AlternateContent>
                <mc:Choice Requires="wps">
                  <w:drawing>
                    <wp:anchor distT="0" distB="0" distL="114300" distR="114300" simplePos="0" relativeHeight="251663360" behindDoc="1" locked="1" layoutInCell="1" allowOverlap="1">
                      <wp:simplePos x="0" y="0"/>
                      <wp:positionH relativeFrom="column">
                        <wp:posOffset>2200910</wp:posOffset>
                      </wp:positionH>
                      <wp:positionV relativeFrom="paragraph">
                        <wp:posOffset>573405</wp:posOffset>
                      </wp:positionV>
                      <wp:extent cx="1905000" cy="254000"/>
                      <wp:effectExtent l="0" t="0" r="0" b="12700"/>
                      <wp:wrapNone/>
                      <wp:docPr id="5" name="RQ"/>
                      <wp:cNvGraphicFramePr/>
                      <a:graphic xmlns:a="http://schemas.openxmlformats.org/drawingml/2006/main">
                        <a:graphicData uri="http://schemas.microsoft.com/office/word/2010/wordprocessingShape">
                          <wps:wsp>
                            <wps:cNvSpPr/>
                            <wps:spPr>
                              <a:xfrm>
                                <a:off x="0" y="0"/>
                                <a:ext cx="1905000" cy="254000"/>
                              </a:xfrm>
                              <a:prstGeom prst="rect">
                                <a:avLst/>
                              </a:prstGeom>
                              <a:solidFill>
                                <a:srgbClr val="FFFFFF"/>
                              </a:solidFill>
                              <a:ln>
                                <a:noFill/>
                              </a:ln>
                            </wps:spPr>
                            <wps:bodyPr wrap="square" upright="1"/>
                          </wps:wsp>
                        </a:graphicData>
                      </a:graphic>
                    </wp:anchor>
                  </w:drawing>
                </mc:Choice>
                <mc:Fallback>
                  <w:pict>
                    <v:rect id="RQ" o:spid="_x0000_s1026" o:spt="1" style="position:absolute;left:0pt;margin-left:173.3pt;margin-top:45.15pt;height:20pt;width:150pt;z-index:-251653120;mso-width-relative:page;mso-height-relative:page;" fillcolor="#FFFFFF" filled="t" stroked="f" coordsize="21600,21600"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YmuktUAAAAKAQAA&#10;DwAAAAAAAAABACAAAAAiAAAAZHJzL2Rvd25yZXYueG1sUEsBAhQAFAAAAAgAh07iQE+9w/2qAQAA&#10;ZwMAAA4AAAAAAAAAAQAgAAAAJAEAAGRycy9lMm9Eb2MueG1sUEsFBgAAAAAGAAYAWQEAAEAFAAAA&#10;AA==&#10;">
                      <v:fill on="t" focussize="0,0"/>
                      <v:stroke on="f"/>
                      <v:imagedata o:title=""/>
                      <o:lock v:ext="edit" aspectratio="f"/>
                      <w10:anchorlock/>
                    </v:rect>
                  </w:pict>
                </mc:Fallback>
              </mc:AlternateContent>
            </w:r>
            <w:r>
              <w:rPr>
                <w:lang/>
              </w:rPr>
              <mc:AlternateContent>
                <mc:Choice Requires="wps">
                  <w:drawing>
                    <wp:anchor distT="0" distB="0" distL="114300" distR="114300" simplePos="0" relativeHeight="251662336" behindDoc="1" locked="0" layoutInCell="1" allowOverlap="1">
                      <wp:simplePos x="0" y="0"/>
                      <wp:positionH relativeFrom="column">
                        <wp:posOffset>2454910</wp:posOffset>
                      </wp:positionH>
                      <wp:positionV relativeFrom="paragraph">
                        <wp:posOffset>255905</wp:posOffset>
                      </wp:positionV>
                      <wp:extent cx="1270000" cy="304800"/>
                      <wp:effectExtent l="0" t="0" r="6350" b="0"/>
                      <wp:wrapNone/>
                      <wp:docPr id="4" name="LB"/>
                      <wp:cNvGraphicFramePr/>
                      <a:graphic xmlns:a="http://schemas.openxmlformats.org/drawingml/2006/main">
                        <a:graphicData uri="http://schemas.microsoft.com/office/word/2010/wordprocessingShape">
                          <wps:wsp>
                            <wps:cNvSpPr/>
                            <wps:spPr>
                              <a:xfrm>
                                <a:off x="0" y="0"/>
                                <a:ext cx="1270000" cy="304800"/>
                              </a:xfrm>
                              <a:prstGeom prst="rect">
                                <a:avLst/>
                              </a:prstGeom>
                              <a:solidFill>
                                <a:srgbClr val="FFFFFF"/>
                              </a:solidFill>
                              <a:ln>
                                <a:noFill/>
                              </a:ln>
                            </wps:spPr>
                            <wps:bodyPr wrap="square" upright="1"/>
                          </wps:wsp>
                        </a:graphicData>
                      </a:graphic>
                    </wp:anchor>
                  </w:drawing>
                </mc:Choice>
                <mc:Fallback>
                  <w:pict>
                    <v:rect id="LB" o:spid="_x0000_s1026" o:spt="1" style="position:absolute;left:0pt;margin-left:193.3pt;margin-top:20.15pt;height:24pt;width:100pt;z-index:-251654144;mso-width-relative:page;mso-height-relative:page;" fillcolor="#FFFFFF" filled="t" stroked="f" coordsize="21600,2160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Phi+XWAAAACQEA&#10;AA8AAAAAAAAAAQAgAAAAIgAAAGRycy9kb3ducmV2LnhtbFBLAQIUABQAAAAIAIdO4kDXAL7SqgEA&#10;AGcDAAAOAAAAAAAAAAEAIAAAACUBAABkcnMvZTJvRG9jLnhtbFBLBQYAAAAABgAGAFkBAABBBQAA&#10;AAA=&#10;">
                      <v:fill on="t" focussize="0,0"/>
                      <v:stroke on="f"/>
                      <v:imagedata o:title=""/>
                      <o:lock v:ext="edit" aspectratio="f"/>
                    </v:rect>
                  </w:pict>
                </mc:Fallback>
              </mc:AlternateContent>
            </w:r>
            <w:r>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2" w:name="LB"/>
            <w:r>
              <w:instrText xml:space="preserve"> FORMDROPDOWN </w:instrText>
            </w:r>
            <w:r>
              <w:fldChar w:fldCharType="separate"/>
            </w:r>
            <w:r>
              <w:fldChar w:fldCharType="end"/>
            </w:r>
            <w:bookmarkEnd w:id="1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9855" w:type="dxa"/>
            <w:tcBorders>
              <w:top w:val="nil"/>
              <w:left w:val="nil"/>
              <w:bottom w:val="nil"/>
              <w:right w:val="nil"/>
            </w:tcBorders>
            <w:shd w:val="clear" w:color="auto" w:fill="auto"/>
            <w:noWrap w:val="0"/>
            <w:vAlign w:val="top"/>
          </w:tcPr>
          <w:p>
            <w:pPr>
              <w:pStyle w:val="84"/>
            </w:pPr>
            <w:bookmarkStart w:id="13" w:name="WCRQ"/>
            <w:r>
              <w:fldChar w:fldCharType="begin">
                <w:ffData>
                  <w:name w:val="WCRQ"/>
                  <w:enabled/>
                  <w:calcOnExit w:val="0"/>
                  <w:textInput/>
                </w:ffData>
              </w:fldChar>
            </w:r>
            <w:r>
              <w:instrText xml:space="preserve"> FORMTEXT </w:instrText>
            </w:r>
            <w:r>
              <w:fldChar w:fldCharType="separate"/>
            </w:r>
            <w:r>
              <w:rPr>
                <w:rFonts w:hint="eastAsia"/>
              </w:rPr>
              <w:t>（本稿完成日期：20</w:t>
            </w:r>
            <w:r>
              <w:t>23</w:t>
            </w:r>
            <w:r>
              <w:rPr>
                <w:rFonts w:hint="eastAsia"/>
              </w:rPr>
              <w:t>年3月9日）</w:t>
            </w:r>
            <w:r>
              <w:fldChar w:fldCharType="end"/>
            </w:r>
            <w:bookmarkEnd w:id="13"/>
          </w:p>
        </w:tc>
      </w:tr>
    </w:tbl>
    <w:p>
      <w:pPr>
        <w:pStyle w:val="132"/>
      </w:pPr>
      <w:bookmarkStart w:id="14" w:name="FY"/>
      <w:r>
        <w:rPr>
          <w:rFonts w:ascii="黑体"/>
        </w:rPr>
        <w:fldChar w:fldCharType="begin">
          <w:ffData>
            <w:name w:val="FY"/>
            <w:enabled/>
            <w:calcOnExit w:val="0"/>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w:t>
      </w:r>
      <w:r>
        <w:rPr>
          <w:rFonts w:ascii="黑体"/>
        </w:rPr>
        <w:t>XX</w:t>
      </w:r>
      <w:r>
        <w:rPr>
          <w:rFonts w:ascii="黑体"/>
        </w:rPr>
        <w:fldChar w:fldCharType="end"/>
      </w:r>
      <w:bookmarkEnd w:id="14"/>
      <w:r>
        <w:t xml:space="preserve"> </w:t>
      </w:r>
      <w:r>
        <w:rPr>
          <w:rFonts w:ascii="黑体"/>
        </w:rPr>
        <w:t>-</w:t>
      </w:r>
      <w:r>
        <w:t xml:space="preserve"> </w:t>
      </w:r>
      <w:r>
        <w:rPr>
          <w:rFonts w:ascii="黑体"/>
        </w:rPr>
        <w:fldChar w:fldCharType="begin">
          <w:ffData>
            <w:name w:val="FM"/>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r>
        <w:t xml:space="preserve"> </w:t>
      </w:r>
      <w:r>
        <w:rPr>
          <w:rFonts w:ascii="黑体"/>
        </w:rPr>
        <w:t>-</w:t>
      </w:r>
      <w:r>
        <w:t xml:space="preserve"> </w:t>
      </w:r>
      <w:bookmarkStart w:id="15" w:name="FD"/>
      <w:r>
        <w:rPr>
          <w:rFonts w:ascii="黑体"/>
        </w:rPr>
        <w:fldChar w:fldCharType="begin">
          <w:ffData>
            <w:name w:val="FD"/>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bookmarkEnd w:id="15"/>
      <w:r>
        <w:rPr>
          <w:rFonts w:hint="eastAsia"/>
        </w:rPr>
        <w:t>发布</w:t>
      </w:r>
      <w: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ge">
                  <wp:posOffset>9251950</wp:posOffset>
                </wp:positionV>
                <wp:extent cx="6120130" cy="0"/>
                <wp:effectExtent l="0" t="4445" r="0" b="5080"/>
                <wp:wrapNone/>
                <wp:docPr id="1" name="直线 10"/>
                <wp:cNvGraphicFramePr/>
                <a:graphic xmlns:a="http://schemas.openxmlformats.org/drawingml/2006/main">
                  <a:graphicData uri="http://schemas.microsoft.com/office/word/2010/wordprocessingShape">
                    <wps:wsp>
                      <wps:cNvSpPr/>
                      <wps:spPr>
                        <a:xfrm>
                          <a:off x="0" y="0"/>
                          <a:ext cx="61201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0.05pt;margin-top:728.5pt;height:0pt;width:481.9pt;mso-position-vertical-relative:page;z-index:251659264;mso-width-relative:page;mso-height-relative:page;" filled="f" stroked="t" coordsize="21600,21600"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JYdrPNYAAAAL&#10;AQAADwAAAAAAAAABACAAAAAiAAAAZHJzL2Rvd25yZXYueG1sUEsBAhQAFAAAAAgAh07iQAf/n23l&#10;AQAA3AMAAA4AAAAAAAAAAQAgAAAAJQEAAGRycy9lMm9Eb2MueG1sUEsFBgAAAAAGAAYAWQEAAHwF&#10;AAAAAA==&#10;">
                <v:fill on="f" focussize="0,0"/>
                <v:stroke color="#000000" joinstyle="round"/>
                <v:imagedata o:title=""/>
                <o:lock v:ext="edit" aspectratio="f"/>
                <w10:anchorlock/>
              </v:line>
            </w:pict>
          </mc:Fallback>
        </mc:AlternateContent>
      </w:r>
    </w:p>
    <w:p>
      <w:pPr>
        <w:pStyle w:val="133"/>
      </w:pPr>
      <w:bookmarkStart w:id="16" w:name="SY"/>
      <w:r>
        <w:rPr>
          <w:rFonts w:ascii="黑体"/>
        </w:rPr>
        <w:fldChar w:fldCharType="begin">
          <w:ffData>
            <w:name w:val="SY"/>
            <w:enabled/>
            <w:calcOnExit w:val="0"/>
            <w:textInput>
              <w:default w:val="XXXX"/>
              <w:maxLength w:val="4"/>
            </w:textInput>
          </w:ffData>
        </w:fldChar>
      </w:r>
      <w:r>
        <w:rPr>
          <w:rFonts w:ascii="黑体"/>
        </w:rPr>
        <w:instrText xml:space="preserve"> FORMTEXT </w:instrText>
      </w:r>
      <w:r>
        <w:rPr>
          <w:rFonts w:ascii="黑体"/>
        </w:rPr>
        <w:fldChar w:fldCharType="separate"/>
      </w:r>
      <w:r>
        <w:rPr>
          <w:rFonts w:hint="eastAsia" w:ascii="黑体"/>
        </w:rPr>
        <w:t>20</w:t>
      </w:r>
      <w:r>
        <w:rPr>
          <w:rFonts w:ascii="黑体"/>
        </w:rPr>
        <w:t>XX</w:t>
      </w:r>
      <w:r>
        <w:rPr>
          <w:rFonts w:ascii="黑体"/>
        </w:rPr>
        <w:fldChar w:fldCharType="end"/>
      </w:r>
      <w:bookmarkEnd w:id="16"/>
      <w:r>
        <w:t xml:space="preserve"> </w:t>
      </w:r>
      <w:r>
        <w:rPr>
          <w:rFonts w:ascii="黑体"/>
        </w:rPr>
        <w:t>-</w:t>
      </w:r>
      <w:r>
        <w:t xml:space="preserve"> </w:t>
      </w:r>
      <w:bookmarkStart w:id="17" w:name="SM"/>
      <w:r>
        <w:rPr>
          <w:rFonts w:ascii="黑体"/>
        </w:rPr>
        <w:fldChar w:fldCharType="begin">
          <w:ffData>
            <w:name w:val="SM"/>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bookmarkEnd w:id="17"/>
      <w:r>
        <w:t xml:space="preserve"> </w:t>
      </w:r>
      <w:r>
        <w:rPr>
          <w:rFonts w:ascii="黑体"/>
        </w:rPr>
        <w:t>-</w:t>
      </w:r>
      <w:r>
        <w:t xml:space="preserve"> </w:t>
      </w:r>
      <w:bookmarkStart w:id="18" w:name="SD"/>
      <w:r>
        <w:rPr>
          <w:rFonts w:ascii="黑体"/>
        </w:rPr>
        <w:fldChar w:fldCharType="begin">
          <w:ffData>
            <w:name w:val="SD"/>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lang/>
        </w:rPr>
        <w:t>XX</w:t>
      </w:r>
      <w:r>
        <w:rPr>
          <w:rFonts w:ascii="黑体"/>
        </w:rPr>
        <w:fldChar w:fldCharType="end"/>
      </w:r>
      <w:bookmarkEnd w:id="18"/>
      <w:r>
        <w:rPr>
          <w:rFonts w:hint="eastAsia"/>
        </w:rPr>
        <w:t>实施</w:t>
      </w:r>
    </w:p>
    <w:p>
      <w:pPr>
        <w:pStyle w:val="113"/>
      </w:pPr>
      <w:bookmarkStart w:id="19" w:name="fm"/>
      <w:r>
        <w:fldChar w:fldCharType="begin">
          <w:ffData>
            <w:name w:val="fm"/>
            <w:enabled/>
            <w:calcOnExit w:val="0"/>
            <w:textInput/>
          </w:ffData>
        </w:fldChar>
      </w:r>
      <w:r>
        <w:instrText xml:space="preserve"> FORMTEXT </w:instrText>
      </w:r>
      <w:r>
        <w:fldChar w:fldCharType="separate"/>
      </w:r>
      <w:r>
        <w:rPr>
          <w:rFonts w:hint="eastAsia"/>
        </w:rPr>
        <w:t>国家能源局</w:t>
      </w:r>
      <w:r>
        <w:fldChar w:fldCharType="end"/>
      </w:r>
      <w:bookmarkEnd w:id="19"/>
      <w:r>
        <w:rPr>
          <w:rFonts w:hint="eastAsia" w:ascii="MS Mincho" w:hAnsi="MS Mincho" w:eastAsia="MS Mincho" w:cs="MS Mincho"/>
        </w:rPr>
        <w:t> </w:t>
      </w:r>
      <w:r>
        <w:rPr>
          <w:rFonts w:hint="eastAsia" w:ascii="MS Mincho" w:hAnsi="MS Mincho" w:eastAsia="MS Mincho" w:cs="MS Mincho"/>
        </w:rPr>
        <w:t> </w:t>
      </w:r>
      <w:r>
        <w:rPr>
          <w:rFonts w:hint="eastAsia" w:ascii="MS Mincho" w:hAnsi="MS Mincho" w:eastAsia="MS Mincho" w:cs="MS Mincho"/>
        </w:rPr>
        <w:t> </w:t>
      </w:r>
      <w:r>
        <w:rPr>
          <w:rStyle w:val="75"/>
          <w:rFonts w:hint="eastAsia"/>
        </w:rPr>
        <w:t>发布</w:t>
      </w:r>
    </w:p>
    <w:p>
      <w:pPr>
        <w:pStyle w:val="27"/>
        <w:sectPr>
          <w:headerReference r:id="rId3" w:type="even"/>
          <w:footerReference r:id="rId4" w:type="even"/>
          <w:pgSz w:w="11906" w:h="16838"/>
          <w:pgMar w:top="567" w:right="850" w:bottom="1134" w:left="1418" w:header="0" w:footer="0" w:gutter="0"/>
          <w:pgNumType w:start="1"/>
          <w:cols w:space="425"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2339975</wp:posOffset>
                </wp:positionV>
                <wp:extent cx="6120130" cy="0"/>
                <wp:effectExtent l="0" t="4445" r="0" b="5080"/>
                <wp:wrapNone/>
                <wp:docPr id="2" name="直线 11"/>
                <wp:cNvGraphicFramePr/>
                <a:graphic xmlns:a="http://schemas.openxmlformats.org/drawingml/2006/main">
                  <a:graphicData uri="http://schemas.microsoft.com/office/word/2010/wordprocessingShape">
                    <wps:wsp>
                      <wps:cNvSpPr/>
                      <wps:spPr>
                        <a:xfrm>
                          <a:off x="0" y="0"/>
                          <a:ext cx="61201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0.05pt;margin-top:184.25pt;height:0pt;width:481.9pt;z-index:251660288;mso-width-relative:page;mso-height-relative:page;" filled="f" stroked="t" coordsize="21600,21600" o:gfxdata="UEsDBAoAAAAAAIdO4kAAAAAAAAAAAAAAAAAEAAAAZHJzL1BLAwQUAAAACACHTuJAQkHiX9cAAAAJ&#10;AQAADwAAAGRycy9kb3ducmV2LnhtbE2PzU7DMBCE70h9B2uRuFStnUaE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QeJf1wAA&#10;AAkBAAAPAAAAAAAAAAEAIAAAACIAAABkcnMvZG93bnJldi54bWxQSwECFAAUAAAACACHTuJAMUX7&#10;+eYBAADcAwAADgAAAAAAAAABACAAAAAmAQAAZHJzL2Uyb0RvYy54bWxQSwUGAAAAAAYABgBZAQAA&#10;fgUAAAAA&#10;">
                <v:fill on="f" focussize="0,0"/>
                <v:stroke color="#000000" joinstyle="round"/>
                <v:imagedata o:title=""/>
                <o:lock v:ext="edit" aspectratio="f"/>
              </v:line>
            </w:pict>
          </mc:Fallback>
        </mc:AlternateContent>
      </w:r>
    </w:p>
    <w:p>
      <w:pPr>
        <w:pStyle w:val="52"/>
        <w:rPr>
          <w:rFonts w:hint="eastAsia"/>
        </w:rPr>
      </w:pPr>
      <w:bookmarkStart w:id="20" w:name="_Toc487701822"/>
      <w:bookmarkStart w:id="21" w:name="_Toc487701461"/>
      <w:bookmarkStart w:id="22" w:name="_Toc472515374"/>
      <w:bookmarkStart w:id="23" w:name="_Toc417044059"/>
      <w:bookmarkStart w:id="24" w:name="_Toc416873720"/>
      <w:bookmarkStart w:id="25" w:name="_Toc394497734"/>
      <w:bookmarkStart w:id="26" w:name="_Toc394496453"/>
      <w:bookmarkStart w:id="27" w:name="_Toc394325448"/>
      <w:bookmarkStart w:id="28" w:name="_Toc394325212"/>
      <w:bookmarkStart w:id="29" w:name="_Toc394324687"/>
      <w:bookmarkStart w:id="30" w:name="_Toc394324511"/>
      <w:bookmarkStart w:id="31" w:name="_Toc393566604"/>
      <w:bookmarkStart w:id="32" w:name="_Toc393566443"/>
      <w:r>
        <w:rPr>
          <w:rFonts w:hint="eastAsia"/>
        </w:rPr>
        <w:t>目</w:t>
      </w:r>
      <w:bookmarkStart w:id="33" w:name="BKML"/>
      <w:r>
        <w:rPr>
          <w:rFonts w:hint="eastAsia" w:ascii="MS Mincho" w:hAnsi="MS Mincho" w:eastAsia="MS Mincho" w:cs="MS Mincho"/>
        </w:rPr>
        <w:t> </w:t>
      </w:r>
      <w:r>
        <w:rPr>
          <w:rFonts w:hint="eastAsia" w:ascii="MS Mincho" w:hAnsi="MS Mincho" w:eastAsia="MS Mincho" w:cs="MS Mincho"/>
        </w:rPr>
        <w:t> </w:t>
      </w:r>
      <w:r>
        <w:rPr>
          <w:rFonts w:hint="eastAsia"/>
        </w:rPr>
        <w:t>次</w:t>
      </w:r>
      <w:bookmarkEnd w:id="33"/>
    </w:p>
    <w:p>
      <w:pPr>
        <w:pStyle w:val="23"/>
        <w:spacing w:before="78" w:after="78"/>
        <w:rPr>
          <w:rFonts w:ascii="等线" w:hAnsi="等线" w:eastAsia="等线"/>
          <w:szCs w:val="22"/>
          <w:lang/>
        </w:rPr>
      </w:pPr>
      <w:r>
        <w:fldChar w:fldCharType="begin"/>
      </w:r>
      <w:r>
        <w:instrText xml:space="preserve"> TOC \h \z \t"前言、引言标题,1,参考文献、索引标题,1,章标题,1,参考文献,1,附录标识,1" \* MERGEFORMAT </w:instrText>
      </w:r>
      <w:r>
        <w:fldChar w:fldCharType="separate"/>
      </w:r>
      <w:r>
        <w:rPr>
          <w:rStyle w:val="41"/>
        </w:rPr>
        <w:fldChar w:fldCharType="begin"/>
      </w:r>
      <w:r>
        <w:rPr>
          <w:rStyle w:val="41"/>
        </w:rPr>
        <w:instrText xml:space="preserve"> </w:instrText>
      </w:r>
      <w:r>
        <w:rPr>
          <w:lang/>
        </w:rPr>
        <w:instrText xml:space="preserve">HYPERLINK \l "_Toc129250158"</w:instrText>
      </w:r>
      <w:r>
        <w:rPr>
          <w:rStyle w:val="41"/>
        </w:rPr>
        <w:instrText xml:space="preserve"> </w:instrText>
      </w:r>
      <w:r>
        <w:rPr>
          <w:rStyle w:val="41"/>
        </w:rPr>
        <w:fldChar w:fldCharType="separate"/>
      </w:r>
      <w:r>
        <w:rPr>
          <w:rStyle w:val="41"/>
        </w:rPr>
        <w:t>前言</w:t>
      </w:r>
      <w:r>
        <w:rPr>
          <w:lang/>
        </w:rPr>
        <w:tab/>
      </w:r>
      <w:r>
        <w:rPr>
          <w:lang/>
        </w:rPr>
        <w:fldChar w:fldCharType="begin"/>
      </w:r>
      <w:r>
        <w:rPr>
          <w:lang/>
        </w:rPr>
        <w:instrText xml:space="preserve"> PAGEREF _Toc129250158 \h </w:instrText>
      </w:r>
      <w:r>
        <w:rPr>
          <w:lang/>
        </w:rPr>
        <w:fldChar w:fldCharType="separate"/>
      </w:r>
      <w:r>
        <w:rPr>
          <w:lang/>
        </w:rPr>
        <w:t>II</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"_Toc129250159"</w:instrText>
      </w:r>
      <w:r>
        <w:rPr>
          <w:rStyle w:val="41"/>
        </w:rPr>
        <w:instrText xml:space="preserve"> </w:instrText>
      </w:r>
      <w:r>
        <w:rPr>
          <w:rStyle w:val="41"/>
        </w:rPr>
        <w:fldChar w:fldCharType="separate"/>
      </w:r>
      <w:r>
        <w:rPr>
          <w:rStyle w:val="41"/>
        </w:rPr>
        <w:t>引言</w:t>
      </w:r>
      <w:r>
        <w:rPr>
          <w:lang/>
        </w:rPr>
        <w:tab/>
      </w:r>
      <w:r>
        <w:rPr>
          <w:lang/>
        </w:rPr>
        <w:fldChar w:fldCharType="begin"/>
      </w:r>
      <w:r>
        <w:rPr>
          <w:lang/>
        </w:rPr>
        <w:instrText xml:space="preserve"> PAGEREF _Toc129250159 \h </w:instrText>
      </w:r>
      <w:r>
        <w:rPr>
          <w:lang/>
        </w:rPr>
        <w:fldChar w:fldCharType="separate"/>
      </w:r>
      <w:r>
        <w:rPr>
          <w:lang/>
        </w:rPr>
        <w:t>III</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"_Toc129250160"</w:instrText>
      </w:r>
      <w:r>
        <w:rPr>
          <w:rStyle w:val="41"/>
        </w:rPr>
        <w:instrText xml:space="preserve"> </w:instrText>
      </w:r>
      <w:r>
        <w:rPr>
          <w:rStyle w:val="41"/>
        </w:rPr>
        <w:fldChar w:fldCharType="separate"/>
      </w:r>
      <w:r>
        <w:rPr>
          <w:rStyle w:val="41"/>
        </w:rPr>
        <w:t>1 范围</w:t>
      </w:r>
      <w:r>
        <w:rPr>
          <w:lang/>
        </w:rPr>
        <w:tab/>
      </w:r>
      <w:r>
        <w:rPr>
          <w:lang/>
        </w:rPr>
        <w:fldChar w:fldCharType="begin"/>
      </w:r>
      <w:r>
        <w:rPr>
          <w:lang/>
        </w:rPr>
        <w:instrText xml:space="preserve"> PAGEREF _Toc129250160 \h </w:instrText>
      </w:r>
      <w:r>
        <w:rPr>
          <w:lang/>
        </w:rPr>
        <w:fldChar w:fldCharType="separate"/>
      </w:r>
      <w:r>
        <w:rPr>
          <w:lang/>
        </w:rPr>
        <w:t>1</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"_Toc129250161"</w:instrText>
      </w:r>
      <w:r>
        <w:rPr>
          <w:rStyle w:val="41"/>
        </w:rPr>
        <w:instrText xml:space="preserve"> </w:instrText>
      </w:r>
      <w:r>
        <w:rPr>
          <w:rStyle w:val="41"/>
        </w:rPr>
        <w:fldChar w:fldCharType="separate"/>
      </w:r>
      <w:r>
        <w:rPr>
          <w:rStyle w:val="41"/>
        </w:rPr>
        <w:t>2 规范性引用文件</w:t>
      </w:r>
      <w:r>
        <w:rPr>
          <w:lang/>
        </w:rPr>
        <w:tab/>
      </w:r>
      <w:r>
        <w:rPr>
          <w:lang/>
        </w:rPr>
        <w:fldChar w:fldCharType="begin"/>
      </w:r>
      <w:r>
        <w:rPr>
          <w:lang/>
        </w:rPr>
        <w:instrText xml:space="preserve"> PAGEREF _Toc129250161 \h </w:instrText>
      </w:r>
      <w:r>
        <w:rPr>
          <w:lang/>
        </w:rPr>
        <w:fldChar w:fldCharType="separate"/>
      </w:r>
      <w:r>
        <w:rPr>
          <w:lang/>
        </w:rPr>
        <w:t>1</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"_Toc129250162"</w:instrText>
      </w:r>
      <w:r>
        <w:rPr>
          <w:rStyle w:val="41"/>
        </w:rPr>
        <w:instrText xml:space="preserve"> </w:instrText>
      </w:r>
      <w:r>
        <w:rPr>
          <w:rStyle w:val="41"/>
        </w:rPr>
        <w:fldChar w:fldCharType="separate"/>
      </w:r>
      <w:r>
        <w:rPr>
          <w:rStyle w:val="41"/>
        </w:rPr>
        <w:t>3 术语和定义</w:t>
      </w:r>
      <w:r>
        <w:rPr>
          <w:lang/>
        </w:rPr>
        <w:tab/>
      </w:r>
      <w:r>
        <w:rPr>
          <w:lang/>
        </w:rPr>
        <w:fldChar w:fldCharType="begin"/>
      </w:r>
      <w:r>
        <w:rPr>
          <w:lang/>
        </w:rPr>
        <w:instrText xml:space="preserve"> PAGEREF _Toc129250162 \h </w:instrText>
      </w:r>
      <w:r>
        <w:rPr>
          <w:lang/>
        </w:rPr>
        <w:fldChar w:fldCharType="separate"/>
      </w:r>
      <w:r>
        <w:rPr>
          <w:lang/>
        </w:rPr>
        <w:t>1</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"_Toc129250163"</w:instrText>
      </w:r>
      <w:r>
        <w:rPr>
          <w:rStyle w:val="41"/>
        </w:rPr>
        <w:instrText xml:space="preserve"> </w:instrText>
      </w:r>
      <w:r>
        <w:rPr>
          <w:rStyle w:val="41"/>
        </w:rPr>
        <w:fldChar w:fldCharType="separate"/>
      </w:r>
      <w:r>
        <w:rPr>
          <w:rStyle w:val="41"/>
        </w:rPr>
        <w:t>4 缩略语</w:t>
      </w:r>
      <w:r>
        <w:rPr>
          <w:lang/>
        </w:rPr>
        <w:tab/>
      </w:r>
      <w:r>
        <w:rPr>
          <w:lang/>
        </w:rPr>
        <w:fldChar w:fldCharType="begin"/>
      </w:r>
      <w:r>
        <w:rPr>
          <w:lang/>
        </w:rPr>
        <w:instrText xml:space="preserve"> PAGEREF _Toc129250163 \h </w:instrText>
      </w:r>
      <w:r>
        <w:rPr>
          <w:lang/>
        </w:rPr>
        <w:fldChar w:fldCharType="separate"/>
      </w:r>
      <w:r>
        <w:rPr>
          <w:lang/>
        </w:rPr>
        <w:t>1</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"_Toc129250164"</w:instrText>
      </w:r>
      <w:r>
        <w:rPr>
          <w:rStyle w:val="41"/>
        </w:rPr>
        <w:instrText xml:space="preserve"> </w:instrText>
      </w:r>
      <w:r>
        <w:rPr>
          <w:rStyle w:val="41"/>
        </w:rPr>
        <w:fldChar w:fldCharType="separate"/>
      </w:r>
      <w:r>
        <w:rPr>
          <w:rStyle w:val="41"/>
        </w:rPr>
        <w:t>5 定期安全评价的策划和准备</w:t>
      </w:r>
      <w:r>
        <w:rPr>
          <w:lang/>
        </w:rPr>
        <w:tab/>
      </w:r>
      <w:r>
        <w:rPr>
          <w:lang/>
        </w:rPr>
        <w:fldChar w:fldCharType="begin"/>
      </w:r>
      <w:r>
        <w:rPr>
          <w:lang/>
        </w:rPr>
        <w:instrText xml:space="preserve"> PAGEREF _Toc129250164 \h </w:instrText>
      </w:r>
      <w:r>
        <w:rPr>
          <w:lang/>
        </w:rPr>
        <w:fldChar w:fldCharType="separate"/>
      </w:r>
      <w:r>
        <w:rPr>
          <w:lang/>
        </w:rPr>
        <w:t>1</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"_Toc129250165"</w:instrText>
      </w:r>
      <w:r>
        <w:rPr>
          <w:rStyle w:val="41"/>
        </w:rPr>
        <w:instrText xml:space="preserve"> </w:instrText>
      </w:r>
      <w:r>
        <w:rPr>
          <w:rStyle w:val="41"/>
        </w:rPr>
        <w:fldChar w:fldCharType="separate"/>
      </w:r>
      <w:r>
        <w:rPr>
          <w:rStyle w:val="41"/>
        </w:rPr>
        <w:t>6 执行评价</w:t>
      </w:r>
      <w:r>
        <w:rPr>
          <w:lang/>
        </w:rPr>
        <w:tab/>
      </w:r>
      <w:r>
        <w:rPr>
          <w:lang/>
        </w:rPr>
        <w:fldChar w:fldCharType="begin"/>
      </w:r>
      <w:r>
        <w:rPr>
          <w:lang/>
        </w:rPr>
        <w:instrText xml:space="preserve"> PAGEREF _Toc129250165 \h </w:instrText>
      </w:r>
      <w:r>
        <w:rPr>
          <w:lang/>
        </w:rPr>
        <w:fldChar w:fldCharType="separate"/>
      </w:r>
      <w:r>
        <w:rPr>
          <w:lang/>
        </w:rPr>
        <w:t>4</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"_Toc129250166"</w:instrText>
      </w:r>
      <w:r>
        <w:rPr>
          <w:rStyle w:val="41"/>
        </w:rPr>
        <w:instrText xml:space="preserve"> </w:instrText>
      </w:r>
      <w:r>
        <w:rPr>
          <w:rStyle w:val="41"/>
        </w:rPr>
        <w:fldChar w:fldCharType="separate"/>
      </w:r>
      <w:r>
        <w:rPr>
          <w:rStyle w:val="41"/>
        </w:rPr>
        <w:t>7 定期安全评价后工作</w:t>
      </w:r>
      <w:r>
        <w:rPr>
          <w:lang/>
        </w:rPr>
        <w:tab/>
      </w:r>
      <w:r>
        <w:rPr>
          <w:lang/>
        </w:rPr>
        <w:fldChar w:fldCharType="begin"/>
      </w:r>
      <w:r>
        <w:rPr>
          <w:lang/>
        </w:rPr>
        <w:instrText xml:space="preserve"> PAGEREF _Toc129250166 \h </w:instrText>
      </w:r>
      <w:r>
        <w:rPr>
          <w:lang/>
        </w:rPr>
        <w:fldChar w:fldCharType="separate"/>
      </w:r>
      <w:r>
        <w:rPr>
          <w:lang/>
        </w:rPr>
        <w:t>6</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"_Toc129250167"</w:instrText>
      </w:r>
      <w:r>
        <w:rPr>
          <w:rStyle w:val="41"/>
        </w:rPr>
        <w:instrText xml:space="preserve"> </w:instrText>
      </w:r>
      <w:r>
        <w:rPr>
          <w:rStyle w:val="41"/>
        </w:rPr>
        <w:fldChar w:fldCharType="separate"/>
      </w:r>
      <w:r>
        <w:rPr>
          <w:rStyle w:val="41"/>
        </w:rPr>
        <w:t>附　录　A （资料性附录） 安全要素关联矩阵</w:t>
      </w:r>
      <w:r>
        <w:rPr>
          <w:lang/>
        </w:rPr>
        <w:tab/>
      </w:r>
      <w:r>
        <w:rPr>
          <w:lang/>
        </w:rPr>
        <w:fldChar w:fldCharType="begin"/>
      </w:r>
      <w:r>
        <w:rPr>
          <w:lang/>
        </w:rPr>
        <w:instrText xml:space="preserve"> PAGEREF _Toc129250167 \h </w:instrText>
      </w:r>
      <w:r>
        <w:rPr>
          <w:lang/>
        </w:rPr>
        <w:fldChar w:fldCharType="separate"/>
      </w:r>
      <w:r>
        <w:rPr>
          <w:lang/>
        </w:rPr>
        <w:t>7</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"_Toc129250168"</w:instrText>
      </w:r>
      <w:r>
        <w:rPr>
          <w:rStyle w:val="41"/>
        </w:rPr>
        <w:instrText xml:space="preserve"> </w:instrText>
      </w:r>
      <w:r>
        <w:rPr>
          <w:rStyle w:val="41"/>
        </w:rPr>
        <w:fldChar w:fldCharType="separate"/>
      </w:r>
      <w:r>
        <w:rPr>
          <w:rStyle w:val="41"/>
        </w:rPr>
        <w:t>附　录　B （资料性附录） 核电厂PSR大纲的一般内容</w:t>
      </w:r>
      <w:r>
        <w:rPr>
          <w:lang/>
        </w:rPr>
        <w:tab/>
      </w:r>
      <w:r>
        <w:rPr>
          <w:lang/>
        </w:rPr>
        <w:fldChar w:fldCharType="begin"/>
      </w:r>
      <w:r>
        <w:rPr>
          <w:lang/>
        </w:rPr>
        <w:instrText xml:space="preserve"> PAGEREF _Toc129250168 \h </w:instrText>
      </w:r>
      <w:r>
        <w:rPr>
          <w:lang/>
        </w:rPr>
        <w:fldChar w:fldCharType="separate"/>
      </w:r>
      <w:r>
        <w:rPr>
          <w:lang/>
        </w:rPr>
        <w:t>8</w:t>
      </w:r>
      <w:r>
        <w:rPr>
          <w:lang/>
        </w:rPr>
        <w:fldChar w:fldCharType="end"/>
      </w:r>
      <w:r>
        <w:rPr>
          <w:rStyle w:val="41"/>
        </w:rPr>
        <w:fldChar w:fldCharType="end"/>
      </w:r>
    </w:p>
    <w:p>
      <w:pPr>
        <w:pStyle w:val="23"/>
        <w:spacing w:before="78" w:after="78"/>
        <w:rPr>
          <w:rFonts w:ascii="等线" w:hAnsi="等线" w:eastAsia="等线"/>
          <w:szCs w:val="22"/>
          <w:lang/>
        </w:rPr>
      </w:pPr>
      <w:r>
        <w:rPr>
          <w:rStyle w:val="41"/>
        </w:rPr>
        <w:fldChar w:fldCharType="begin"/>
      </w:r>
      <w:r>
        <w:rPr>
          <w:rStyle w:val="41"/>
        </w:rPr>
        <w:instrText xml:space="preserve"> </w:instrText>
      </w:r>
      <w:r>
        <w:rPr>
          <w:lang/>
        </w:rPr>
        <w:instrText xml:space="preserve">HYPERLINK \l "_Toc129250169"</w:instrText>
      </w:r>
      <w:r>
        <w:rPr>
          <w:rStyle w:val="41"/>
        </w:rPr>
        <w:instrText xml:space="preserve"> </w:instrText>
      </w:r>
      <w:r>
        <w:rPr>
          <w:rStyle w:val="41"/>
        </w:rPr>
        <w:fldChar w:fldCharType="separate"/>
      </w:r>
      <w:r>
        <w:rPr>
          <w:rStyle w:val="41"/>
        </w:rPr>
        <w:t>附　录　C （资料性附录） 收益成本分析的一般方法</w:t>
      </w:r>
      <w:r>
        <w:rPr>
          <w:lang/>
        </w:rPr>
        <w:tab/>
      </w:r>
      <w:r>
        <w:rPr>
          <w:lang/>
        </w:rPr>
        <w:fldChar w:fldCharType="begin"/>
      </w:r>
      <w:r>
        <w:rPr>
          <w:lang/>
        </w:rPr>
        <w:instrText xml:space="preserve"> PAGEREF _Toc129250169 \h </w:instrText>
      </w:r>
      <w:r>
        <w:rPr>
          <w:lang/>
        </w:rPr>
        <w:fldChar w:fldCharType="separate"/>
      </w:r>
      <w:r>
        <w:rPr>
          <w:lang/>
        </w:rPr>
        <w:t>9</w:t>
      </w:r>
      <w:r>
        <w:rPr>
          <w:lang/>
        </w:rPr>
        <w:fldChar w:fldCharType="end"/>
      </w:r>
      <w:r>
        <w:rPr>
          <w:rStyle w:val="41"/>
        </w:rPr>
        <w:fldChar w:fldCharType="end"/>
      </w:r>
    </w:p>
    <w:p>
      <w:pPr>
        <w:pStyle w:val="27"/>
        <w:rPr>
          <w:rFonts w:hint="eastAsia"/>
        </w:rPr>
      </w:pPr>
      <w:r>
        <w:rPr>
          <w:kern w:val="2"/>
          <w:szCs w:val="21"/>
          <w:lang w:val="en-US" w:eastAsia="zh-CN"/>
        </w:rPr>
        <w:fldChar w:fldCharType="end"/>
      </w:r>
    </w:p>
    <w:p>
      <w:pPr>
        <w:pStyle w:val="114"/>
        <w:rPr>
          <w:rFonts w:hint="eastAsia"/>
        </w:rPr>
      </w:pPr>
      <w:bookmarkStart w:id="34" w:name="_Toc129250158"/>
      <w:bookmarkStart w:id="35" w:name="_Toc487723839"/>
      <w:r>
        <w:rPr>
          <w:rFonts w:hint="eastAsia"/>
        </w:rPr>
        <w:t>前</w:t>
      </w:r>
      <w:bookmarkStart w:id="36" w:name="BKQY"/>
      <w:r>
        <w:rPr>
          <w:rFonts w:hint="eastAsia" w:ascii="MS Mincho" w:hAnsi="MS Mincho" w:eastAsia="MS Mincho" w:cs="MS Mincho"/>
        </w:rPr>
        <w:t> </w:t>
      </w:r>
      <w:r>
        <w:rPr>
          <w:rFonts w:hint="eastAsia" w:ascii="MS Mincho" w:hAnsi="MS Mincho" w:eastAsia="MS Mincho" w:cs="MS Mincho"/>
        </w:rPr>
        <w:t> </w:t>
      </w:r>
      <w:r>
        <w:rPr>
          <w:rFonts w:hint="eastAsia"/>
        </w:rPr>
        <w:t>言</w:t>
      </w:r>
      <w:bookmarkEnd w:id="20"/>
      <w:bookmarkEnd w:id="21"/>
      <w:bookmarkEnd w:id="22"/>
      <w:bookmarkEnd w:id="23"/>
      <w:bookmarkEnd w:id="24"/>
      <w:bookmarkEnd w:id="25"/>
      <w:bookmarkEnd w:id="26"/>
      <w:bookmarkEnd w:id="27"/>
      <w:bookmarkEnd w:id="28"/>
      <w:bookmarkEnd w:id="29"/>
      <w:bookmarkEnd w:id="30"/>
      <w:bookmarkEnd w:id="31"/>
      <w:bookmarkEnd w:id="32"/>
      <w:bookmarkEnd w:id="34"/>
      <w:bookmarkEnd w:id="35"/>
      <w:bookmarkEnd w:id="36"/>
    </w:p>
    <w:p>
      <w:pPr>
        <w:ind w:left="420" w:leftChars="200"/>
        <w:rPr>
          <w:rFonts w:hint="eastAsia" w:ascii="宋体" w:hAnsi="宋体"/>
          <w:kern w:val="0"/>
          <w:szCs w:val="20"/>
          <w:lang/>
        </w:rPr>
      </w:pPr>
      <w:r>
        <w:rPr>
          <w:rFonts w:hint="eastAsia" w:ascii="宋体" w:hAnsi="宋体"/>
          <w:kern w:val="0"/>
          <w:szCs w:val="20"/>
          <w:lang/>
        </w:rPr>
        <w:t>《核电厂定期安全评价》分为15个部分：</w:t>
      </w:r>
    </w:p>
    <w:p>
      <w:pPr>
        <w:ind w:left="420" w:leftChars="200"/>
        <w:rPr>
          <w:rFonts w:ascii="宋体" w:hAnsi="宋体"/>
          <w:kern w:val="0"/>
          <w:szCs w:val="20"/>
          <w:lang/>
        </w:rPr>
      </w:pPr>
      <w:r>
        <w:rPr>
          <w:rFonts w:hint="eastAsia" w:ascii="宋体" w:hAnsi="宋体"/>
          <w:kern w:val="0"/>
          <w:szCs w:val="20"/>
          <w:lang/>
        </w:rPr>
        <w:t>——第1部分：通用要求；</w:t>
      </w:r>
    </w:p>
    <w:p>
      <w:pPr>
        <w:ind w:left="420" w:leftChars="200"/>
        <w:rPr>
          <w:rFonts w:ascii="宋体" w:hAnsi="宋体"/>
          <w:kern w:val="0"/>
          <w:szCs w:val="20"/>
          <w:lang/>
        </w:rPr>
      </w:pPr>
      <w:r>
        <w:rPr>
          <w:rFonts w:hint="eastAsia" w:ascii="宋体" w:hAnsi="宋体"/>
          <w:kern w:val="0"/>
          <w:szCs w:val="20"/>
          <w:lang/>
        </w:rPr>
        <w:t>——第2部分：</w:t>
      </w:r>
      <w:r>
        <w:rPr>
          <w:rFonts w:ascii="宋体" w:hAnsi="宋体"/>
          <w:kern w:val="0"/>
          <w:szCs w:val="20"/>
          <w:lang/>
        </w:rPr>
        <w:t>安全性能</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——第3部分：</w:t>
      </w:r>
      <w:r>
        <w:rPr>
          <w:rFonts w:ascii="宋体" w:hAnsi="宋体"/>
          <w:kern w:val="0"/>
          <w:szCs w:val="20"/>
          <w:lang/>
        </w:rPr>
        <w:t>程序</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——第4部分：</w:t>
      </w:r>
      <w:r>
        <w:rPr>
          <w:rFonts w:ascii="宋体" w:hAnsi="宋体"/>
          <w:kern w:val="0"/>
          <w:szCs w:val="20"/>
          <w:lang/>
        </w:rPr>
        <w:t>辐射环境影响</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——第5部分：</w:t>
      </w:r>
      <w:r>
        <w:rPr>
          <w:rFonts w:ascii="宋体" w:hAnsi="宋体"/>
          <w:kern w:val="0"/>
          <w:szCs w:val="20"/>
          <w:lang/>
        </w:rPr>
        <w:t>概率安全分析</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——第6部分：</w:t>
      </w:r>
      <w:r>
        <w:rPr>
          <w:rFonts w:ascii="宋体" w:hAnsi="宋体"/>
          <w:kern w:val="0"/>
          <w:szCs w:val="20"/>
          <w:lang/>
        </w:rPr>
        <w:t>构筑物、系统和部件的实际状态</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——第7部分：</w:t>
      </w:r>
      <w:r>
        <w:rPr>
          <w:rFonts w:ascii="宋体" w:hAnsi="宋体"/>
          <w:kern w:val="0"/>
          <w:szCs w:val="20"/>
          <w:lang/>
        </w:rPr>
        <w:t>经验反馈</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——第8部分：</w:t>
      </w:r>
      <w:r>
        <w:rPr>
          <w:rFonts w:ascii="宋体" w:hAnsi="宋体"/>
          <w:kern w:val="0"/>
          <w:szCs w:val="20"/>
          <w:lang/>
        </w:rPr>
        <w:t>老化</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——第9部分：</w:t>
      </w:r>
      <w:r>
        <w:rPr>
          <w:rFonts w:ascii="宋体" w:hAnsi="宋体"/>
          <w:kern w:val="0"/>
          <w:szCs w:val="20"/>
          <w:lang/>
        </w:rPr>
        <w:t>确定论安全分析</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——第10部分：</w:t>
      </w:r>
      <w:r>
        <w:rPr>
          <w:rFonts w:ascii="宋体" w:hAnsi="宋体"/>
          <w:kern w:val="0"/>
          <w:szCs w:val="20"/>
          <w:lang/>
        </w:rPr>
        <w:t>人因</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——第11部分：</w:t>
      </w:r>
      <w:r>
        <w:rPr>
          <w:rFonts w:ascii="宋体" w:hAnsi="宋体"/>
          <w:kern w:val="0"/>
          <w:szCs w:val="20"/>
          <w:lang/>
        </w:rPr>
        <w:t>设备合格鉴定</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——第12部分：</w:t>
      </w:r>
      <w:r>
        <w:rPr>
          <w:rFonts w:ascii="宋体" w:hAnsi="宋体"/>
          <w:kern w:val="0"/>
          <w:szCs w:val="20"/>
          <w:lang/>
        </w:rPr>
        <w:t>设计</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——第13部分：</w:t>
      </w:r>
      <w:r>
        <w:rPr>
          <w:rFonts w:ascii="宋体" w:hAnsi="宋体"/>
          <w:kern w:val="0"/>
          <w:szCs w:val="20"/>
          <w:lang/>
        </w:rPr>
        <w:t>应急</w:t>
      </w:r>
      <w:r>
        <w:rPr>
          <w:rFonts w:hint="eastAsia" w:ascii="宋体" w:hAnsi="宋体"/>
          <w:kern w:val="0"/>
          <w:szCs w:val="20"/>
          <w:lang/>
        </w:rPr>
        <w:t>预案；</w:t>
      </w:r>
    </w:p>
    <w:p>
      <w:pPr>
        <w:ind w:left="420" w:leftChars="200"/>
        <w:rPr>
          <w:rFonts w:ascii="宋体" w:hAnsi="宋体"/>
          <w:kern w:val="0"/>
          <w:szCs w:val="20"/>
          <w:lang/>
        </w:rPr>
      </w:pPr>
      <w:r>
        <w:rPr>
          <w:rFonts w:hint="eastAsia" w:ascii="宋体" w:hAnsi="宋体"/>
          <w:kern w:val="0"/>
          <w:szCs w:val="20"/>
          <w:lang/>
        </w:rPr>
        <w:t>——第14部分：</w:t>
      </w:r>
      <w:r>
        <w:rPr>
          <w:rFonts w:ascii="宋体" w:hAnsi="宋体"/>
          <w:kern w:val="0"/>
          <w:szCs w:val="20"/>
          <w:lang/>
        </w:rPr>
        <w:t>灾害分析</w:t>
      </w:r>
      <w:r>
        <w:rPr>
          <w:rFonts w:hint="eastAsia" w:ascii="宋体" w:hAnsi="宋体"/>
          <w:kern w:val="0"/>
          <w:szCs w:val="20"/>
          <w:lang/>
        </w:rPr>
        <w:t>；</w:t>
      </w:r>
    </w:p>
    <w:p>
      <w:pPr>
        <w:ind w:left="420" w:leftChars="200"/>
        <w:rPr>
          <w:rFonts w:ascii="宋体" w:hAnsi="宋体"/>
          <w:kern w:val="0"/>
          <w:szCs w:val="20"/>
          <w:lang/>
        </w:rPr>
      </w:pPr>
      <w:r>
        <w:rPr>
          <w:rFonts w:hint="eastAsia" w:ascii="宋体" w:hAnsi="宋体"/>
          <w:kern w:val="0"/>
          <w:szCs w:val="20"/>
          <w:lang/>
        </w:rPr>
        <w:t>——第15部分：</w:t>
      </w:r>
      <w:r>
        <w:rPr>
          <w:rFonts w:ascii="宋体" w:hAnsi="宋体"/>
          <w:kern w:val="0"/>
          <w:szCs w:val="20"/>
          <w:lang/>
        </w:rPr>
        <w:t>组织机构和行政管理</w:t>
      </w:r>
      <w:r>
        <w:rPr>
          <w:rFonts w:hint="eastAsia" w:ascii="宋体" w:hAnsi="宋体"/>
          <w:kern w:val="0"/>
          <w:szCs w:val="20"/>
          <w:lang/>
        </w:rPr>
        <w:t>。</w:t>
      </w:r>
    </w:p>
    <w:p>
      <w:pPr>
        <w:ind w:left="420" w:leftChars="200"/>
        <w:rPr>
          <w:rFonts w:hint="eastAsia" w:ascii="宋体" w:hAnsi="宋体"/>
          <w:kern w:val="0"/>
          <w:szCs w:val="20"/>
          <w:lang/>
        </w:rPr>
      </w:pPr>
      <w:r>
        <w:rPr>
          <w:rFonts w:hint="eastAsia" w:ascii="宋体" w:hAnsi="宋体"/>
          <w:kern w:val="0"/>
          <w:szCs w:val="20"/>
          <w:lang/>
        </w:rPr>
        <w:t>本部分为《核电厂定期安全评价》系列标准的第1部分</w:t>
      </w:r>
      <w:r>
        <w:rPr>
          <w:rFonts w:ascii="宋体" w:hAnsi="宋体"/>
          <w:kern w:val="0"/>
          <w:szCs w:val="20"/>
          <w:lang/>
        </w:rPr>
        <w:t>。</w:t>
      </w:r>
    </w:p>
    <w:p>
      <w:pPr>
        <w:pStyle w:val="27"/>
      </w:pPr>
      <w:r>
        <w:rPr>
          <w:rFonts w:hint="eastAsia"/>
        </w:rPr>
        <w:t>本部分按照GB/T 1.1—20</w:t>
      </w:r>
      <w:r>
        <w:t>20</w:t>
      </w:r>
      <w:r>
        <w:rPr>
          <w:rFonts w:hint="eastAsia"/>
        </w:rPr>
        <w:t>给出的规则起草。</w:t>
      </w:r>
    </w:p>
    <w:p>
      <w:pPr>
        <w:pStyle w:val="27"/>
      </w:pPr>
      <w:r>
        <w:rPr>
          <w:rFonts w:hint="eastAsia"/>
        </w:rPr>
        <w:t>本部分由能源行业核电标准化技术委员会提出。</w:t>
      </w:r>
    </w:p>
    <w:p>
      <w:pPr>
        <w:pStyle w:val="27"/>
      </w:pPr>
      <w:r>
        <w:rPr>
          <w:rFonts w:hint="eastAsia"/>
        </w:rPr>
        <w:t>本部分由中国核电发展中心归口。</w:t>
      </w:r>
    </w:p>
    <w:p>
      <w:pPr>
        <w:pStyle w:val="50"/>
        <w:ind w:firstLine="420" w:firstLineChars="200"/>
        <w:rPr>
          <w:rFonts w:hAnsi="宋体"/>
          <w:lang/>
        </w:rPr>
      </w:pPr>
      <w:r>
        <w:rPr>
          <w:rFonts w:hint="eastAsia" w:hAnsi="宋体"/>
          <w:lang/>
        </w:rPr>
        <w:t>本部分起草单位：大亚湾核电运营管理有限责任公司、苏州热工研究院有限公司、生态环境部核与辐射安全中心</w:t>
      </w:r>
    </w:p>
    <w:p>
      <w:pPr>
        <w:pStyle w:val="50"/>
        <w:ind w:firstLine="420" w:firstLineChars="200"/>
        <w:rPr>
          <w:rFonts w:hAnsi="宋体"/>
          <w:lang/>
        </w:rPr>
      </w:pPr>
      <w:r>
        <w:rPr>
          <w:rFonts w:hint="eastAsia" w:hAnsi="宋体"/>
          <w:lang/>
        </w:rPr>
        <w:t>本部分起草人：</w:t>
      </w:r>
      <w:r>
        <w:rPr>
          <w:rFonts w:ascii="黑体"/>
          <w:lang/>
        </w:rPr>
        <w:t>XX</w:t>
      </w:r>
    </w:p>
    <w:p>
      <w:pPr>
        <w:pStyle w:val="27"/>
        <w:rPr>
          <w:rFonts w:hint="eastAsia"/>
        </w:rPr>
      </w:pPr>
    </w:p>
    <w:p>
      <w:pPr>
        <w:pStyle w:val="114"/>
        <w:rPr>
          <w:rFonts w:hint="eastAsia"/>
        </w:rPr>
      </w:pPr>
      <w:bookmarkStart w:id="37" w:name="_Toc129250159"/>
      <w:bookmarkStart w:id="38" w:name="_Toc487723840"/>
      <w:bookmarkStart w:id="39" w:name="_Toc487701823"/>
      <w:bookmarkStart w:id="40" w:name="_Toc487701462"/>
      <w:bookmarkStart w:id="41" w:name="_Toc472515375"/>
      <w:bookmarkStart w:id="42" w:name="_Toc417044060"/>
      <w:bookmarkStart w:id="43" w:name="_Toc416873721"/>
      <w:bookmarkStart w:id="44" w:name="_Toc394497735"/>
      <w:bookmarkStart w:id="45" w:name="_Toc394496454"/>
      <w:bookmarkStart w:id="46" w:name="_Toc394325449"/>
      <w:bookmarkStart w:id="47" w:name="_Toc394325213"/>
      <w:bookmarkStart w:id="48" w:name="_Toc394324688"/>
      <w:bookmarkStart w:id="49" w:name="_Toc394324512"/>
      <w:bookmarkStart w:id="50" w:name="_Toc393566605"/>
      <w:bookmarkStart w:id="51" w:name="_Toc393566444"/>
      <w:r>
        <w:rPr>
          <w:rFonts w:hint="eastAsia"/>
        </w:rPr>
        <w:t>引</w:t>
      </w:r>
      <w:bookmarkStart w:id="52" w:name="BKYY"/>
      <w:r>
        <w:rPr>
          <w:rFonts w:hint="eastAsia" w:ascii="MS Mincho" w:hAnsi="MS Mincho" w:eastAsia="MS Mincho" w:cs="MS Mincho"/>
        </w:rPr>
        <w:t> </w:t>
      </w:r>
      <w:r>
        <w:rPr>
          <w:rFonts w:hint="eastAsia" w:ascii="MS Mincho" w:hAnsi="MS Mincho" w:eastAsia="MS Mincho" w:cs="MS Mincho"/>
        </w:rPr>
        <w:t> </w:t>
      </w:r>
      <w:r>
        <w:rPr>
          <w:rFonts w:hint="eastAsia"/>
        </w:rPr>
        <w:t>言</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pPr>
        <w:pStyle w:val="27"/>
      </w:pPr>
      <w:r>
        <w:rPr>
          <w:rFonts w:hint="eastAsia"/>
        </w:rPr>
        <w:t>核电厂运行的安全评价有常规安全评价和专项安全评价，它们是安全验证的主要手段。常规安全评价包括对核电厂硬件和程序的修改、安全重要事件、运行经验、核电厂运行管理、人员资格等的评价。专项安全评价是在核电厂发生安全上的重大事件之后进行的评价。一般来说，常规安全评价和专项安全评价不是综合性的，不一定总是考虑安全标准和运行实践的改进、核电厂老化和修改的积累效应、运行经验反馈以及科学技术的发展。为了全面掌握核电厂的实际安全情况，确定应该进行的合理可行的修改，使核电厂保持高的安全性，定期安全评价是一种有效的方法。</w:t>
      </w:r>
    </w:p>
    <w:p>
      <w:pPr>
        <w:pStyle w:val="27"/>
      </w:pPr>
      <w:r>
        <w:rPr>
          <w:rFonts w:hint="eastAsia"/>
        </w:rPr>
        <w:t>定期安全评价以规定的时间间隔对运行核电厂的安全性进行系统性的再评价，以应对老化、修改、运行经验、技术更新和厂址方面的积累效应，目的是确保核电厂在整个使用寿期内具有高的安全水平。定期安全评价是对常规安全评价和专项安全评价的补充。</w:t>
      </w:r>
    </w:p>
    <w:p>
      <w:pPr>
        <w:pStyle w:val="27"/>
      </w:pPr>
      <w:r>
        <w:rPr>
          <w:rFonts w:hint="eastAsia"/>
        </w:rPr>
        <w:t>我国核安全监管部门在2004年发布的《核动力厂运行安全规定》（HAF</w:t>
      </w:r>
      <w:r>
        <w:t xml:space="preserve"> 103</w:t>
      </w:r>
      <w:r>
        <w:rPr>
          <w:rFonts w:hint="eastAsia"/>
        </w:rPr>
        <w:t>）中明确规定，营运单位在核动力厂整个运行寿期内应当开展定期安全评价。2022年发布的《核动力厂调试和运行安全规定》（HAF</w:t>
      </w:r>
      <w:r>
        <w:t xml:space="preserve"> </w:t>
      </w:r>
      <w:r>
        <w:rPr>
          <w:rFonts w:hint="eastAsia"/>
        </w:rPr>
        <w:t>103/2022）再次明确“在运行许可证有效期内，营运单位应当采用定期安全评价的方式对核动力厂进行系统的安全评价”。同时《核动力厂定期安全审查》（HAD</w:t>
      </w:r>
      <w:r>
        <w:t xml:space="preserve"> </w:t>
      </w:r>
      <w:r>
        <w:rPr>
          <w:rFonts w:hint="eastAsia"/>
        </w:rPr>
        <w:t>103/11）也要求运行核电厂开展14个要素的定期安全评价工作。</w:t>
      </w:r>
    </w:p>
    <w:p>
      <w:pPr>
        <w:pStyle w:val="27"/>
        <w:rPr>
          <w:rFonts w:hAnsi="宋体"/>
        </w:rPr>
      </w:pPr>
      <w:r>
        <w:rPr>
          <w:rFonts w:hint="eastAsia"/>
        </w:rPr>
        <w:t>HAF103和HAD103/11虽提出了核电厂定期安全评价工作的总体要求、目的、管理流程和评价要点，但并未对如何具体开展各个要素的评价工作给出具体规定。为此，需要在HAF103和HAD103/11已有规定的基础上，制定系列标准《核电厂定期安全评价》，用以指导14个安全要素定期安全评价工作的具体实施。《核电厂定期安全评价》由15个部分组成，除通用要求外，每一部分对应于HAD103/11规定的一个安全要素，分别给出了每一要素评价的实施指南。</w:t>
      </w:r>
    </w:p>
    <w:p>
      <w:pPr>
        <w:pStyle w:val="27"/>
      </w:pPr>
      <w:r>
        <w:rPr>
          <w:rFonts w:hint="eastAsia" w:hAnsi="宋体"/>
        </w:rPr>
        <w:t>《核电厂定期安全评价 第1部分：通用要求》为上述15项标准之一，</w:t>
      </w:r>
      <w:r>
        <w:rPr>
          <w:rFonts w:hint="eastAsia"/>
        </w:rPr>
        <w:t>可为</w:t>
      </w:r>
      <w:r>
        <w:rPr>
          <w:rFonts w:hint="eastAsia" w:hAnsi="宋体"/>
          <w:szCs w:val="21"/>
        </w:rPr>
        <w:t>核电厂定期安全评价</w:t>
      </w:r>
      <w:r>
        <w:rPr>
          <w:rFonts w:hint="eastAsia"/>
        </w:rPr>
        <w:t>策划与准备、评价执行等各阶段的工作提供指导。</w:t>
      </w:r>
    </w:p>
    <w:p>
      <w:pPr>
        <w:pStyle w:val="27"/>
        <w:rPr>
          <w:rFonts w:hint="eastAsia"/>
        </w:rPr>
      </w:pPr>
    </w:p>
    <w:p>
      <w:pPr>
        <w:pStyle w:val="27"/>
        <w:sectPr>
          <w:headerReference r:id="rId5" w:type="default"/>
          <w:footerReference r:id="rId6" w:type="default"/>
          <w:pgSz w:w="11906" w:h="16838"/>
          <w:pgMar w:top="567" w:right="1134" w:bottom="1134" w:left="1418" w:header="1418" w:footer="1134" w:gutter="0"/>
          <w:pgNumType w:fmt="upperRoman" w:start="1"/>
          <w:cols w:space="425" w:num="1"/>
          <w:formProt w:val="0"/>
          <w:docGrid w:type="lines" w:linePitch="312" w:charSpace="0"/>
        </w:sectPr>
      </w:pPr>
    </w:p>
    <w:p>
      <w:pPr>
        <w:pStyle w:val="52"/>
        <w:rPr>
          <w:rFonts w:hint="eastAsia"/>
        </w:rPr>
      </w:pPr>
      <w:r>
        <w:rPr>
          <w:rFonts w:hint="eastAsia"/>
        </w:rPr>
        <w:t>核</w:t>
      </w:r>
      <w:bookmarkStart w:id="53" w:name="StandardName"/>
      <w:r>
        <w:rPr>
          <w:rFonts w:hint="eastAsia"/>
        </w:rPr>
        <w:t>电厂定期安全评价</w:t>
      </w:r>
      <w:bookmarkEnd w:id="53"/>
      <w:r>
        <w:rPr>
          <w:rFonts w:hint="eastAsia"/>
        </w:rPr>
        <w:t xml:space="preserve"> 第1部分：通用要求</w:t>
      </w:r>
    </w:p>
    <w:p>
      <w:pPr>
        <w:pStyle w:val="47"/>
        <w:spacing w:before="0" w:beforeLines="0" w:after="0" w:afterLines="0"/>
        <w:ind w:left="0"/>
        <w:rPr>
          <w:rFonts w:hint="eastAsia"/>
        </w:rPr>
      </w:pPr>
      <w:bookmarkStart w:id="54" w:name="_Toc129250160"/>
      <w:bookmarkStart w:id="55" w:name="_Toc487723841"/>
      <w:bookmarkStart w:id="56" w:name="_Toc487701824"/>
      <w:bookmarkStart w:id="57" w:name="_Toc487701463"/>
      <w:bookmarkStart w:id="58" w:name="_Toc472515376"/>
      <w:bookmarkStart w:id="59" w:name="_Toc417044061"/>
      <w:bookmarkStart w:id="60" w:name="_Toc416873722"/>
      <w:bookmarkStart w:id="61" w:name="_Toc394497736"/>
      <w:bookmarkStart w:id="62" w:name="_Toc394496455"/>
      <w:bookmarkStart w:id="63" w:name="_Toc394325450"/>
      <w:bookmarkStart w:id="64" w:name="_Toc394325214"/>
      <w:bookmarkStart w:id="65" w:name="_Toc394324689"/>
      <w:bookmarkStart w:id="66" w:name="_Toc394324513"/>
      <w:bookmarkStart w:id="67" w:name="_Toc393566606"/>
      <w:bookmarkStart w:id="68" w:name="_Toc393566445"/>
      <w:bookmarkStart w:id="69" w:name="_Toc393564584"/>
      <w:r>
        <w:rPr>
          <w:rFonts w:hint="eastAsia"/>
        </w:rPr>
        <w:t>范围</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pStyle w:val="27"/>
        <w:rPr>
          <w:rFonts w:hint="eastAsia" w:hAnsi="宋体"/>
          <w:szCs w:val="21"/>
        </w:rPr>
      </w:pPr>
      <w:r>
        <w:rPr>
          <w:rFonts w:hint="eastAsia" w:hAnsi="宋体"/>
          <w:szCs w:val="21"/>
        </w:rPr>
        <w:t>本部分规定了核</w:t>
      </w:r>
      <w:r>
        <w:rPr>
          <w:rFonts w:hint="eastAsia"/>
        </w:rPr>
        <w:t>电厂</w:t>
      </w:r>
      <w:r>
        <w:rPr>
          <w:rFonts w:hint="eastAsia" w:hAnsi="宋体"/>
          <w:szCs w:val="21"/>
        </w:rPr>
        <w:t>定期安全评价的</w:t>
      </w:r>
      <w:r>
        <w:rPr>
          <w:rFonts w:hint="eastAsia"/>
        </w:rPr>
        <w:t>策划准备、评价执行等各阶段的工作内容和方法</w:t>
      </w:r>
      <w:r>
        <w:rPr>
          <w:rFonts w:hint="eastAsia" w:hAnsi="宋体"/>
          <w:szCs w:val="21"/>
        </w:rPr>
        <w:t>。</w:t>
      </w:r>
    </w:p>
    <w:p>
      <w:pPr>
        <w:pStyle w:val="27"/>
      </w:pPr>
      <w:r>
        <w:rPr>
          <w:rFonts w:hint="eastAsia" w:hAnsi="宋体"/>
          <w:szCs w:val="21"/>
        </w:rPr>
        <w:t>本部分适用于核电厂的定期安全评价</w:t>
      </w:r>
      <w:r>
        <w:rPr>
          <w:rFonts w:hint="eastAsia"/>
        </w:rPr>
        <w:t>。本部分规定的内容以压水堆核电厂为例，其他堆型核电厂可参照使用。</w:t>
      </w:r>
      <w:r>
        <w:t xml:space="preserve"> </w:t>
      </w:r>
    </w:p>
    <w:p>
      <w:pPr>
        <w:pStyle w:val="47"/>
        <w:spacing w:before="0" w:beforeLines="0" w:after="0" w:afterLines="0"/>
        <w:ind w:left="0"/>
        <w:rPr>
          <w:rFonts w:hint="eastAsia"/>
        </w:rPr>
      </w:pPr>
      <w:bookmarkStart w:id="70" w:name="_Toc129250161"/>
      <w:bookmarkStart w:id="71" w:name="_Toc487723842"/>
      <w:bookmarkStart w:id="72" w:name="_Toc487701825"/>
      <w:bookmarkStart w:id="73" w:name="_Toc487701464"/>
      <w:bookmarkStart w:id="74" w:name="_Toc472515377"/>
      <w:bookmarkStart w:id="75" w:name="_Toc417044062"/>
      <w:bookmarkStart w:id="76" w:name="_Toc416873723"/>
      <w:bookmarkStart w:id="77" w:name="_Toc394497737"/>
      <w:bookmarkStart w:id="78" w:name="_Toc394496456"/>
      <w:bookmarkStart w:id="79" w:name="_Toc394325451"/>
      <w:bookmarkStart w:id="80" w:name="_Toc394325215"/>
      <w:bookmarkStart w:id="81" w:name="_Toc394324690"/>
      <w:bookmarkStart w:id="82" w:name="_Toc394324514"/>
      <w:bookmarkStart w:id="83" w:name="_Toc393566607"/>
      <w:bookmarkStart w:id="84" w:name="_Toc393566446"/>
      <w:bookmarkStart w:id="85" w:name="_Toc393564585"/>
      <w:r>
        <w:rPr>
          <w:rFonts w:hint="eastAsia"/>
        </w:rPr>
        <w:t>规范性引用文件</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pPr>
        <w:pStyle w:val="146"/>
        <w:ind w:firstLine="420"/>
      </w:pPr>
      <w:bookmarkStart w:id="86" w:name="_Toc393564586"/>
      <w:bookmarkEnd w:id="86"/>
      <w:bookmarkStart w:id="87" w:name="_Toc487723843"/>
      <w:bookmarkStart w:id="88" w:name="_Toc487701826"/>
      <w:bookmarkStart w:id="89" w:name="_Toc487701465"/>
      <w:bookmarkStart w:id="90" w:name="_Toc472515378"/>
      <w:bookmarkStart w:id="91" w:name="_Toc417044063"/>
      <w:bookmarkStart w:id="92" w:name="_Toc416873724"/>
      <w:bookmarkStart w:id="93" w:name="_Toc394497738"/>
      <w:bookmarkStart w:id="94" w:name="_Toc394496457"/>
      <w:bookmarkStart w:id="95" w:name="_Toc394325452"/>
      <w:bookmarkStart w:id="96" w:name="_Toc394325216"/>
      <w:bookmarkStart w:id="97" w:name="_Toc394324691"/>
      <w:bookmarkStart w:id="98" w:name="_Toc394324515"/>
      <w:bookmarkStart w:id="99" w:name="_Toc393566608"/>
      <w:bookmarkStart w:id="100" w:name="_Toc393566447"/>
      <w:r>
        <w:rPr>
          <w:rFonts w:hint="eastAsia"/>
        </w:rPr>
        <w:t>本文件没有规范性引用文件。</w:t>
      </w:r>
    </w:p>
    <w:p>
      <w:pPr>
        <w:pStyle w:val="47"/>
        <w:spacing w:before="0" w:beforeLines="0" w:after="0" w:afterLines="0"/>
        <w:ind w:left="0"/>
        <w:rPr>
          <w:rFonts w:hint="eastAsia"/>
        </w:rPr>
      </w:pPr>
      <w:bookmarkStart w:id="101" w:name="_Toc129250162"/>
      <w:r>
        <w:rPr>
          <w:rFonts w:hint="eastAsia"/>
        </w:rPr>
        <w:t>术语和定义</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pStyle w:val="27"/>
      </w:pPr>
      <w:r>
        <w:rPr>
          <w:rFonts w:hint="eastAsia"/>
        </w:rPr>
        <w:t>下列术语和定义适用于本标准。</w:t>
      </w:r>
    </w:p>
    <w:p>
      <w:pPr>
        <w:pStyle w:val="44"/>
        <w:spacing w:before="0" w:beforeLines="0" w:after="0" w:afterLines="0"/>
        <w:rPr>
          <w:rFonts w:hint="eastAsia"/>
        </w:rPr>
      </w:pPr>
      <w:bookmarkStart w:id="102" w:name="_Toc393566609"/>
      <w:bookmarkEnd w:id="102"/>
      <w:bookmarkStart w:id="103" w:name="_Toc393566448"/>
      <w:bookmarkEnd w:id="103"/>
    </w:p>
    <w:p>
      <w:pPr>
        <w:spacing w:line="360" w:lineRule="auto"/>
        <w:rPr>
          <w:rFonts w:hint="eastAsia"/>
          <w:b/>
        </w:rPr>
      </w:pPr>
      <w:r>
        <w:rPr>
          <w:rFonts w:hint="eastAsia"/>
        </w:rPr>
        <w:tab/>
      </w:r>
      <w:r>
        <w:rPr>
          <w:rFonts w:hint="eastAsia" w:ascii="黑体" w:hAnsi="黑体" w:eastAsia="黑体" w:cs="黑体"/>
        </w:rPr>
        <w:t xml:space="preserve">定期安全评价 </w:t>
      </w:r>
      <w:r>
        <w:rPr>
          <w:rFonts w:ascii="黑体" w:hAnsi="黑体" w:eastAsia="黑体" w:cs="黑体"/>
        </w:rPr>
        <w:t>periodic safety review</w:t>
      </w:r>
    </w:p>
    <w:p>
      <w:pPr>
        <w:pStyle w:val="27"/>
        <w:rPr>
          <w:rFonts w:hint="eastAsia"/>
        </w:rPr>
      </w:pPr>
      <w:r>
        <w:rPr>
          <w:rFonts w:hint="eastAsia"/>
        </w:rPr>
        <w:t>以规定的时间间隔对运行核电厂的安全性进行的系统性的再评价，以应对老化、修改、运行经验、技术更新和厂址方面的积累效应，目的是确保核电厂在整个运行寿期内具有高的安全水平。</w:t>
      </w:r>
    </w:p>
    <w:p>
      <w:pPr>
        <w:pStyle w:val="44"/>
        <w:spacing w:before="0" w:beforeLines="0" w:after="0" w:afterLines="0"/>
        <w:rPr>
          <w:rFonts w:hint="eastAsia"/>
        </w:rPr>
      </w:pPr>
    </w:p>
    <w:p>
      <w:pPr>
        <w:spacing w:line="360" w:lineRule="auto"/>
        <w:ind w:firstLine="420" w:firstLineChars="200"/>
        <w:rPr>
          <w:rFonts w:hint="eastAsia" w:ascii="黑体" w:hAnsi="黑体" w:eastAsia="黑体" w:cs="黑体"/>
        </w:rPr>
      </w:pPr>
      <w:r>
        <w:rPr>
          <w:rFonts w:hint="eastAsia" w:ascii="黑体" w:hAnsi="黑体" w:eastAsia="黑体" w:cs="黑体"/>
        </w:rPr>
        <w:t xml:space="preserve">总体评价 </w:t>
      </w:r>
      <w:r>
        <w:rPr>
          <w:rFonts w:ascii="黑体" w:hAnsi="黑体" w:eastAsia="黑体" w:cs="黑体"/>
        </w:rPr>
        <w:t>global assessment</w:t>
      </w:r>
    </w:p>
    <w:p>
      <w:pPr>
        <w:pStyle w:val="27"/>
        <w:rPr>
          <w:rFonts w:hAnsi="宋体"/>
          <w:szCs w:val="21"/>
        </w:rPr>
      </w:pPr>
      <w:r>
        <w:rPr>
          <w:rFonts w:hint="eastAsia" w:hAnsi="宋体"/>
          <w:szCs w:val="21"/>
        </w:rPr>
        <w:t>对在定期安全评价的全部安全要素评价中发现的所有未解决的弱项、纠正行动和安全改进以及核电厂的强项进行平衡考虑之后对核电厂安全作出的综合评价。</w:t>
      </w:r>
    </w:p>
    <w:p>
      <w:pPr>
        <w:pStyle w:val="44"/>
        <w:spacing w:before="0" w:beforeLines="0" w:after="0" w:afterLines="0"/>
      </w:pPr>
    </w:p>
    <w:p>
      <w:pPr>
        <w:spacing w:line="360" w:lineRule="auto"/>
        <w:ind w:firstLine="420" w:firstLineChars="200"/>
        <w:rPr>
          <w:rFonts w:hint="eastAsia" w:ascii="黑体" w:hAnsi="黑体" w:eastAsia="黑体" w:cs="黑体"/>
        </w:rPr>
      </w:pPr>
      <w:r>
        <w:rPr>
          <w:rFonts w:hint="eastAsia" w:ascii="黑体" w:hAnsi="黑体" w:eastAsia="黑体" w:cs="黑体"/>
        </w:rPr>
        <w:t>差异项 difference</w:t>
      </w:r>
    </w:p>
    <w:p>
      <w:pPr>
        <w:pStyle w:val="161"/>
        <w:spacing w:before="0" w:after="0" w:line="240" w:lineRule="auto"/>
        <w:ind w:left="0" w:leftChars="0" w:right="174" w:rightChars="83" w:firstLine="420" w:firstLineChars="200"/>
        <w:rPr>
          <w:rFonts w:hint="eastAsia" w:ascii="宋体" w:hAnsi="宋体"/>
          <w:kern w:val="0"/>
          <w:sz w:val="21"/>
          <w:szCs w:val="21"/>
          <w:lang w:val="en-US" w:eastAsia="zh-CN"/>
        </w:rPr>
      </w:pPr>
      <w:r>
        <w:rPr>
          <w:rFonts w:hint="eastAsia" w:ascii="宋体" w:hAnsi="宋体"/>
          <w:kern w:val="0"/>
          <w:sz w:val="21"/>
          <w:szCs w:val="21"/>
          <w:lang w:val="en-US" w:eastAsia="zh-CN"/>
        </w:rPr>
        <w:t>电厂现状与安全基准、现行安全标准或实践之间存在的不一致，包含强项和弱项。</w:t>
      </w:r>
      <w:r>
        <w:rPr>
          <w:rFonts w:ascii="宋体" w:hAnsi="宋体"/>
          <w:kern w:val="0"/>
          <w:sz w:val="21"/>
          <w:szCs w:val="21"/>
          <w:lang w:val="en-US" w:eastAsia="zh-CN"/>
        </w:rPr>
        <w:t>强项是指高于现行安全标准或实践的差异项</w:t>
      </w:r>
      <w:r>
        <w:rPr>
          <w:rFonts w:hint="eastAsia" w:ascii="宋体" w:hAnsi="宋体"/>
          <w:kern w:val="0"/>
          <w:sz w:val="21"/>
          <w:szCs w:val="21"/>
          <w:lang w:val="en-US" w:eastAsia="zh-CN"/>
        </w:rPr>
        <w:t>；弱包括低于</w:t>
      </w:r>
      <w:r>
        <w:rPr>
          <w:rFonts w:ascii="宋体" w:hAnsi="宋体"/>
          <w:kern w:val="0"/>
          <w:sz w:val="21"/>
          <w:szCs w:val="21"/>
          <w:lang w:val="en-US" w:eastAsia="zh-CN"/>
        </w:rPr>
        <w:t>安全基准</w:t>
      </w:r>
      <w:r>
        <w:rPr>
          <w:rFonts w:hint="eastAsia" w:ascii="宋体" w:hAnsi="宋体"/>
          <w:kern w:val="0"/>
          <w:sz w:val="21"/>
          <w:szCs w:val="21"/>
          <w:lang w:val="en-US" w:eastAsia="zh-CN"/>
        </w:rPr>
        <w:t>的差异项和满足安全基准但低于现行安全标准或实践的差异项。</w:t>
      </w:r>
    </w:p>
    <w:p>
      <w:pPr>
        <w:pStyle w:val="47"/>
        <w:spacing w:before="0" w:beforeLines="0" w:after="0" w:afterLines="0"/>
        <w:ind w:left="0"/>
      </w:pPr>
      <w:bookmarkStart w:id="104" w:name="_Toc129250163"/>
      <w:bookmarkStart w:id="105" w:name="_Toc487723844"/>
      <w:bookmarkStart w:id="106" w:name="_Toc487701827"/>
      <w:bookmarkStart w:id="107" w:name="_Toc487701466"/>
      <w:bookmarkStart w:id="108" w:name="_Toc472515379"/>
      <w:bookmarkStart w:id="109" w:name="_Toc417044066"/>
      <w:r>
        <w:rPr>
          <w:rFonts w:hint="eastAsia"/>
        </w:rPr>
        <w:t>缩略语</w:t>
      </w:r>
      <w:bookmarkEnd w:id="104"/>
    </w:p>
    <w:p>
      <w:pPr>
        <w:pStyle w:val="27"/>
        <w:rPr>
          <w:rFonts w:hAnsi="宋体"/>
          <w:szCs w:val="21"/>
        </w:rPr>
      </w:pPr>
      <w:r>
        <w:rPr>
          <w:rFonts w:hint="eastAsia" w:hAnsi="宋体"/>
          <w:szCs w:val="21"/>
        </w:rPr>
        <w:t>本文件采用下列缩略语。</w:t>
      </w:r>
    </w:p>
    <w:p>
      <w:pPr>
        <w:pStyle w:val="27"/>
        <w:rPr>
          <w:rFonts w:hAnsi="宋体"/>
          <w:szCs w:val="21"/>
        </w:rPr>
      </w:pPr>
      <w:r>
        <w:rPr>
          <w:rFonts w:hint="eastAsia" w:hAnsi="宋体"/>
          <w:szCs w:val="21"/>
        </w:rPr>
        <w:t>PSR 定期安全评价</w:t>
      </w:r>
    </w:p>
    <w:p>
      <w:pPr>
        <w:pStyle w:val="27"/>
        <w:rPr>
          <w:rFonts w:hAnsi="宋体"/>
          <w:szCs w:val="21"/>
        </w:rPr>
      </w:pPr>
      <w:r>
        <w:rPr>
          <w:rFonts w:hint="eastAsia" w:hAnsi="宋体"/>
          <w:szCs w:val="21"/>
        </w:rPr>
        <w:t>SF</w:t>
      </w:r>
      <w:r>
        <w:rPr>
          <w:rFonts w:hAnsi="宋体"/>
          <w:szCs w:val="21"/>
        </w:rPr>
        <w:t xml:space="preserve"> </w:t>
      </w:r>
      <w:r>
        <w:rPr>
          <w:rFonts w:hint="eastAsia" w:hAnsi="宋体"/>
          <w:szCs w:val="21"/>
        </w:rPr>
        <w:t>安全要素</w:t>
      </w:r>
    </w:p>
    <w:p>
      <w:pPr>
        <w:pStyle w:val="27"/>
        <w:rPr>
          <w:rFonts w:hAnsi="宋体"/>
          <w:szCs w:val="21"/>
        </w:rPr>
      </w:pPr>
      <w:r>
        <w:rPr>
          <w:rFonts w:hint="eastAsia" w:hAnsi="宋体"/>
          <w:szCs w:val="21"/>
        </w:rPr>
        <w:t>PSA</w:t>
      </w:r>
      <w:r>
        <w:rPr>
          <w:rFonts w:hAnsi="宋体"/>
          <w:szCs w:val="21"/>
        </w:rPr>
        <w:t xml:space="preserve"> </w:t>
      </w:r>
      <w:r>
        <w:rPr>
          <w:rFonts w:hint="eastAsia" w:hAnsi="宋体"/>
          <w:szCs w:val="21"/>
        </w:rPr>
        <w:t>概率安全分析</w:t>
      </w:r>
    </w:p>
    <w:p>
      <w:pPr>
        <w:pStyle w:val="27"/>
        <w:rPr>
          <w:rFonts w:hint="eastAsia" w:hAnsi="宋体"/>
          <w:szCs w:val="21"/>
        </w:rPr>
      </w:pPr>
      <w:r>
        <w:rPr>
          <w:rFonts w:hint="eastAsia" w:hAnsi="宋体"/>
          <w:szCs w:val="21"/>
        </w:rPr>
        <w:t>SSCs</w:t>
      </w:r>
      <w:r>
        <w:rPr>
          <w:rFonts w:hAnsi="宋体"/>
          <w:szCs w:val="21"/>
        </w:rPr>
        <w:t xml:space="preserve"> </w:t>
      </w:r>
      <w:r>
        <w:rPr>
          <w:rFonts w:hint="eastAsia" w:hAnsi="宋体"/>
          <w:szCs w:val="21"/>
        </w:rPr>
        <w:t>构筑物、系统和部件</w:t>
      </w:r>
    </w:p>
    <w:bookmarkEnd w:id="105"/>
    <w:bookmarkEnd w:id="106"/>
    <w:bookmarkEnd w:id="107"/>
    <w:bookmarkEnd w:id="108"/>
    <w:bookmarkEnd w:id="109"/>
    <w:p>
      <w:pPr>
        <w:pStyle w:val="47"/>
        <w:spacing w:before="0" w:beforeLines="0" w:after="0" w:afterLines="0"/>
        <w:ind w:left="0"/>
        <w:rPr>
          <w:rFonts w:hint="eastAsia"/>
        </w:rPr>
      </w:pPr>
      <w:bookmarkStart w:id="110" w:name="_Toc129250164"/>
      <w:r>
        <w:rPr>
          <w:rFonts w:hint="eastAsia"/>
        </w:rPr>
        <w:t>定期安全评价的策划和准备</w:t>
      </w:r>
      <w:bookmarkEnd w:id="110"/>
    </w:p>
    <w:p>
      <w:pPr>
        <w:pStyle w:val="44"/>
        <w:spacing w:before="0" w:beforeLines="0" w:after="0" w:afterLines="0"/>
        <w:rPr>
          <w:rFonts w:hint="eastAsia"/>
        </w:rPr>
      </w:pPr>
      <w:r>
        <w:rPr>
          <w:rFonts w:hint="eastAsia"/>
        </w:rPr>
        <w:t>确定评价范围和内容</w:t>
      </w:r>
    </w:p>
    <w:p>
      <w:pPr>
        <w:pStyle w:val="27"/>
        <w:ind w:firstLine="0" w:firstLineChars="0"/>
        <w:rPr>
          <w:rFonts w:hAnsi="宋体"/>
          <w:szCs w:val="21"/>
        </w:rPr>
      </w:pPr>
      <w:r>
        <w:rPr>
          <w:rFonts w:hint="eastAsia"/>
        </w:rPr>
        <w:t>5.</w:t>
      </w:r>
      <w:r>
        <w:t>1</w:t>
      </w:r>
      <w:r>
        <w:rPr>
          <w:rFonts w:hint="eastAsia"/>
        </w:rPr>
        <w:t>.</w:t>
      </w:r>
      <w:r>
        <w:t xml:space="preserve">1 </w:t>
      </w:r>
      <w:r>
        <w:rPr>
          <w:rFonts w:hint="eastAsia" w:hAnsi="宋体"/>
          <w:szCs w:val="21"/>
        </w:rPr>
        <w:t>一般而言，核电厂定期安全评价的范围应包括以下14个安全要素：</w:t>
      </w:r>
    </w:p>
    <w:p>
      <w:pPr>
        <w:pStyle w:val="61"/>
        <w:numPr>
          <w:ilvl w:val="0"/>
          <w:numId w:val="18"/>
        </w:numPr>
      </w:pPr>
      <w:r>
        <w:rPr>
          <w:rFonts w:hint="eastAsia"/>
        </w:rPr>
        <w:t>核电厂设计（SF1）</w:t>
      </w:r>
    </w:p>
    <w:p>
      <w:pPr>
        <w:pStyle w:val="61"/>
        <w:numPr>
          <w:ilvl w:val="0"/>
          <w:numId w:val="18"/>
        </w:numPr>
      </w:pPr>
      <w:r>
        <w:rPr>
          <w:rFonts w:hint="eastAsia"/>
        </w:rPr>
        <w:t>构筑物、系统和部件的实际状态（SF2）</w:t>
      </w:r>
    </w:p>
    <w:p>
      <w:pPr>
        <w:pStyle w:val="61"/>
        <w:numPr>
          <w:ilvl w:val="0"/>
          <w:numId w:val="18"/>
        </w:numPr>
      </w:pPr>
      <w:r>
        <w:rPr>
          <w:rFonts w:hint="eastAsia"/>
        </w:rPr>
        <w:t>设备合格鉴定（SF3）</w:t>
      </w:r>
    </w:p>
    <w:p>
      <w:pPr>
        <w:pStyle w:val="61"/>
        <w:numPr>
          <w:ilvl w:val="0"/>
          <w:numId w:val="18"/>
        </w:numPr>
      </w:pPr>
      <w:r>
        <w:rPr>
          <w:rFonts w:hint="eastAsia"/>
        </w:rPr>
        <w:t>老化（SF4）</w:t>
      </w:r>
    </w:p>
    <w:p>
      <w:pPr>
        <w:pStyle w:val="61"/>
        <w:numPr>
          <w:ilvl w:val="0"/>
          <w:numId w:val="18"/>
        </w:numPr>
      </w:pPr>
      <w:r>
        <w:rPr>
          <w:rFonts w:hint="eastAsia"/>
        </w:rPr>
        <w:t>确定论安全分析（SF5）</w:t>
      </w:r>
    </w:p>
    <w:p>
      <w:pPr>
        <w:pStyle w:val="61"/>
        <w:numPr>
          <w:ilvl w:val="0"/>
          <w:numId w:val="18"/>
        </w:numPr>
      </w:pPr>
      <w:r>
        <w:rPr>
          <w:rFonts w:hint="eastAsia"/>
        </w:rPr>
        <w:t>概率安全分析（SF6）</w:t>
      </w:r>
    </w:p>
    <w:p>
      <w:pPr>
        <w:pStyle w:val="61"/>
        <w:numPr>
          <w:ilvl w:val="0"/>
          <w:numId w:val="18"/>
        </w:numPr>
      </w:pPr>
      <w:r>
        <w:rPr>
          <w:rFonts w:hint="eastAsia"/>
        </w:rPr>
        <w:t>灾害分析（SF7）</w:t>
      </w:r>
    </w:p>
    <w:p>
      <w:pPr>
        <w:pStyle w:val="61"/>
        <w:numPr>
          <w:ilvl w:val="0"/>
          <w:numId w:val="18"/>
        </w:numPr>
      </w:pPr>
      <w:r>
        <w:rPr>
          <w:rFonts w:hint="eastAsia"/>
        </w:rPr>
        <w:t>安全性能 （SF8）</w:t>
      </w:r>
    </w:p>
    <w:p>
      <w:pPr>
        <w:pStyle w:val="61"/>
        <w:numPr>
          <w:ilvl w:val="0"/>
          <w:numId w:val="18"/>
        </w:numPr>
      </w:pPr>
      <w:r>
        <w:rPr>
          <w:rFonts w:hint="eastAsia"/>
        </w:rPr>
        <w:t>其他核电厂经验及研究成果的应用（SF9）</w:t>
      </w:r>
    </w:p>
    <w:p>
      <w:pPr>
        <w:pStyle w:val="61"/>
        <w:numPr>
          <w:ilvl w:val="0"/>
          <w:numId w:val="18"/>
        </w:numPr>
      </w:pPr>
      <w:r>
        <w:rPr>
          <w:rFonts w:hint="eastAsia"/>
        </w:rPr>
        <w:t>组织机构和行政管理（SF10）</w:t>
      </w:r>
    </w:p>
    <w:p>
      <w:pPr>
        <w:pStyle w:val="61"/>
        <w:numPr>
          <w:ilvl w:val="0"/>
          <w:numId w:val="18"/>
        </w:numPr>
      </w:pPr>
      <w:r>
        <w:rPr>
          <w:rFonts w:hint="eastAsia"/>
        </w:rPr>
        <w:t>程序（SF11）</w:t>
      </w:r>
    </w:p>
    <w:p>
      <w:pPr>
        <w:pStyle w:val="61"/>
        <w:numPr>
          <w:ilvl w:val="0"/>
          <w:numId w:val="18"/>
        </w:numPr>
      </w:pPr>
      <w:r>
        <w:rPr>
          <w:rFonts w:hint="eastAsia"/>
        </w:rPr>
        <w:t>人因（SF12）</w:t>
      </w:r>
    </w:p>
    <w:p>
      <w:pPr>
        <w:pStyle w:val="61"/>
        <w:numPr>
          <w:ilvl w:val="0"/>
          <w:numId w:val="18"/>
        </w:numPr>
      </w:pPr>
      <w:r>
        <w:rPr>
          <w:rFonts w:hint="eastAsia"/>
        </w:rPr>
        <w:t>应急预案（SF13）</w:t>
      </w:r>
    </w:p>
    <w:p>
      <w:pPr>
        <w:pStyle w:val="61"/>
        <w:numPr>
          <w:ilvl w:val="0"/>
          <w:numId w:val="18"/>
        </w:numPr>
      </w:pPr>
      <w:r>
        <w:rPr>
          <w:rFonts w:hint="eastAsia"/>
        </w:rPr>
        <w:t>辐射环境影响（SF14）</w:t>
      </w:r>
    </w:p>
    <w:p>
      <w:pPr>
        <w:pStyle w:val="27"/>
        <w:ind w:firstLine="0" w:firstLineChars="0"/>
        <w:rPr>
          <w:rFonts w:hAnsi="宋体"/>
          <w:szCs w:val="21"/>
        </w:rPr>
      </w:pPr>
      <w:r>
        <w:rPr>
          <w:rFonts w:hint="eastAsia" w:hAnsi="宋体"/>
          <w:szCs w:val="21"/>
        </w:rPr>
        <w:t>5.</w:t>
      </w:r>
      <w:r>
        <w:rPr>
          <w:rFonts w:hAnsi="宋体"/>
          <w:szCs w:val="21"/>
        </w:rPr>
        <w:t>1</w:t>
      </w:r>
      <w:r>
        <w:rPr>
          <w:rFonts w:hint="eastAsia" w:hAnsi="宋体"/>
          <w:szCs w:val="21"/>
        </w:rPr>
        <w:t>.</w:t>
      </w:r>
      <w:r>
        <w:rPr>
          <w:rFonts w:hAnsi="宋体"/>
          <w:szCs w:val="21"/>
        </w:rPr>
        <w:t xml:space="preserve">2 </w:t>
      </w:r>
      <w:r>
        <w:rPr>
          <w:rFonts w:hint="eastAsia" w:hAnsi="宋体"/>
          <w:szCs w:val="21"/>
        </w:rPr>
        <w:t>通常运行核电厂的定期安全评价应涵盖上述所有14项安全要素。考虑核电厂的实际状态、安全管理水平、同类核电厂定期安全评价的成果等因素，每次定期安全评价不必对所有安全要素都开展全面评价，可选择需重点评价的内容。</w:t>
      </w:r>
    </w:p>
    <w:p>
      <w:pPr>
        <w:pStyle w:val="27"/>
        <w:ind w:firstLine="0" w:firstLineChars="0"/>
        <w:rPr>
          <w:rFonts w:hAnsi="宋体"/>
          <w:szCs w:val="21"/>
        </w:rPr>
      </w:pPr>
      <w:r>
        <w:rPr>
          <w:rFonts w:hint="eastAsia" w:hAnsi="宋体"/>
          <w:szCs w:val="21"/>
        </w:rPr>
        <w:t>5.</w:t>
      </w:r>
      <w:r>
        <w:rPr>
          <w:rFonts w:hAnsi="宋体"/>
          <w:szCs w:val="21"/>
        </w:rPr>
        <w:t>1</w:t>
      </w:r>
      <w:r>
        <w:rPr>
          <w:rFonts w:hint="eastAsia" w:hAnsi="宋体"/>
          <w:szCs w:val="21"/>
        </w:rPr>
        <w:t>.</w:t>
      </w:r>
      <w:r>
        <w:rPr>
          <w:rFonts w:hAnsi="宋体"/>
          <w:szCs w:val="21"/>
        </w:rPr>
        <w:t xml:space="preserve">3 </w:t>
      </w:r>
      <w:r>
        <w:rPr>
          <w:rFonts w:hint="eastAsia" w:hAnsi="宋体"/>
          <w:szCs w:val="21"/>
        </w:rPr>
        <w:t>此外，可以结合核电厂的设计特点、潜在安全问题，或预定的安全提升目标等设置个性化的评价专项，以针对性地发现和解决问题，或确定切实可行的核安全改进。</w:t>
      </w:r>
    </w:p>
    <w:p>
      <w:pPr>
        <w:rPr>
          <w:rFonts w:ascii="宋体" w:hAnsi="宋体"/>
          <w:lang/>
        </w:rPr>
      </w:pPr>
      <w:r>
        <w:rPr>
          <w:rFonts w:hint="eastAsia" w:ascii="宋体" w:hAnsi="宋体"/>
          <w:kern w:val="0"/>
          <w:szCs w:val="21"/>
          <w:lang/>
        </w:rPr>
        <w:t>5.</w:t>
      </w:r>
      <w:r>
        <w:rPr>
          <w:rFonts w:ascii="宋体" w:hAnsi="宋体"/>
          <w:kern w:val="0"/>
          <w:szCs w:val="21"/>
          <w:lang/>
        </w:rPr>
        <w:t>1</w:t>
      </w:r>
      <w:r>
        <w:rPr>
          <w:rFonts w:hint="eastAsia" w:ascii="宋体" w:hAnsi="宋体"/>
          <w:kern w:val="0"/>
          <w:szCs w:val="21"/>
          <w:lang/>
        </w:rPr>
        <w:t>.</w:t>
      </w:r>
      <w:r>
        <w:rPr>
          <w:rFonts w:ascii="宋体" w:hAnsi="宋体"/>
          <w:kern w:val="0"/>
          <w:szCs w:val="21"/>
          <w:lang/>
        </w:rPr>
        <w:t xml:space="preserve">4 </w:t>
      </w:r>
      <w:r>
        <w:rPr>
          <w:rFonts w:hint="eastAsia" w:ascii="宋体" w:hAnsi="宋体"/>
          <w:lang/>
        </w:rPr>
        <w:t>定期安全评价各个要素之间存在着紧密联系，某一要素的评价结果（评价输出）可能是其他要素评价的重要输入。不同要素间潜在的可能关联如附录A所示，表中上部水平方向的安全要素可为左侧垂直方向的安全要素提供评价输入。</w:t>
      </w:r>
    </w:p>
    <w:p>
      <w:pPr>
        <w:pStyle w:val="27"/>
        <w:ind w:firstLine="0" w:firstLineChars="0"/>
        <w:rPr>
          <w:rFonts w:hAnsi="宋体"/>
          <w:szCs w:val="21"/>
        </w:rPr>
      </w:pPr>
      <w:r>
        <w:rPr>
          <w:rFonts w:hint="eastAsia" w:hAnsi="宋体"/>
          <w:szCs w:val="21"/>
        </w:rPr>
        <w:t>5.</w:t>
      </w:r>
      <w:r>
        <w:rPr>
          <w:rFonts w:hAnsi="宋体"/>
          <w:szCs w:val="21"/>
        </w:rPr>
        <w:t>1</w:t>
      </w:r>
      <w:r>
        <w:rPr>
          <w:rFonts w:hint="eastAsia" w:hAnsi="宋体"/>
          <w:szCs w:val="21"/>
        </w:rPr>
        <w:t>.</w:t>
      </w:r>
      <w:r>
        <w:rPr>
          <w:rFonts w:hAnsi="宋体"/>
          <w:szCs w:val="21"/>
        </w:rPr>
        <w:t xml:space="preserve">5 </w:t>
      </w:r>
      <w:r>
        <w:rPr>
          <w:rFonts w:hint="eastAsia" w:hAnsi="宋体"/>
          <w:szCs w:val="21"/>
        </w:rPr>
        <w:t>核电厂不同寿期阶段的定期安全评价可具有不同的评价重点。例如，对于原始设计寿命为四十年的核电机组，第一次定期安全评价的重点为发现并消除机组在设计、建造过程中存在的缺陷，提高安全性；第二次定期安全评价的重点为根据现行标准和实践，进一步提高机组的安全性能；对于第三次和第四次定期安全评价，在确定评价重点时，除关注安全性能提升之外，还可考虑机组的长寿期运行需求。</w:t>
      </w:r>
    </w:p>
    <w:p>
      <w:pPr>
        <w:pStyle w:val="44"/>
        <w:spacing w:before="0" w:beforeLines="0" w:after="0" w:afterLines="0"/>
        <w:rPr>
          <w:rFonts w:hint="eastAsia"/>
        </w:rPr>
      </w:pPr>
      <w:r>
        <w:rPr>
          <w:rFonts w:hint="eastAsia"/>
        </w:rPr>
        <w:t>确定评价依据</w:t>
      </w:r>
    </w:p>
    <w:p>
      <w:pPr>
        <w:pStyle w:val="161"/>
        <w:spacing w:before="0" w:after="0" w:line="240" w:lineRule="auto"/>
        <w:ind w:left="0" w:leftChars="0" w:right="174" w:rightChars="83"/>
        <w:rPr>
          <w:rFonts w:ascii="宋体" w:hAnsi="Times New Roman"/>
          <w:kern w:val="0"/>
          <w:sz w:val="21"/>
          <w:szCs w:val="21"/>
          <w:lang w:val="en-US" w:eastAsia="zh-CN"/>
        </w:rPr>
      </w:pPr>
      <w:r>
        <w:rPr>
          <w:rFonts w:hint="eastAsia" w:ascii="宋体" w:hAnsi="Times New Roman"/>
          <w:kern w:val="0"/>
          <w:sz w:val="21"/>
          <w:szCs w:val="21"/>
          <w:lang w:val="en-US" w:eastAsia="zh-CN"/>
        </w:rPr>
        <w:t>5.</w:t>
      </w:r>
      <w:r>
        <w:rPr>
          <w:rFonts w:ascii="宋体" w:hAnsi="Times New Roman"/>
          <w:kern w:val="0"/>
          <w:sz w:val="21"/>
          <w:szCs w:val="21"/>
          <w:lang w:val="en-US" w:eastAsia="zh-CN"/>
        </w:rPr>
        <w:t>2</w:t>
      </w:r>
      <w:r>
        <w:rPr>
          <w:rFonts w:hint="eastAsia" w:ascii="宋体" w:hAnsi="Times New Roman"/>
          <w:kern w:val="0"/>
          <w:sz w:val="21"/>
          <w:szCs w:val="21"/>
          <w:lang w:val="en-US" w:eastAsia="zh-CN"/>
        </w:rPr>
        <w:t>.</w:t>
      </w:r>
      <w:r>
        <w:rPr>
          <w:rFonts w:ascii="宋体" w:hAnsi="Times New Roman"/>
          <w:kern w:val="0"/>
          <w:sz w:val="21"/>
          <w:szCs w:val="21"/>
          <w:lang w:val="en-US" w:eastAsia="zh-CN"/>
        </w:rPr>
        <w:t xml:space="preserve">1 </w:t>
      </w:r>
      <w:r>
        <w:rPr>
          <w:rFonts w:hint="eastAsia" w:ascii="宋体" w:hAnsi="宋体"/>
          <w:sz w:val="21"/>
          <w:szCs w:val="21"/>
          <w:lang/>
        </w:rPr>
        <w:t>PSR</w:t>
      </w:r>
      <w:r>
        <w:rPr>
          <w:rFonts w:ascii="宋体" w:hAnsi="宋体"/>
          <w:sz w:val="21"/>
          <w:szCs w:val="21"/>
          <w:lang/>
        </w:rPr>
        <w:t>一般每十年</w:t>
      </w:r>
      <w:r>
        <w:rPr>
          <w:rFonts w:hint="eastAsia" w:ascii="宋体" w:hAnsi="宋体"/>
          <w:sz w:val="21"/>
          <w:szCs w:val="21"/>
          <w:lang w:eastAsia="zh-CN"/>
        </w:rPr>
        <w:t>左右时间</w:t>
      </w:r>
      <w:r>
        <w:rPr>
          <w:rFonts w:ascii="宋体" w:hAnsi="宋体"/>
          <w:sz w:val="21"/>
          <w:szCs w:val="21"/>
          <w:lang/>
        </w:rPr>
        <w:t>开展一次</w:t>
      </w:r>
      <w:r>
        <w:rPr>
          <w:rFonts w:hint="eastAsia" w:ascii="宋体" w:hAnsi="宋体"/>
          <w:sz w:val="21"/>
          <w:szCs w:val="21"/>
          <w:lang/>
        </w:rPr>
        <w:t>。在十年期间内预计安全标准、技术以及作为基础的科学知识和分析方法可能会显著改变；核动力厂的修改和老化的积累效也需要评价</w:t>
      </w:r>
      <w:r>
        <w:rPr>
          <w:rFonts w:hint="eastAsia" w:ascii="宋体" w:hAnsi="宋体"/>
          <w:sz w:val="21"/>
          <w:szCs w:val="21"/>
          <w:lang w:eastAsia="zh-CN"/>
        </w:rPr>
        <w:t>。</w:t>
      </w:r>
      <w:r>
        <w:rPr>
          <w:rFonts w:hint="eastAsia" w:ascii="宋体" w:hAnsi="Times New Roman"/>
          <w:kern w:val="0"/>
          <w:sz w:val="21"/>
          <w:szCs w:val="21"/>
          <w:lang w:val="en-US" w:eastAsia="zh-CN"/>
        </w:rPr>
        <w:t>PSR评价依据包括两个层次的内容：</w:t>
      </w:r>
      <w:r>
        <w:rPr>
          <w:rFonts w:ascii="宋体" w:hAnsi="Times New Roman"/>
          <w:kern w:val="0"/>
          <w:sz w:val="21"/>
          <w:szCs w:val="21"/>
          <w:lang w:val="en-US" w:eastAsia="zh-CN"/>
        </w:rPr>
        <w:t>1）安全基准；2）现行安全标准和实践。</w:t>
      </w:r>
    </w:p>
    <w:p>
      <w:pPr>
        <w:pStyle w:val="161"/>
        <w:spacing w:before="0" w:after="0" w:line="240" w:lineRule="auto"/>
        <w:ind w:left="0" w:leftChars="0" w:right="174" w:rightChars="83"/>
        <w:rPr>
          <w:rFonts w:ascii="宋体" w:hAnsi="Times New Roman"/>
          <w:kern w:val="0"/>
          <w:sz w:val="21"/>
          <w:szCs w:val="21"/>
          <w:lang w:val="en-US" w:eastAsia="zh-CN"/>
        </w:rPr>
      </w:pPr>
      <w:r>
        <w:rPr>
          <w:rFonts w:hint="eastAsia" w:ascii="宋体" w:hAnsi="宋体"/>
          <w:sz w:val="21"/>
          <w:szCs w:val="21"/>
          <w:lang w:eastAsia="zh-CN"/>
        </w:rPr>
        <w:t>5.</w:t>
      </w:r>
      <w:r>
        <w:rPr>
          <w:rFonts w:ascii="宋体" w:hAnsi="宋体"/>
          <w:sz w:val="21"/>
          <w:szCs w:val="21"/>
          <w:lang w:eastAsia="zh-CN"/>
        </w:rPr>
        <w:t xml:space="preserve">2.2 </w:t>
      </w:r>
      <w:r>
        <w:rPr>
          <w:rFonts w:hint="eastAsia" w:ascii="宋体" w:hAnsi="宋体"/>
          <w:sz w:val="21"/>
          <w:szCs w:val="21"/>
          <w:lang/>
        </w:rPr>
        <w:t>定期安全评价</w:t>
      </w:r>
      <w:r>
        <w:rPr>
          <w:rFonts w:hint="eastAsia" w:ascii="宋体" w:hAnsi="宋体"/>
          <w:sz w:val="21"/>
          <w:szCs w:val="21"/>
          <w:lang w:eastAsia="zh-CN"/>
        </w:rPr>
        <w:t>所需的安全</w:t>
      </w:r>
      <w:r>
        <w:rPr>
          <w:rFonts w:hint="eastAsia" w:ascii="宋体" w:hAnsi="宋体"/>
          <w:sz w:val="21"/>
          <w:szCs w:val="21"/>
          <w:lang/>
        </w:rPr>
        <w:t>基准文件应在定期安全评价之前准备好，如果得不到这些文件或为了获得这些文件需要作大量的工作，营运单位应尽早考虑相应的工作安排和资源配备。</w:t>
      </w:r>
    </w:p>
    <w:p>
      <w:pPr>
        <w:pStyle w:val="161"/>
        <w:spacing w:before="0" w:after="0" w:line="240" w:lineRule="auto"/>
        <w:ind w:left="0" w:leftChars="0" w:right="174" w:rightChars="83"/>
        <w:rPr>
          <w:rFonts w:ascii="宋体" w:hAnsi="Times New Roman"/>
          <w:kern w:val="0"/>
          <w:sz w:val="21"/>
          <w:szCs w:val="21"/>
          <w:lang w:val="en-US" w:eastAsia="zh-CN"/>
        </w:rPr>
      </w:pPr>
      <w:r>
        <w:rPr>
          <w:rFonts w:hint="eastAsia" w:ascii="宋体" w:hAnsi="Times New Roman"/>
          <w:kern w:val="0"/>
          <w:sz w:val="21"/>
          <w:szCs w:val="21"/>
          <w:lang w:val="en-US" w:eastAsia="zh-CN"/>
        </w:rPr>
        <w:t>5.</w:t>
      </w:r>
      <w:r>
        <w:rPr>
          <w:rFonts w:ascii="宋体" w:hAnsi="Times New Roman"/>
          <w:kern w:val="0"/>
          <w:sz w:val="21"/>
          <w:szCs w:val="21"/>
          <w:lang w:val="en-US" w:eastAsia="zh-CN"/>
        </w:rPr>
        <w:t xml:space="preserve">2.3 </w:t>
      </w:r>
      <w:r>
        <w:rPr>
          <w:rFonts w:hint="eastAsia" w:ascii="宋体" w:hAnsi="Times New Roman"/>
          <w:kern w:val="0"/>
          <w:sz w:val="21"/>
          <w:szCs w:val="21"/>
          <w:lang w:val="en-US" w:eastAsia="zh-CN"/>
        </w:rPr>
        <w:t>确定适用的现行安全标准和实践</w:t>
      </w:r>
    </w:p>
    <w:p>
      <w:pPr>
        <w:pStyle w:val="158"/>
        <w:numPr>
          <w:ilvl w:val="0"/>
          <w:numId w:val="0"/>
        </w:numPr>
        <w:tabs>
          <w:tab w:val="clear" w:pos="1140"/>
        </w:tabs>
        <w:ind w:firstLine="420" w:firstLineChars="200"/>
        <w:rPr>
          <w:rFonts w:hint="eastAsia"/>
          <w:szCs w:val="21"/>
          <w:lang/>
        </w:rPr>
      </w:pPr>
      <w:r>
        <w:rPr>
          <w:rFonts w:hint="eastAsia"/>
          <w:szCs w:val="21"/>
          <w:lang/>
        </w:rPr>
        <w:t>PSR实施前，应确定合适的安全提升目标，安全提升目标体现在适用的</w:t>
      </w:r>
      <w:r>
        <w:rPr>
          <w:rFonts w:hint="eastAsia"/>
        </w:rPr>
        <w:t>现行安全标准和实践中，可包括</w:t>
      </w:r>
      <w:r>
        <w:t>燃料设计热工裕量、堆芯损坏频率（CDF）、放射性早期大量释放频率（LERF）、操作员不干预时间、抵御外部灾害的水平</w:t>
      </w:r>
      <w:r>
        <w:rPr>
          <w:rFonts w:hint="eastAsia"/>
        </w:rPr>
        <w:t>等方面的定量或定性指标。</w:t>
      </w:r>
    </w:p>
    <w:p>
      <w:pPr>
        <w:pStyle w:val="158"/>
        <w:numPr>
          <w:ilvl w:val="0"/>
          <w:numId w:val="0"/>
        </w:numPr>
        <w:tabs>
          <w:tab w:val="clear" w:pos="1140"/>
        </w:tabs>
        <w:ind w:firstLine="420" w:firstLineChars="200"/>
        <w:rPr>
          <w:rFonts w:hint="eastAsia"/>
          <w:szCs w:val="21"/>
          <w:lang/>
        </w:rPr>
      </w:pPr>
      <w:r>
        <w:rPr>
          <w:rFonts w:hint="eastAsia"/>
        </w:rPr>
        <w:t>现行安全标准和实践应以当前的国家标准和实践为基础，必要时，可采用国际标准</w:t>
      </w:r>
      <w:r>
        <w:rPr>
          <w:rFonts w:hint="eastAsia"/>
          <w:szCs w:val="21"/>
          <w:lang/>
        </w:rPr>
        <w:t>。</w:t>
      </w:r>
    </w:p>
    <w:p>
      <w:pPr>
        <w:pStyle w:val="158"/>
        <w:numPr>
          <w:ilvl w:val="0"/>
          <w:numId w:val="0"/>
        </w:numPr>
        <w:tabs>
          <w:tab w:val="clear" w:pos="1140"/>
        </w:tabs>
        <w:ind w:firstLine="420" w:firstLineChars="200"/>
        <w:rPr>
          <w:rFonts w:hAnsi="宋体"/>
          <w:szCs w:val="21"/>
        </w:rPr>
      </w:pPr>
      <w:r>
        <w:rPr>
          <w:rFonts w:hint="eastAsia" w:hAnsi="宋体"/>
          <w:szCs w:val="21"/>
          <w:lang/>
        </w:rPr>
        <w:t>根</w:t>
      </w:r>
      <w:r>
        <w:rPr>
          <w:rFonts w:hint="eastAsia"/>
        </w:rPr>
        <w:t>据核安全法律、</w:t>
      </w:r>
      <w:r>
        <w:t>法规要求，</w:t>
      </w:r>
      <w:r>
        <w:rPr>
          <w:rFonts w:hint="eastAsia" w:hAnsi="宋体"/>
          <w:szCs w:val="21"/>
        </w:rPr>
        <w:t>应当持续开发先进、可靠的核安全技术，充分利用先进的科学技术成果，提高核安全水平。</w:t>
      </w:r>
      <w:r>
        <w:t>通过PSR</w:t>
      </w:r>
      <w:r>
        <w:rPr>
          <w:rFonts w:hint="eastAsia"/>
        </w:rPr>
        <w:t>工作</w:t>
      </w:r>
      <w:r>
        <w:t>，</w:t>
      </w:r>
      <w:r>
        <w:rPr>
          <w:rFonts w:hint="eastAsia"/>
        </w:rPr>
        <w:t>核电厂应逐渐达到</w:t>
      </w:r>
      <w:r>
        <w:t>或接近新</w:t>
      </w:r>
      <w:r>
        <w:rPr>
          <w:rFonts w:hint="eastAsia"/>
        </w:rPr>
        <w:t>核电</w:t>
      </w:r>
      <w:r>
        <w:t>厂的安全水平</w:t>
      </w:r>
      <w:r>
        <w:rPr>
          <w:rFonts w:hint="eastAsia"/>
        </w:rPr>
        <w:t>。预期的安全提升目标可通过多轮PSR实现。</w:t>
      </w:r>
      <w:bookmarkStart w:id="111" w:name="_Toc49170606"/>
      <w:bookmarkStart w:id="112" w:name="_Toc42611154"/>
    </w:p>
    <w:bookmarkEnd w:id="111"/>
    <w:bookmarkEnd w:id="112"/>
    <w:p>
      <w:pPr>
        <w:pStyle w:val="158"/>
        <w:numPr>
          <w:ilvl w:val="0"/>
          <w:numId w:val="0"/>
        </w:numPr>
        <w:tabs>
          <w:tab w:val="clear" w:pos="1140"/>
        </w:tabs>
        <w:ind w:firstLine="420" w:firstLineChars="200"/>
        <w:rPr>
          <w:rFonts w:hint="eastAsia"/>
        </w:rPr>
      </w:pPr>
      <w:r>
        <w:rPr>
          <w:rFonts w:hint="eastAsia"/>
        </w:rPr>
        <w:t>为确定适用的现行安全标准和实践，需跟踪、收集最新规范、标准、技术要求，核安全最新研究成果，在运核电厂安全改进和新一代核电厂的设计实践，并开展针对待评价核电厂的适用性分析。在确定是否将新的安全要求和实践纳入适用的安全标准和实践清单时，可考虑相应安全改进的收益成本分析结果。</w:t>
      </w:r>
    </w:p>
    <w:p>
      <w:pPr>
        <w:pStyle w:val="44"/>
        <w:spacing w:before="0" w:beforeLines="0" w:after="0" w:afterLines="0"/>
      </w:pPr>
      <w:r>
        <w:rPr>
          <w:rFonts w:hint="eastAsia"/>
        </w:rPr>
        <w:t>确定工作模式</w:t>
      </w:r>
    </w:p>
    <w:p>
      <w:pPr>
        <w:pStyle w:val="27"/>
        <w:ind w:firstLine="0" w:firstLineChars="0"/>
        <w:rPr>
          <w:rFonts w:ascii="黑体" w:hAnsi="黑体" w:eastAsia="黑体"/>
          <w:szCs w:val="21"/>
        </w:rPr>
      </w:pPr>
      <w:r>
        <w:rPr>
          <w:rFonts w:hint="eastAsia" w:ascii="黑体" w:hAnsi="黑体" w:eastAsia="黑体"/>
          <w:szCs w:val="21"/>
        </w:rPr>
        <w:t>5.</w:t>
      </w:r>
      <w:r>
        <w:rPr>
          <w:rFonts w:ascii="黑体" w:hAnsi="黑体" w:eastAsia="黑体"/>
          <w:szCs w:val="21"/>
        </w:rPr>
        <w:t>3</w:t>
      </w:r>
      <w:r>
        <w:rPr>
          <w:rFonts w:hint="eastAsia" w:ascii="黑体" w:hAnsi="黑体" w:eastAsia="黑体"/>
          <w:szCs w:val="21"/>
        </w:rPr>
        <w:t>.</w:t>
      </w:r>
      <w:r>
        <w:rPr>
          <w:rFonts w:ascii="黑体" w:hAnsi="黑体" w:eastAsia="黑体"/>
          <w:szCs w:val="21"/>
        </w:rPr>
        <w:t xml:space="preserve">1 </w:t>
      </w:r>
      <w:r>
        <w:rPr>
          <w:rFonts w:hint="eastAsia" w:ascii="黑体" w:hAnsi="黑体" w:eastAsia="黑体"/>
          <w:szCs w:val="21"/>
        </w:rPr>
        <w:t>PSR一般工作模式</w:t>
      </w:r>
    </w:p>
    <w:p>
      <w:pPr>
        <w:pStyle w:val="146"/>
        <w:ind w:firstLine="420"/>
      </w:pPr>
      <w:r>
        <w:rPr>
          <w:rFonts w:hint="eastAsia"/>
        </w:rPr>
        <w:t>核电厂PSR通常每1</w:t>
      </w:r>
      <w:r>
        <w:t>0</w:t>
      </w:r>
      <w:r>
        <w:rPr>
          <w:rFonts w:hint="eastAsia"/>
        </w:rPr>
        <w:t>年左右开展一次，每次持续</w:t>
      </w:r>
      <w:r>
        <w:t>4</w:t>
      </w:r>
      <w:r>
        <w:rPr>
          <w:rFonts w:hint="eastAsia"/>
        </w:rPr>
        <w:t>年左右时间，项目可划分为准备和执行两个阶段。</w:t>
      </w:r>
    </w:p>
    <w:p>
      <w:pPr>
        <w:pStyle w:val="146"/>
        <w:ind w:firstLine="420"/>
      </w:pPr>
      <w:r>
        <w:rPr>
          <w:rFonts w:hint="eastAsia"/>
        </w:rPr>
        <w:t>准备阶段依次开展的工作包括组建项目团队，制订PSR大纲，编制要素/专项评价程序、细则，建立项目管理体系，制定工作计划等。</w:t>
      </w:r>
    </w:p>
    <w:p>
      <w:pPr>
        <w:pStyle w:val="146"/>
        <w:ind w:firstLine="420"/>
        <w:rPr>
          <w:rFonts w:hint="eastAsia"/>
        </w:rPr>
      </w:pPr>
      <w:r>
        <w:rPr>
          <w:rFonts w:hint="eastAsia"/>
        </w:rPr>
        <w:t>执行阶段的工作包括：评价人员根据程序、细则等工作文件开展各要素/专项的评价工作，填写评价记录单，编制要素/专项评价报告，开展总体评价并编制PSR总体评价报告，制定纠正行动和安全改进计划等。</w:t>
      </w:r>
    </w:p>
    <w:p>
      <w:pPr>
        <w:pStyle w:val="27"/>
        <w:ind w:firstLine="0" w:firstLineChars="0"/>
        <w:rPr>
          <w:rFonts w:ascii="黑体" w:hAnsi="黑体" w:eastAsia="黑体"/>
          <w:szCs w:val="21"/>
        </w:rPr>
      </w:pPr>
      <w:r>
        <w:rPr>
          <w:rFonts w:hint="eastAsia" w:ascii="黑体" w:hAnsi="黑体" w:eastAsia="黑体"/>
          <w:szCs w:val="21"/>
        </w:rPr>
        <w:t>5.</w:t>
      </w:r>
      <w:r>
        <w:rPr>
          <w:rFonts w:ascii="黑体" w:hAnsi="黑体" w:eastAsia="黑体"/>
          <w:szCs w:val="21"/>
        </w:rPr>
        <w:t>3</w:t>
      </w:r>
      <w:r>
        <w:rPr>
          <w:rFonts w:hint="eastAsia" w:ascii="黑体" w:hAnsi="黑体" w:eastAsia="黑体"/>
          <w:szCs w:val="21"/>
        </w:rPr>
        <w:t>.</w:t>
      </w:r>
      <w:r>
        <w:rPr>
          <w:rFonts w:ascii="黑体" w:hAnsi="黑体" w:eastAsia="黑体"/>
          <w:szCs w:val="21"/>
        </w:rPr>
        <w:t xml:space="preserve">2 </w:t>
      </w:r>
      <w:r>
        <w:rPr>
          <w:rFonts w:hint="eastAsia" w:ascii="黑体" w:hAnsi="黑体" w:eastAsia="黑体"/>
          <w:szCs w:val="21"/>
        </w:rPr>
        <w:t>设计相近核电厂的PSR联合评价</w:t>
      </w:r>
    </w:p>
    <w:p>
      <w:pPr>
        <w:widowControl/>
        <w:ind w:firstLine="437"/>
        <w:jc w:val="left"/>
        <w:rPr>
          <w:rFonts w:ascii="宋体"/>
          <w:kern w:val="0"/>
          <w:szCs w:val="20"/>
          <w:lang/>
        </w:rPr>
      </w:pPr>
      <w:r>
        <w:rPr>
          <w:rFonts w:hint="eastAsia" w:ascii="宋体"/>
          <w:kern w:val="0"/>
          <w:szCs w:val="20"/>
          <w:lang/>
        </w:rPr>
        <w:t>设计相近的核电厂可联合开展PSR统一评价，在提高工作效率的同时，能够保证各电厂的安全状态信息及评价结果得到及时共享。</w:t>
      </w:r>
    </w:p>
    <w:p>
      <w:pPr>
        <w:widowControl/>
        <w:ind w:firstLine="437"/>
        <w:jc w:val="left"/>
        <w:rPr>
          <w:rFonts w:hint="eastAsia" w:ascii="宋体"/>
          <w:kern w:val="0"/>
          <w:szCs w:val="20"/>
          <w:lang/>
        </w:rPr>
      </w:pPr>
      <w:r>
        <w:rPr>
          <w:rFonts w:hint="eastAsia" w:ascii="宋体"/>
          <w:kern w:val="0"/>
          <w:szCs w:val="20"/>
          <w:lang/>
        </w:rPr>
        <w:t>为把评价做深、做细，可分阶段开展多机组的联合评价工作。如在机组投运后尽早开始第一阶段评价，工作内容包括：开展安全基准文件的梳理与重建，对电厂状态信息进行收集、筛选和分析，收集、分析最新的安全标准和实践，对重大安全专题开展研究，编制定期安全评价大纲等；在第二阶段，根据第一阶段的工作成果，对运行机组开展全面、系统性评价，并据此制定纠正行动和安全改进计划。</w:t>
      </w:r>
    </w:p>
    <w:p>
      <w:pPr>
        <w:pStyle w:val="44"/>
        <w:spacing w:before="0" w:beforeLines="0" w:after="0" w:afterLines="0"/>
      </w:pPr>
      <w:r>
        <w:rPr>
          <w:rFonts w:hint="eastAsia"/>
        </w:rPr>
        <w:t>组建PSR技术团队</w:t>
      </w:r>
    </w:p>
    <w:p>
      <w:pPr>
        <w:rPr>
          <w:rFonts w:hAnsi="宋体"/>
          <w:szCs w:val="21"/>
        </w:rPr>
      </w:pPr>
      <w:r>
        <w:rPr>
          <w:rFonts w:ascii="宋体"/>
          <w:kern w:val="0"/>
          <w:szCs w:val="20"/>
          <w:lang/>
        </w:rPr>
        <w:t>5</w:t>
      </w:r>
      <w:r>
        <w:rPr>
          <w:rFonts w:hint="eastAsia" w:ascii="宋体"/>
          <w:kern w:val="0"/>
          <w:szCs w:val="20"/>
          <w:lang/>
        </w:rPr>
        <w:t>.</w:t>
      </w:r>
      <w:r>
        <w:rPr>
          <w:rFonts w:ascii="宋体"/>
          <w:kern w:val="0"/>
          <w:szCs w:val="20"/>
          <w:lang/>
        </w:rPr>
        <w:t xml:space="preserve">4.1 </w:t>
      </w:r>
      <w:r>
        <w:rPr>
          <w:rFonts w:hint="eastAsia" w:hAnsi="宋体"/>
          <w:szCs w:val="21"/>
        </w:rPr>
        <w:t>核电厂定期安全评价的责任主体为核电厂营运单位。营运单位可委托外部支持单位开展定期安全评价，但其主体责任不转移。</w:t>
      </w:r>
    </w:p>
    <w:p>
      <w:r>
        <w:t>5</w:t>
      </w:r>
      <w:r>
        <w:rPr>
          <w:rFonts w:hint="eastAsia"/>
        </w:rPr>
        <w:t>.</w:t>
      </w:r>
      <w:r>
        <w:t>4</w:t>
      </w:r>
      <w:r>
        <w:rPr>
          <w:rFonts w:hint="eastAsia"/>
        </w:rPr>
        <w:t>.</w:t>
      </w:r>
      <w:r>
        <w:t xml:space="preserve">2 </w:t>
      </w:r>
      <w:r>
        <w:rPr>
          <w:rFonts w:hint="eastAsia"/>
        </w:rPr>
        <w:t>控股核电厂的核电企业集团对核电厂营运单位负有监督、考核责任，为优化资源配置，提升效率和质量，可推动企业集团内各电厂按照集约化、专业化、标准化原则开展PSR。</w:t>
      </w:r>
    </w:p>
    <w:p>
      <w:pPr>
        <w:pStyle w:val="146"/>
        <w:ind w:firstLine="0" w:firstLineChars="0"/>
      </w:pPr>
      <w:r>
        <w:t>5</w:t>
      </w:r>
      <w:r>
        <w:rPr>
          <w:rFonts w:hint="eastAsia"/>
        </w:rPr>
        <w:t>.</w:t>
      </w:r>
      <w:r>
        <w:t>4</w:t>
      </w:r>
      <w:r>
        <w:rPr>
          <w:rFonts w:hint="eastAsia"/>
        </w:rPr>
        <w:t>.</w:t>
      </w:r>
      <w:r>
        <w:t xml:space="preserve">3 </w:t>
      </w:r>
      <w:r>
        <w:rPr>
          <w:rFonts w:hint="eastAsia"/>
        </w:rPr>
        <w:t>核电厂定期安全评价是对核电厂设计、实体状态、运行及管理等方面的系统性技术评价，应由专业化团队实施。PSR准备阶段，应根据评价内容和时间周期，确定参与人员的专业组成及数量，组建专业化的评价团队。确定PSR团队成员时，除专业外，还应考虑评价人员的PSR经验。特别是PSR项目负责人，除应熟悉PSR相关的法规、标准，了解待评价核电厂的设计、运行或管理外，还应该具备PS</w:t>
      </w:r>
      <w:r>
        <w:t>R</w:t>
      </w:r>
      <w:r>
        <w:rPr>
          <w:rFonts w:hint="eastAsia"/>
        </w:rPr>
        <w:t>项目的管理经验。核电厂PSR技术团队应包括技术评价、分析评估和管理评价三类人员，相应的职责分工和技能要求分别为：</w:t>
      </w:r>
    </w:p>
    <w:p>
      <w:pPr>
        <w:pStyle w:val="150"/>
        <w:numPr>
          <w:ilvl w:val="0"/>
          <w:numId w:val="19"/>
        </w:numPr>
      </w:pPr>
      <w:r>
        <w:rPr>
          <w:rFonts w:hint="eastAsia"/>
        </w:rPr>
        <w:t>技术评价人员</w:t>
      </w:r>
    </w:p>
    <w:p>
      <w:pPr>
        <w:pStyle w:val="150"/>
        <w:numPr>
          <w:ilvl w:val="1"/>
          <w:numId w:val="20"/>
        </w:numPr>
      </w:pPr>
      <w:r>
        <w:rPr>
          <w:rFonts w:hint="eastAsia"/>
        </w:rPr>
        <w:t>主要承担技术性要素/专项的评价工作。</w:t>
      </w:r>
    </w:p>
    <w:p>
      <w:pPr>
        <w:pStyle w:val="150"/>
        <w:numPr>
          <w:ilvl w:val="1"/>
          <w:numId w:val="20"/>
        </w:numPr>
      </w:pPr>
      <w:r>
        <w:rPr>
          <w:rFonts w:hint="eastAsia"/>
        </w:rPr>
        <w:t>技术评价人员应了解所负责审查领域的规范标准要求，相关的设计、运行及安全分析知识。</w:t>
      </w:r>
    </w:p>
    <w:p>
      <w:pPr>
        <w:pStyle w:val="150"/>
        <w:numPr>
          <w:ilvl w:val="0"/>
          <w:numId w:val="19"/>
        </w:numPr>
      </w:pPr>
      <w:r>
        <w:rPr>
          <w:rFonts w:hint="eastAsia"/>
        </w:rPr>
        <w:t>分析评估人员</w:t>
      </w:r>
    </w:p>
    <w:p>
      <w:pPr>
        <w:pStyle w:val="150"/>
        <w:numPr>
          <w:ilvl w:val="1"/>
          <w:numId w:val="21"/>
        </w:numPr>
      </w:pPr>
      <w:r>
        <w:rPr>
          <w:rFonts w:hint="eastAsia"/>
        </w:rPr>
        <w:t>主要承担技术性要素/专项中的分析评估工作，包括堆芯物理、源项、衰变热、临界、屏蔽、热工水力、事故分析、结构强度、PSA等。</w:t>
      </w:r>
    </w:p>
    <w:p>
      <w:pPr>
        <w:pStyle w:val="150"/>
        <w:numPr>
          <w:ilvl w:val="1"/>
          <w:numId w:val="21"/>
        </w:numPr>
      </w:pPr>
      <w:r>
        <w:rPr>
          <w:rFonts w:hint="eastAsia"/>
        </w:rPr>
        <w:t>分析评估人员应掌握所负责技术领域的计算分析方法。</w:t>
      </w:r>
    </w:p>
    <w:p>
      <w:pPr>
        <w:pStyle w:val="150"/>
        <w:numPr>
          <w:ilvl w:val="0"/>
          <w:numId w:val="19"/>
        </w:numPr>
      </w:pPr>
      <w:r>
        <w:rPr>
          <w:rFonts w:hint="eastAsia"/>
        </w:rPr>
        <w:t>管理评价人员</w:t>
      </w:r>
    </w:p>
    <w:p>
      <w:pPr>
        <w:pStyle w:val="150"/>
        <w:numPr>
          <w:ilvl w:val="0"/>
          <w:numId w:val="22"/>
        </w:numPr>
      </w:pPr>
      <w:r>
        <w:rPr>
          <w:rFonts w:hint="eastAsia"/>
        </w:rPr>
        <w:t>负责管理性要素的评价工作。</w:t>
      </w:r>
    </w:p>
    <w:p>
      <w:pPr>
        <w:pStyle w:val="150"/>
        <w:numPr>
          <w:ilvl w:val="0"/>
          <w:numId w:val="22"/>
        </w:numPr>
        <w:rPr>
          <w:rFonts w:hint="eastAsia"/>
        </w:rPr>
      </w:pPr>
      <w:r>
        <w:rPr>
          <w:rFonts w:hint="eastAsia"/>
        </w:rPr>
        <w:t>管理评价人员应熟悉所负责领域的管理要求和电厂运作。</w:t>
      </w:r>
    </w:p>
    <w:p>
      <w:pPr>
        <w:pStyle w:val="146"/>
        <w:ind w:firstLine="0" w:firstLineChars="0"/>
        <w:rPr>
          <w:rFonts w:hint="eastAsia"/>
        </w:rPr>
      </w:pPr>
      <w:r>
        <w:rPr>
          <w:rFonts w:hint="eastAsia"/>
        </w:rPr>
        <w:t>5.</w:t>
      </w:r>
      <w:r>
        <w:t>4</w:t>
      </w:r>
      <w:r>
        <w:rPr>
          <w:rFonts w:hint="eastAsia"/>
        </w:rPr>
        <w:t>.</w:t>
      </w:r>
      <w:r>
        <w:t xml:space="preserve">4 </w:t>
      </w:r>
      <w:r>
        <w:rPr>
          <w:rFonts w:hint="eastAsia"/>
        </w:rPr>
        <w:t>对于拥有多个电厂的核电企业集团，可组建一支相对稳定的PSR专业技术团队，这有利于PSR经验的积累和传承。</w:t>
      </w:r>
    </w:p>
    <w:p>
      <w:pPr>
        <w:pStyle w:val="146"/>
        <w:ind w:firstLine="0" w:firstLineChars="0"/>
      </w:pPr>
      <w:r>
        <w:rPr>
          <w:rFonts w:hint="eastAsia"/>
        </w:rPr>
        <w:t>5.</w:t>
      </w:r>
      <w:r>
        <w:t>4</w:t>
      </w:r>
      <w:r>
        <w:rPr>
          <w:rFonts w:hint="eastAsia"/>
        </w:rPr>
        <w:t>.</w:t>
      </w:r>
      <w:r>
        <w:t xml:space="preserve">5 </w:t>
      </w:r>
      <w:r>
        <w:rPr>
          <w:rFonts w:hint="eastAsia"/>
        </w:rPr>
        <w:t>PSR技术团队建立后，应根据评价人员的配备以及知识储备和经验积累情况，制定针对性的培训计划，确保PSR正式实施前，所有评价人员都具备开展定期安全评价所需的基本知识和技能。对于核电企业集团的PSR专业团队，为保持和提升成员的评价能力，宜开展制度性的培训和复训工作。在PSR开展过程中，可结合外部反馈消化、评价实施、问题处理等方面的实际需要，组织相应的专项培训，提高评价团队发现问题、解决问题的能力。</w:t>
      </w:r>
    </w:p>
    <w:p>
      <w:pPr>
        <w:pStyle w:val="44"/>
        <w:spacing w:before="0" w:beforeLines="0" w:after="0" w:afterLines="0"/>
      </w:pPr>
      <w:r>
        <w:rPr>
          <w:rFonts w:hint="eastAsia"/>
        </w:rPr>
        <w:t>建立PSR项目管理体系</w:t>
      </w:r>
    </w:p>
    <w:p>
      <w:pPr>
        <w:pStyle w:val="27"/>
        <w:ind w:firstLine="0" w:firstLineChars="0"/>
      </w:pPr>
      <w:r>
        <w:rPr>
          <w:rFonts w:hint="eastAsia"/>
        </w:rPr>
        <w:t>5.</w:t>
      </w:r>
      <w:r>
        <w:t>5</w:t>
      </w:r>
      <w:r>
        <w:rPr>
          <w:rFonts w:hint="eastAsia"/>
        </w:rPr>
        <w:t>.</w:t>
      </w:r>
      <w:r>
        <w:t xml:space="preserve">1 </w:t>
      </w:r>
      <w:r>
        <w:rPr>
          <w:rFonts w:hint="eastAsia"/>
        </w:rPr>
        <w:t>定期安全评价是一项涉及核电厂诸多方面的综合性工作，相关的各项职责分布在核电厂不同的部门，因此，在执行阶段开始时应组建一个由核电厂高层管理者和各部门主要负责人组成的项目领导机构以便协调各方资源，有效控制项目的进度和质量。</w:t>
      </w:r>
      <w:r>
        <w:t xml:space="preserve"> </w:t>
      </w:r>
    </w:p>
    <w:p>
      <w:pPr>
        <w:pStyle w:val="146"/>
        <w:ind w:firstLine="0" w:firstLineChars="0"/>
      </w:pPr>
      <w:r>
        <w:t>5</w:t>
      </w:r>
      <w:r>
        <w:rPr>
          <w:rFonts w:hint="eastAsia"/>
        </w:rPr>
        <w:t>.</w:t>
      </w:r>
      <w:r>
        <w:t>5</w:t>
      </w:r>
      <w:r>
        <w:rPr>
          <w:rFonts w:hint="eastAsia"/>
        </w:rPr>
        <w:t>.</w:t>
      </w:r>
      <w:r>
        <w:t xml:space="preserve">2 </w:t>
      </w:r>
      <w:r>
        <w:rPr>
          <w:rFonts w:hint="eastAsia"/>
        </w:rPr>
        <w:t>应按照核电厂管理体系、质量保证等方面的法规要求，建立并实施PSR项目管理体系，确保定期安全评价的质量。</w:t>
      </w:r>
    </w:p>
    <w:p>
      <w:pPr>
        <w:pStyle w:val="146"/>
        <w:ind w:firstLine="0" w:firstLineChars="0"/>
      </w:pPr>
      <w:r>
        <w:rPr>
          <w:rFonts w:hint="eastAsia"/>
        </w:rPr>
        <w:t>5.</w:t>
      </w:r>
      <w:r>
        <w:t>5</w:t>
      </w:r>
      <w:r>
        <w:rPr>
          <w:rFonts w:hint="eastAsia"/>
        </w:rPr>
        <w:t>.</w:t>
      </w:r>
      <w:r>
        <w:t xml:space="preserve">3  </w:t>
      </w:r>
      <w:r>
        <w:rPr>
          <w:rFonts w:hint="eastAsia"/>
        </w:rPr>
        <w:t>PSR项目管理文件一般包括人员、文件和记录、进度、会议等方面的制度或程序，具体内容为：</w:t>
      </w:r>
    </w:p>
    <w:p>
      <w:pPr>
        <w:pStyle w:val="150"/>
        <w:numPr>
          <w:ilvl w:val="0"/>
          <w:numId w:val="23"/>
        </w:numPr>
      </w:pPr>
      <w:r>
        <w:rPr>
          <w:rFonts w:hint="eastAsia"/>
        </w:rPr>
        <w:t>人员管理程序对人员培训、授权、现场检查管理、绩效考核等作出规定；</w:t>
      </w:r>
    </w:p>
    <w:p>
      <w:pPr>
        <w:pStyle w:val="150"/>
        <w:numPr>
          <w:ilvl w:val="0"/>
          <w:numId w:val="23"/>
        </w:numPr>
      </w:pPr>
      <w:r>
        <w:rPr>
          <w:rFonts w:hint="eastAsia"/>
        </w:rPr>
        <w:t>文件和记录控制程序对PSR文件和记录的种类、编码、内容、格式、编审批控制等作出规定；</w:t>
      </w:r>
    </w:p>
    <w:p>
      <w:pPr>
        <w:pStyle w:val="150"/>
        <w:numPr>
          <w:ilvl w:val="0"/>
          <w:numId w:val="23"/>
        </w:numPr>
      </w:pPr>
      <w:r>
        <w:rPr>
          <w:rFonts w:hint="eastAsia"/>
        </w:rPr>
        <w:t>进度控制程序对PSR进度计划的编制、执行和跟踪作出规定；</w:t>
      </w:r>
    </w:p>
    <w:p>
      <w:pPr>
        <w:pStyle w:val="150"/>
        <w:numPr>
          <w:ilvl w:val="0"/>
          <w:numId w:val="23"/>
        </w:numPr>
      </w:pPr>
      <w:r>
        <w:rPr>
          <w:rFonts w:hint="eastAsia"/>
        </w:rPr>
        <w:t>会议制度对PSR实施期间各类会议的内容、组织、会议行动、会后跟踪等作出规定。</w:t>
      </w:r>
      <w:r>
        <w:t xml:space="preserve"> </w:t>
      </w:r>
    </w:p>
    <w:p>
      <w:pPr>
        <w:pStyle w:val="44"/>
        <w:spacing w:before="0" w:beforeLines="0" w:after="0" w:afterLines="0"/>
        <w:rPr>
          <w:rFonts w:hint="eastAsia"/>
        </w:rPr>
      </w:pPr>
      <w:r>
        <w:rPr>
          <w:rFonts w:hint="eastAsia"/>
        </w:rPr>
        <w:t>编制PSR工作文件</w:t>
      </w:r>
    </w:p>
    <w:p>
      <w:pPr>
        <w:pStyle w:val="27"/>
        <w:ind w:firstLine="0" w:firstLineChars="0"/>
        <w:rPr>
          <w:rFonts w:hAnsi="宋体"/>
          <w:szCs w:val="21"/>
        </w:rPr>
      </w:pPr>
      <w:r>
        <w:rPr>
          <w:rFonts w:hAnsi="宋体"/>
          <w:szCs w:val="21"/>
        </w:rPr>
        <w:t>5</w:t>
      </w:r>
      <w:r>
        <w:rPr>
          <w:rFonts w:hint="eastAsia" w:hAnsi="宋体"/>
          <w:szCs w:val="21"/>
        </w:rPr>
        <w:t>.</w:t>
      </w:r>
      <w:r>
        <w:rPr>
          <w:rFonts w:hAnsi="宋体"/>
          <w:szCs w:val="21"/>
        </w:rPr>
        <w:t>6</w:t>
      </w:r>
      <w:r>
        <w:rPr>
          <w:rFonts w:hint="eastAsia" w:hAnsi="宋体"/>
          <w:szCs w:val="21"/>
        </w:rPr>
        <w:t>.</w:t>
      </w:r>
      <w:r>
        <w:rPr>
          <w:rFonts w:hAnsi="宋体"/>
          <w:szCs w:val="21"/>
        </w:rPr>
        <w:t xml:space="preserve">1 </w:t>
      </w:r>
      <w:r>
        <w:rPr>
          <w:rFonts w:hint="eastAsia"/>
        </w:rPr>
        <w:t>应编制一系列指导性文件以确保评价工作按统一的要求开展，首先应制定PSR大纲，其次应在PSR大纲指导下编制各要素、专项的评价程序和必要的实施细则，以保证各要素/专项评价工作能按规定的方法开展，并能相互衔接。</w:t>
      </w:r>
      <w:r>
        <w:rPr>
          <w:rFonts w:hAnsi="宋体"/>
          <w:szCs w:val="21"/>
        </w:rPr>
        <w:t xml:space="preserve"> </w:t>
      </w:r>
    </w:p>
    <w:p>
      <w:pPr>
        <w:pStyle w:val="27"/>
        <w:ind w:firstLine="0" w:firstLineChars="0"/>
        <w:rPr>
          <w:rFonts w:hint="eastAsia" w:ascii="黑体" w:hAnsi="黑体" w:eastAsia="黑体"/>
          <w:szCs w:val="21"/>
        </w:rPr>
      </w:pPr>
      <w:r>
        <w:rPr>
          <w:rFonts w:ascii="黑体" w:hAnsi="黑体" w:eastAsia="黑体"/>
          <w:szCs w:val="21"/>
        </w:rPr>
        <w:t>5</w:t>
      </w:r>
      <w:r>
        <w:rPr>
          <w:rFonts w:hint="eastAsia" w:ascii="黑体" w:hAnsi="黑体" w:eastAsia="黑体"/>
          <w:szCs w:val="21"/>
        </w:rPr>
        <w:t>.</w:t>
      </w:r>
      <w:r>
        <w:rPr>
          <w:rFonts w:ascii="黑体" w:hAnsi="黑体" w:eastAsia="黑体"/>
          <w:szCs w:val="21"/>
        </w:rPr>
        <w:t>6</w:t>
      </w:r>
      <w:r>
        <w:rPr>
          <w:rFonts w:hint="eastAsia" w:ascii="黑体" w:hAnsi="黑体" w:eastAsia="黑体"/>
          <w:szCs w:val="21"/>
        </w:rPr>
        <w:t>.</w:t>
      </w:r>
      <w:r>
        <w:rPr>
          <w:rFonts w:ascii="黑体" w:hAnsi="黑体" w:eastAsia="黑体"/>
          <w:szCs w:val="21"/>
        </w:rPr>
        <w:t xml:space="preserve">2 </w:t>
      </w:r>
      <w:r>
        <w:rPr>
          <w:rFonts w:hint="eastAsia" w:ascii="黑体" w:hAnsi="黑体" w:eastAsia="黑体"/>
          <w:szCs w:val="21"/>
        </w:rPr>
        <w:t>PSR大纲制定</w:t>
      </w:r>
    </w:p>
    <w:p>
      <w:pPr>
        <w:pStyle w:val="146"/>
        <w:ind w:firstLine="420"/>
      </w:pPr>
      <w:r>
        <w:rPr>
          <w:rFonts w:hint="eastAsia"/>
        </w:rPr>
        <w:t>PSR大纲是PSR项目团队开展评价工作依据。</w:t>
      </w:r>
    </w:p>
    <w:p>
      <w:pPr>
        <w:pStyle w:val="146"/>
        <w:ind w:firstLine="420"/>
      </w:pPr>
      <w:r>
        <w:rPr>
          <w:rFonts w:hint="eastAsia"/>
        </w:rPr>
        <w:t>核电厂定期安全评价正式实施前，应编制PSR大纲。PSR大纲是对核电厂定期安全评价工作的总体安排，内容包括评价依据（安全基准、现行安全标准和实践）、评价内容与方法、质量管理、工作计划等内容。</w:t>
      </w:r>
    </w:p>
    <w:p>
      <w:pPr>
        <w:pStyle w:val="146"/>
        <w:ind w:firstLine="420"/>
        <w:rPr>
          <w:rFonts w:hint="eastAsia"/>
        </w:rPr>
      </w:pPr>
      <w:r>
        <w:rPr>
          <w:rFonts w:hint="eastAsia"/>
        </w:rPr>
        <w:t>附录B给出了核电厂PSR大纲的一般内容。</w:t>
      </w:r>
    </w:p>
    <w:p>
      <w:pPr>
        <w:pStyle w:val="27"/>
        <w:ind w:firstLine="0" w:firstLineChars="0"/>
        <w:rPr>
          <w:rFonts w:ascii="黑体" w:hAnsi="黑体" w:eastAsia="黑体"/>
          <w:szCs w:val="21"/>
        </w:rPr>
      </w:pPr>
      <w:r>
        <w:rPr>
          <w:rFonts w:hint="eastAsia" w:ascii="黑体" w:hAnsi="黑体" w:eastAsia="黑体"/>
          <w:szCs w:val="21"/>
        </w:rPr>
        <w:t>5.</w:t>
      </w:r>
      <w:r>
        <w:rPr>
          <w:rFonts w:ascii="黑体" w:hAnsi="黑体" w:eastAsia="黑体"/>
          <w:szCs w:val="21"/>
        </w:rPr>
        <w:t>6</w:t>
      </w:r>
      <w:r>
        <w:rPr>
          <w:rFonts w:hint="eastAsia" w:ascii="黑体" w:hAnsi="黑体" w:eastAsia="黑体"/>
          <w:szCs w:val="21"/>
        </w:rPr>
        <w:t>.</w:t>
      </w:r>
      <w:r>
        <w:rPr>
          <w:rFonts w:ascii="黑体" w:hAnsi="黑体" w:eastAsia="黑体"/>
          <w:szCs w:val="21"/>
        </w:rPr>
        <w:t xml:space="preserve">3 </w:t>
      </w:r>
      <w:r>
        <w:rPr>
          <w:rFonts w:hint="eastAsia" w:ascii="黑体" w:hAnsi="黑体" w:eastAsia="黑体"/>
          <w:szCs w:val="21"/>
        </w:rPr>
        <w:t>要素/专项评价程序、细则编制</w:t>
      </w:r>
    </w:p>
    <w:p>
      <w:pPr>
        <w:pStyle w:val="160"/>
        <w:numPr>
          <w:ilvl w:val="0"/>
          <w:numId w:val="0"/>
        </w:numPr>
        <w:tabs>
          <w:tab w:val="clear" w:pos="1140"/>
        </w:tabs>
        <w:ind w:firstLine="420" w:firstLineChars="200"/>
      </w:pPr>
      <w:r>
        <w:rPr>
          <w:rFonts w:hint="eastAsia"/>
        </w:rPr>
        <w:t>对于每一安全要素/评价专项，均应在PSR正式开始前编制评价程序。要素/专项评价程序用以指导评价工作的实施，其内容应包含评价</w:t>
      </w:r>
      <w:r>
        <w:rPr>
          <w:rFonts w:hint="eastAsia" w:hAnsi="宋体"/>
          <w:szCs w:val="24"/>
        </w:rPr>
        <w:t>范围、输入、方法、过程、接口、记录和报告要求等。</w:t>
      </w:r>
    </w:p>
    <w:p>
      <w:pPr>
        <w:pStyle w:val="160"/>
        <w:numPr>
          <w:ilvl w:val="0"/>
          <w:numId w:val="0"/>
        </w:numPr>
        <w:tabs>
          <w:tab w:val="clear" w:pos="1140"/>
        </w:tabs>
        <w:ind w:firstLine="420" w:firstLineChars="200"/>
      </w:pPr>
      <w:r>
        <w:rPr>
          <w:rFonts w:hint="eastAsia"/>
        </w:rPr>
        <w:t>对于各要素/专项下设的专题，必要的话，可编制评价细则，详细规定评价内容、方法和步骤，以确保要素/专项评价工作的规范、完整开展及成果质量。</w:t>
      </w:r>
    </w:p>
    <w:p>
      <w:pPr>
        <w:pStyle w:val="44"/>
        <w:spacing w:before="0" w:beforeLines="0" w:after="0" w:afterLines="0"/>
      </w:pPr>
      <w:r>
        <w:rPr>
          <w:rFonts w:hint="eastAsia"/>
        </w:rPr>
        <w:t>制订进度计划</w:t>
      </w:r>
    </w:p>
    <w:p>
      <w:pPr>
        <w:pStyle w:val="27"/>
      </w:pPr>
      <w:r>
        <w:rPr>
          <w:rFonts w:hint="eastAsia"/>
        </w:rPr>
        <w:t>为了在规定的期限内完成定期安全评价，应制订详细的进度计划。</w:t>
      </w:r>
    </w:p>
    <w:p>
      <w:pPr>
        <w:pStyle w:val="27"/>
        <w:rPr>
          <w:rFonts w:hint="eastAsia"/>
        </w:rPr>
      </w:pPr>
      <w:r>
        <w:rPr>
          <w:rFonts w:hint="eastAsia"/>
        </w:rPr>
        <w:t>编制进度计划时，应考虑各要素/专项之间的输出和输入衔接。</w:t>
      </w:r>
    </w:p>
    <w:p>
      <w:pPr>
        <w:pStyle w:val="47"/>
        <w:spacing w:before="0" w:beforeLines="0" w:after="0" w:afterLines="0"/>
        <w:ind w:left="0"/>
        <w:rPr>
          <w:rFonts w:hint="eastAsia"/>
        </w:rPr>
      </w:pPr>
      <w:bookmarkStart w:id="113" w:name="_Toc129250165"/>
      <w:r>
        <w:rPr>
          <w:rFonts w:hint="eastAsia"/>
        </w:rPr>
        <w:t>执行评价</w:t>
      </w:r>
      <w:bookmarkEnd w:id="113"/>
    </w:p>
    <w:p>
      <w:pPr>
        <w:pStyle w:val="44"/>
        <w:spacing w:before="0" w:beforeLines="0" w:after="0" w:afterLines="0"/>
        <w:rPr>
          <w:rFonts w:hint="eastAsia"/>
        </w:rPr>
      </w:pPr>
      <w:r>
        <w:rPr>
          <w:rFonts w:hint="eastAsia"/>
        </w:rPr>
        <w:t>要素/专项评价</w:t>
      </w:r>
    </w:p>
    <w:p>
      <w:pPr>
        <w:rPr>
          <w:rFonts w:ascii="黑体" w:hAnsi="黑体" w:eastAsia="黑体"/>
          <w:szCs w:val="21"/>
        </w:rPr>
      </w:pPr>
      <w:r>
        <w:rPr>
          <w:rFonts w:hint="eastAsia" w:ascii="黑体" w:hAnsi="黑体" w:eastAsia="黑体"/>
          <w:szCs w:val="21"/>
        </w:rPr>
        <w:t>6.</w:t>
      </w:r>
      <w:r>
        <w:rPr>
          <w:rFonts w:ascii="黑体" w:hAnsi="黑体" w:eastAsia="黑体"/>
          <w:szCs w:val="21"/>
        </w:rPr>
        <w:t>1</w:t>
      </w:r>
      <w:r>
        <w:rPr>
          <w:rFonts w:hint="eastAsia" w:ascii="黑体" w:hAnsi="黑体" w:eastAsia="黑体"/>
          <w:szCs w:val="21"/>
        </w:rPr>
        <w:t>.</w:t>
      </w:r>
      <w:r>
        <w:rPr>
          <w:rFonts w:ascii="黑体" w:hAnsi="黑体" w:eastAsia="黑体"/>
          <w:szCs w:val="21"/>
        </w:rPr>
        <w:t xml:space="preserve">1 </w:t>
      </w:r>
      <w:r>
        <w:rPr>
          <w:rFonts w:hint="eastAsia" w:ascii="黑体" w:hAnsi="黑体" w:eastAsia="黑体"/>
          <w:szCs w:val="21"/>
        </w:rPr>
        <w:t>要素/专项评价方法</w:t>
      </w:r>
    </w:p>
    <w:p>
      <w:pPr>
        <w:pStyle w:val="161"/>
        <w:spacing w:before="0" w:after="0" w:line="240" w:lineRule="auto"/>
        <w:ind w:left="0" w:leftChars="0" w:right="174" w:rightChars="83" w:firstLine="420" w:firstLineChars="200"/>
        <w:rPr>
          <w:rFonts w:ascii="Times New Roman" w:hAnsi="Times New Roman"/>
          <w:color w:val="000000"/>
          <w:sz w:val="21"/>
          <w:szCs w:val="21"/>
        </w:rPr>
      </w:pPr>
      <w:r>
        <w:rPr>
          <w:rFonts w:hint="eastAsia" w:ascii="Times New Roman" w:hAnsi="Times New Roman"/>
          <w:color w:val="000000"/>
          <w:sz w:val="21"/>
          <w:szCs w:val="21"/>
          <w:lang w:eastAsia="zh-CN"/>
        </w:rPr>
        <w:t>应根据安全基准、</w:t>
      </w:r>
      <w:r>
        <w:rPr>
          <w:rFonts w:ascii="Times New Roman" w:hAnsi="Times New Roman"/>
          <w:color w:val="000000"/>
          <w:sz w:val="21"/>
          <w:szCs w:val="21"/>
        </w:rPr>
        <w:t>现行安全标准和实践对</w:t>
      </w:r>
      <w:r>
        <w:rPr>
          <w:rFonts w:hint="eastAsia" w:ascii="Times New Roman" w:hAnsi="Times New Roman"/>
          <w:color w:val="000000"/>
          <w:sz w:val="21"/>
          <w:szCs w:val="21"/>
          <w:lang w:eastAsia="zh-CN"/>
        </w:rPr>
        <w:t>各</w:t>
      </w:r>
      <w:r>
        <w:rPr>
          <w:rFonts w:ascii="Times New Roman" w:hAnsi="Times New Roman"/>
          <w:color w:val="000000"/>
          <w:sz w:val="21"/>
          <w:szCs w:val="21"/>
        </w:rPr>
        <w:t>安全要素</w:t>
      </w:r>
      <w:r>
        <w:rPr>
          <w:rFonts w:hint="eastAsia" w:ascii="Times New Roman" w:hAnsi="Times New Roman"/>
          <w:color w:val="000000"/>
          <w:sz w:val="21"/>
          <w:szCs w:val="21"/>
          <w:lang w:eastAsia="zh-CN"/>
        </w:rPr>
        <w:t>和评价专项</w:t>
      </w:r>
      <w:r>
        <w:rPr>
          <w:rFonts w:ascii="Times New Roman" w:hAnsi="Times New Roman"/>
          <w:color w:val="000000"/>
          <w:sz w:val="21"/>
          <w:szCs w:val="21"/>
        </w:rPr>
        <w:t>进行全面评价</w:t>
      </w:r>
      <w:r>
        <w:rPr>
          <w:rFonts w:hint="eastAsia" w:ascii="Times New Roman" w:hAnsi="Times New Roman"/>
          <w:color w:val="000000"/>
          <w:sz w:val="21"/>
          <w:szCs w:val="21"/>
          <w:lang w:eastAsia="zh-CN"/>
        </w:rPr>
        <w:t>：</w:t>
      </w:r>
    </w:p>
    <w:p>
      <w:pPr>
        <w:pStyle w:val="150"/>
        <w:numPr>
          <w:ilvl w:val="0"/>
          <w:numId w:val="24"/>
        </w:numPr>
      </w:pPr>
      <w:r>
        <w:t>对比</w:t>
      </w:r>
      <w:r>
        <w:rPr>
          <w:rFonts w:hint="eastAsia"/>
        </w:rPr>
        <w:t>安全基准</w:t>
      </w:r>
      <w:r>
        <w:t>，</w:t>
      </w:r>
      <w:r>
        <w:rPr>
          <w:rFonts w:hint="eastAsia"/>
        </w:rPr>
        <w:t>开展</w:t>
      </w:r>
      <w:r>
        <w:t>符合性审查，</w:t>
      </w:r>
      <w:r>
        <w:rPr>
          <w:rFonts w:hint="eastAsia" w:hAnsi="宋体"/>
          <w:szCs w:val="21"/>
          <w:lang/>
        </w:rPr>
        <w:t>确定核电厂状态是否满足安全基准的要求，</w:t>
      </w:r>
      <w:r>
        <w:t>找出</w:t>
      </w:r>
      <w:r>
        <w:rPr>
          <w:rFonts w:hint="eastAsia"/>
        </w:rPr>
        <w:t>安全基准相关的差异</w:t>
      </w:r>
      <w:r>
        <w:t>项</w:t>
      </w:r>
      <w:r>
        <w:rPr>
          <w:rFonts w:hint="eastAsia"/>
        </w:rPr>
        <w:t>；</w:t>
      </w:r>
    </w:p>
    <w:p>
      <w:pPr>
        <w:pStyle w:val="150"/>
        <w:numPr>
          <w:ilvl w:val="0"/>
          <w:numId w:val="24"/>
        </w:numPr>
        <w:rPr>
          <w:rFonts w:hint="eastAsia"/>
        </w:rPr>
      </w:pPr>
      <w:r>
        <w:t>对比现行安全标准</w:t>
      </w:r>
      <w:r>
        <w:rPr>
          <w:rFonts w:hint="eastAsia"/>
        </w:rPr>
        <w:t>和</w:t>
      </w:r>
      <w:r>
        <w:t>实践，</w:t>
      </w:r>
      <w:r>
        <w:rPr>
          <w:rFonts w:hint="eastAsia"/>
        </w:rPr>
        <w:t>开展符合性审查，确定核电厂</w:t>
      </w:r>
      <w:r>
        <w:t>状态是否</w:t>
      </w:r>
      <w:r>
        <w:rPr>
          <w:rFonts w:hint="eastAsia"/>
        </w:rPr>
        <w:t>与</w:t>
      </w:r>
      <w:r>
        <w:t>现行安全标准</w:t>
      </w:r>
      <w:r>
        <w:rPr>
          <w:rFonts w:hint="eastAsia"/>
        </w:rPr>
        <w:t>或实践相符</w:t>
      </w:r>
      <w:r>
        <w:t>，找出</w:t>
      </w:r>
      <w:r>
        <w:rPr>
          <w:rFonts w:hint="eastAsia"/>
        </w:rPr>
        <w:t>差异项</w:t>
      </w:r>
      <w:r>
        <w:t>。</w:t>
      </w:r>
    </w:p>
    <w:p>
      <w:pPr>
        <w:pStyle w:val="44"/>
        <w:numPr>
          <w:ilvl w:val="0"/>
          <w:numId w:val="0"/>
        </w:numPr>
        <w:spacing w:before="0" w:beforeLines="0" w:after="0" w:afterLines="0"/>
      </w:pPr>
      <w:bookmarkStart w:id="114" w:name="_Toc95726430"/>
      <w:r>
        <w:rPr>
          <w:rFonts w:hint="eastAsia"/>
        </w:rPr>
        <w:t>6.</w:t>
      </w:r>
      <w:r>
        <w:t>1</w:t>
      </w:r>
      <w:r>
        <w:rPr>
          <w:rFonts w:hint="eastAsia"/>
        </w:rPr>
        <w:t>.</w:t>
      </w:r>
      <w:r>
        <w:t>2</w:t>
      </w:r>
      <w:r>
        <w:rPr>
          <w:rFonts w:hint="eastAsia"/>
        </w:rPr>
        <w:t>差异项分析及</w:t>
      </w:r>
      <w:bookmarkEnd w:id="114"/>
      <w:r>
        <w:rPr>
          <w:rFonts w:hint="eastAsia"/>
        </w:rPr>
        <w:t>处置</w:t>
      </w:r>
    </w:p>
    <w:p>
      <w:pPr>
        <w:pStyle w:val="158"/>
        <w:numPr>
          <w:ilvl w:val="0"/>
          <w:numId w:val="0"/>
        </w:numPr>
        <w:tabs>
          <w:tab w:val="clear" w:pos="1140"/>
        </w:tabs>
        <w:ind w:left="142" w:hanging="142"/>
        <w:rPr>
          <w:rFonts w:ascii="黑体" w:hAnsi="黑体" w:eastAsia="黑体"/>
        </w:rPr>
      </w:pPr>
      <w:r>
        <w:rPr>
          <w:rFonts w:hint="eastAsia" w:ascii="黑体" w:hAnsi="黑体" w:eastAsia="黑体"/>
        </w:rPr>
        <w:t>6.</w:t>
      </w:r>
      <w:r>
        <w:rPr>
          <w:rFonts w:ascii="黑体" w:hAnsi="黑体" w:eastAsia="黑体"/>
        </w:rPr>
        <w:t>1</w:t>
      </w:r>
      <w:r>
        <w:rPr>
          <w:rFonts w:hint="eastAsia" w:ascii="黑体" w:hAnsi="黑体" w:eastAsia="黑体"/>
        </w:rPr>
        <w:t>.</w:t>
      </w:r>
      <w:r>
        <w:rPr>
          <w:rFonts w:ascii="黑体" w:hAnsi="黑体" w:eastAsia="黑体"/>
        </w:rPr>
        <w:t>2</w:t>
      </w:r>
      <w:r>
        <w:rPr>
          <w:rFonts w:hint="eastAsia" w:ascii="黑体" w:hAnsi="黑体" w:eastAsia="黑体"/>
        </w:rPr>
        <w:t>.</w:t>
      </w:r>
      <w:r>
        <w:rPr>
          <w:rFonts w:ascii="黑体" w:hAnsi="黑体" w:eastAsia="黑体"/>
        </w:rPr>
        <w:t xml:space="preserve">1 </w:t>
      </w:r>
      <w:r>
        <w:rPr>
          <w:rFonts w:hint="eastAsia" w:ascii="黑体" w:hAnsi="黑体" w:eastAsia="黑体"/>
        </w:rPr>
        <w:t>差异项提出及安全影响分析</w:t>
      </w:r>
    </w:p>
    <w:p>
      <w:pPr>
        <w:pStyle w:val="158"/>
        <w:numPr>
          <w:ilvl w:val="0"/>
          <w:numId w:val="0"/>
        </w:numPr>
        <w:tabs>
          <w:tab w:val="clear" w:pos="1140"/>
        </w:tabs>
        <w:ind w:firstLine="420" w:firstLineChars="200"/>
      </w:pPr>
      <w:r>
        <w:rPr>
          <w:rFonts w:hint="eastAsia"/>
        </w:rPr>
        <w:t>通过符合性审查和安全再评价，可能发现核电厂设计、SSCs实际状态、运行、管理等方面不符合安全基准或现行安全标准和实践的差异项。</w:t>
      </w:r>
    </w:p>
    <w:p>
      <w:pPr>
        <w:pStyle w:val="158"/>
        <w:numPr>
          <w:ilvl w:val="0"/>
          <w:numId w:val="0"/>
        </w:numPr>
        <w:tabs>
          <w:tab w:val="clear" w:pos="1140"/>
        </w:tabs>
        <w:ind w:firstLine="420" w:firstLineChars="200"/>
        <w:rPr>
          <w:rFonts w:hint="eastAsia"/>
          <w:szCs w:val="21"/>
        </w:rPr>
      </w:pPr>
      <w:r>
        <w:rPr>
          <w:rFonts w:hint="eastAsia"/>
        </w:rPr>
        <w:t>对于发现的不符合安全基准或现行安全标准和实践的差异项，应采用确定论、概率论、工程判断等方法评价其安全影响。经分析确认不会对核电厂安全运行造成实质性影响的差</w:t>
      </w:r>
      <w:r>
        <w:rPr>
          <w:rFonts w:hint="eastAsia"/>
          <w:szCs w:val="21"/>
        </w:rPr>
        <w:t>异项，无须继续关注。</w:t>
      </w:r>
    </w:p>
    <w:p>
      <w:pPr>
        <w:pStyle w:val="158"/>
        <w:numPr>
          <w:ilvl w:val="0"/>
          <w:numId w:val="0"/>
        </w:numPr>
        <w:tabs>
          <w:tab w:val="clear" w:pos="1140"/>
        </w:tabs>
        <w:ind w:firstLine="420" w:firstLineChars="200"/>
        <w:rPr>
          <w:szCs w:val="21"/>
        </w:rPr>
      </w:pPr>
      <w:r>
        <w:rPr>
          <w:rFonts w:hint="eastAsia"/>
          <w:szCs w:val="21"/>
        </w:rPr>
        <w:t>定期安全评价期间应对电厂存在的强项予以足够的关注，确定的强项是总体评价的重要输入。PSR项目组还应致力于将评价发现的强项推广至整个核工业领域，促进行业安全水平不断提升。</w:t>
      </w:r>
    </w:p>
    <w:p>
      <w:pPr>
        <w:pStyle w:val="158"/>
        <w:numPr>
          <w:ilvl w:val="0"/>
          <w:numId w:val="0"/>
        </w:numPr>
        <w:tabs>
          <w:tab w:val="clear" w:pos="1140"/>
        </w:tabs>
        <w:ind w:left="142" w:hanging="142"/>
        <w:rPr>
          <w:rFonts w:ascii="黑体" w:hAnsi="黑体" w:eastAsia="黑体"/>
          <w:szCs w:val="21"/>
        </w:rPr>
      </w:pPr>
      <w:r>
        <w:rPr>
          <w:rFonts w:hint="eastAsia" w:ascii="黑体" w:hAnsi="黑体" w:eastAsia="黑体"/>
          <w:szCs w:val="21"/>
        </w:rPr>
        <w:t>6.</w:t>
      </w:r>
      <w:r>
        <w:rPr>
          <w:rFonts w:ascii="黑体" w:hAnsi="黑体" w:eastAsia="黑体"/>
          <w:szCs w:val="21"/>
        </w:rPr>
        <w:t>1</w:t>
      </w:r>
      <w:r>
        <w:rPr>
          <w:rFonts w:hint="eastAsia" w:ascii="黑体" w:hAnsi="黑体" w:eastAsia="黑体"/>
          <w:szCs w:val="21"/>
        </w:rPr>
        <w:t>.</w:t>
      </w:r>
      <w:r>
        <w:rPr>
          <w:rFonts w:ascii="黑体" w:hAnsi="黑体" w:eastAsia="黑体"/>
          <w:szCs w:val="21"/>
        </w:rPr>
        <w:t>2</w:t>
      </w:r>
      <w:r>
        <w:rPr>
          <w:rFonts w:hint="eastAsia" w:ascii="黑体" w:hAnsi="黑体" w:eastAsia="黑体"/>
          <w:szCs w:val="21"/>
        </w:rPr>
        <w:t>.</w:t>
      </w:r>
      <w:r>
        <w:rPr>
          <w:rFonts w:ascii="黑体" w:hAnsi="黑体" w:eastAsia="黑体"/>
          <w:szCs w:val="21"/>
        </w:rPr>
        <w:t xml:space="preserve">2 </w:t>
      </w:r>
      <w:r>
        <w:rPr>
          <w:rFonts w:hint="eastAsia" w:ascii="黑体" w:hAnsi="黑体" w:eastAsia="黑体"/>
          <w:szCs w:val="21"/>
        </w:rPr>
        <w:t>弱项处置</w:t>
      </w:r>
    </w:p>
    <w:p>
      <w:pPr>
        <w:pStyle w:val="161"/>
        <w:spacing w:before="0" w:after="0" w:line="240" w:lineRule="auto"/>
        <w:ind w:left="0" w:leftChars="0" w:right="174" w:rightChars="83" w:firstLine="420" w:firstLineChars="200"/>
        <w:rPr>
          <w:rFonts w:ascii="宋体" w:hAnsi="Times New Roman"/>
          <w:kern w:val="0"/>
          <w:sz w:val="21"/>
          <w:szCs w:val="21"/>
          <w:lang w:val="en-US" w:eastAsia="zh-CN"/>
        </w:rPr>
      </w:pPr>
      <w:r>
        <w:rPr>
          <w:rFonts w:hint="eastAsia" w:ascii="宋体" w:hAnsi="Times New Roman"/>
          <w:kern w:val="0"/>
          <w:sz w:val="21"/>
          <w:szCs w:val="21"/>
          <w:lang w:val="en-US" w:eastAsia="zh-CN"/>
        </w:rPr>
        <w:t>通过安全影响分析，确认会对电厂安全运行造成实质性影响的差异项，归为弱项。弱项可分成管理和技术两类。</w:t>
      </w:r>
    </w:p>
    <w:p>
      <w:pPr>
        <w:pStyle w:val="161"/>
        <w:spacing w:before="0" w:after="0" w:line="240" w:lineRule="auto"/>
        <w:ind w:left="0" w:leftChars="0" w:right="174" w:rightChars="83" w:firstLine="420" w:firstLineChars="200"/>
        <w:rPr>
          <w:rFonts w:ascii="宋体" w:hAnsi="Times New Roman"/>
          <w:kern w:val="0"/>
          <w:sz w:val="21"/>
          <w:lang w:val="en-US" w:eastAsia="zh-CN"/>
        </w:rPr>
      </w:pPr>
      <w:r>
        <w:rPr>
          <w:rFonts w:hint="eastAsia" w:ascii="宋体" w:hAnsi="Times New Roman"/>
          <w:kern w:val="0"/>
          <w:sz w:val="21"/>
          <w:lang w:val="en-US" w:eastAsia="zh-CN"/>
        </w:rPr>
        <w:t>对于管理类弱项，PSR评价人员应提出合理、可行的纠正或改进建议，如修改程序、完善制度、强化执行、加强监控、人员培训等。</w:t>
      </w:r>
    </w:p>
    <w:p>
      <w:pPr>
        <w:pStyle w:val="161"/>
        <w:spacing w:before="0" w:after="0" w:line="240" w:lineRule="auto"/>
        <w:ind w:left="0" w:leftChars="0" w:right="174" w:rightChars="83" w:firstLine="420" w:firstLineChars="200"/>
        <w:rPr>
          <w:rFonts w:ascii="宋体" w:hAnsi="Times New Roman"/>
          <w:kern w:val="0"/>
          <w:sz w:val="21"/>
          <w:lang w:val="en-US" w:eastAsia="zh-CN"/>
        </w:rPr>
      </w:pPr>
      <w:r>
        <w:rPr>
          <w:rFonts w:hint="eastAsia" w:ascii="宋体" w:hAnsi="Times New Roman"/>
          <w:kern w:val="0"/>
          <w:sz w:val="21"/>
          <w:lang w:val="en-US" w:eastAsia="zh-CN"/>
        </w:rPr>
        <w:t>对于技术类弱项，PSR评价人员应提出相应的处置建议：针对低于安全基准的弱项，制定相应的纠正行动；对于满足安全基准但低于现行标准或实践的弱项，提出对应的安全改进方案。对于技术类弱项的处置（实体改造或文件修改），可提出多个方案，以便进行比选。</w:t>
      </w:r>
    </w:p>
    <w:p>
      <w:pPr>
        <w:pStyle w:val="161"/>
        <w:spacing w:before="0" w:after="0" w:line="240" w:lineRule="auto"/>
        <w:ind w:left="0" w:leftChars="0" w:right="174" w:rightChars="83" w:firstLine="420" w:firstLineChars="200"/>
        <w:rPr>
          <w:rFonts w:hint="eastAsia" w:ascii="宋体" w:hAnsi="Times New Roman"/>
          <w:kern w:val="0"/>
          <w:sz w:val="21"/>
          <w:lang w:val="en-US" w:eastAsia="zh-CN"/>
        </w:rPr>
      </w:pPr>
      <w:r>
        <w:rPr>
          <w:rFonts w:hint="eastAsia" w:ascii="Times New Roman" w:hAnsi="Times New Roman"/>
          <w:sz w:val="21"/>
          <w:szCs w:val="21"/>
          <w:lang w:eastAsia="zh-CN"/>
        </w:rPr>
        <w:t>如果发现的弱项可能对工作人员、公众或环境造成即时重大风险，应建议电厂立即采取行动。</w:t>
      </w:r>
    </w:p>
    <w:p>
      <w:pPr>
        <w:pStyle w:val="44"/>
        <w:numPr>
          <w:ilvl w:val="0"/>
          <w:numId w:val="0"/>
        </w:numPr>
        <w:spacing w:before="0" w:beforeLines="0" w:after="0" w:afterLines="0"/>
      </w:pPr>
      <w:r>
        <w:rPr>
          <w:rFonts w:hint="eastAsia"/>
        </w:rPr>
        <w:t>6.</w:t>
      </w:r>
      <w:r>
        <w:t>1</w:t>
      </w:r>
      <w:r>
        <w:rPr>
          <w:rFonts w:hint="eastAsia"/>
        </w:rPr>
        <w:t>.</w:t>
      </w:r>
      <w:r>
        <w:t>3</w:t>
      </w:r>
      <w:r>
        <w:rPr>
          <w:rFonts w:hint="eastAsia"/>
        </w:rPr>
        <w:t>要素/专项报告</w:t>
      </w:r>
    </w:p>
    <w:p>
      <w:pPr>
        <w:pStyle w:val="150"/>
        <w:tabs>
          <w:tab w:val="clear" w:pos="1266"/>
        </w:tabs>
        <w:ind w:left="0" w:firstLine="420" w:firstLineChars="200"/>
        <w:rPr>
          <w:rFonts w:hAnsi="宋体"/>
          <w:color w:val="000000"/>
        </w:rPr>
      </w:pPr>
      <w:r>
        <w:rPr>
          <w:rFonts w:hint="eastAsia" w:hAnsi="宋体"/>
          <w:color w:val="000000"/>
        </w:rPr>
        <w:t>每个安全要素/评价专项都应编写评价报告。</w:t>
      </w:r>
    </w:p>
    <w:p>
      <w:pPr>
        <w:pStyle w:val="161"/>
        <w:spacing w:before="0" w:after="0" w:line="240" w:lineRule="auto"/>
        <w:ind w:left="0" w:leftChars="0" w:right="174" w:rightChars="83" w:firstLine="420" w:firstLineChars="200"/>
        <w:rPr>
          <w:rFonts w:ascii="宋体" w:hAnsi="Times New Roman"/>
          <w:kern w:val="0"/>
          <w:sz w:val="21"/>
          <w:lang w:val="en-US" w:eastAsia="zh-CN"/>
        </w:rPr>
      </w:pPr>
      <w:r>
        <w:rPr>
          <w:rFonts w:hint="eastAsia" w:ascii="宋体" w:hAnsi="Times New Roman"/>
          <w:kern w:val="0"/>
          <w:sz w:val="21"/>
          <w:lang w:val="en-US" w:eastAsia="zh-CN"/>
        </w:rPr>
        <w:t>PSR评价发现的所有差异项，都应写入要素/专项评价报告。</w:t>
      </w:r>
    </w:p>
    <w:p>
      <w:pPr>
        <w:pStyle w:val="44"/>
        <w:numPr>
          <w:ilvl w:val="0"/>
          <w:numId w:val="0"/>
        </w:numPr>
        <w:spacing w:before="0" w:beforeLines="0" w:after="0" w:afterLines="0"/>
      </w:pPr>
      <w:r>
        <w:rPr>
          <w:rFonts w:hint="eastAsia"/>
        </w:rPr>
        <w:t>6.</w:t>
      </w:r>
      <w:r>
        <w:t>1</w:t>
      </w:r>
      <w:r>
        <w:rPr>
          <w:rFonts w:hint="eastAsia"/>
        </w:rPr>
        <w:t>.</w:t>
      </w:r>
      <w:r>
        <w:t xml:space="preserve">4 </w:t>
      </w:r>
      <w:r>
        <w:rPr>
          <w:rFonts w:hint="eastAsia"/>
        </w:rPr>
        <w:t>要素/专项间的支持与配合</w:t>
      </w:r>
    </w:p>
    <w:p>
      <w:pPr>
        <w:pStyle w:val="158"/>
        <w:numPr>
          <w:ilvl w:val="0"/>
          <w:numId w:val="0"/>
        </w:numPr>
        <w:tabs>
          <w:tab w:val="clear" w:pos="1140"/>
        </w:tabs>
        <w:ind w:firstLine="420" w:firstLineChars="200"/>
      </w:pPr>
      <w:r>
        <w:rPr>
          <w:rFonts w:hint="eastAsia"/>
        </w:rPr>
        <w:t>PSR是对核电厂设计、运行、管理、SSCs实际状态的系统性评价，所有安全要素和评价专项构成了一个不可割裂的整体。在编制PSR大纲时，应充分考虑各要素/专项的评价边界，确定相互间的关联。</w:t>
      </w:r>
    </w:p>
    <w:p>
      <w:pPr>
        <w:pStyle w:val="158"/>
        <w:numPr>
          <w:ilvl w:val="0"/>
          <w:numId w:val="0"/>
        </w:numPr>
        <w:tabs>
          <w:tab w:val="clear" w:pos="1140"/>
        </w:tabs>
        <w:ind w:firstLine="420" w:firstLineChars="200"/>
      </w:pPr>
      <w:r>
        <w:rPr>
          <w:rFonts w:hint="eastAsia"/>
        </w:rPr>
        <w:t>不同要素/专项之间的</w:t>
      </w:r>
      <w:r>
        <w:rPr>
          <w:rFonts w:hint="eastAsia" w:hAnsi="宋体"/>
          <w:szCs w:val="21"/>
        </w:rPr>
        <w:t>输出/输入信息的传递时间、传递内容、传递途径等</w:t>
      </w:r>
      <w:r>
        <w:rPr>
          <w:rFonts w:hint="eastAsia"/>
        </w:rPr>
        <w:t>应在PSR工作文件中明确规定。同时，为确保某一要素/专项能及时获得另一要素/专项的评价结果（评价输出），在制定项目进度计划时，应合理设定各工作子项的时间节点。</w:t>
      </w:r>
    </w:p>
    <w:p>
      <w:pPr>
        <w:pStyle w:val="158"/>
        <w:numPr>
          <w:ilvl w:val="0"/>
          <w:numId w:val="0"/>
        </w:numPr>
        <w:tabs>
          <w:tab w:val="clear" w:pos="1140"/>
        </w:tabs>
        <w:ind w:firstLine="420" w:firstLineChars="200"/>
      </w:pPr>
      <w:r>
        <w:rPr>
          <w:rFonts w:hint="eastAsia"/>
        </w:rPr>
        <w:t>除在PSR策划和准备阶段确定的不同要素/专项间的协作事项外，评价过程中各要素/专项间应尽可能多地开展沟通和讨论，实现良性互动，某一个要素/专项发现的细微差异可能成为另一要素/专项的重大问题线索。</w:t>
      </w:r>
    </w:p>
    <w:p>
      <w:pPr>
        <w:pStyle w:val="44"/>
        <w:spacing w:before="0" w:beforeLines="0" w:after="0" w:afterLines="0"/>
      </w:pPr>
      <w:bookmarkStart w:id="115" w:name="_Toc95726431"/>
      <w:r>
        <w:rPr>
          <w:rFonts w:hint="eastAsia"/>
        </w:rPr>
        <w:t>总体评价及纠正行动和安全改进计划制定</w:t>
      </w:r>
      <w:bookmarkEnd w:id="115"/>
    </w:p>
    <w:p>
      <w:pPr>
        <w:rPr>
          <w:rFonts w:ascii="黑体" w:hAnsi="黑体" w:eastAsia="黑体"/>
          <w:szCs w:val="21"/>
        </w:rPr>
      </w:pPr>
      <w:r>
        <w:rPr>
          <w:rFonts w:hint="eastAsia" w:ascii="黑体" w:hAnsi="黑体" w:eastAsia="黑体"/>
          <w:szCs w:val="21"/>
        </w:rPr>
        <w:t>6.</w:t>
      </w:r>
      <w:r>
        <w:rPr>
          <w:rFonts w:ascii="黑体" w:hAnsi="黑体" w:eastAsia="黑体"/>
          <w:szCs w:val="21"/>
        </w:rPr>
        <w:t>2</w:t>
      </w:r>
      <w:r>
        <w:rPr>
          <w:rFonts w:hint="eastAsia" w:ascii="黑体" w:hAnsi="黑体" w:eastAsia="黑体"/>
          <w:szCs w:val="21"/>
        </w:rPr>
        <w:t>.</w:t>
      </w:r>
      <w:r>
        <w:rPr>
          <w:rFonts w:ascii="黑体" w:hAnsi="黑体" w:eastAsia="黑体"/>
          <w:szCs w:val="21"/>
        </w:rPr>
        <w:t xml:space="preserve">1 </w:t>
      </w:r>
      <w:r>
        <w:rPr>
          <w:rFonts w:hint="eastAsia" w:ascii="黑体" w:hAnsi="黑体" w:eastAsia="黑体"/>
          <w:szCs w:val="21"/>
        </w:rPr>
        <w:t>总体评价</w:t>
      </w:r>
    </w:p>
    <w:p>
      <w:pPr>
        <w:pStyle w:val="158"/>
        <w:numPr>
          <w:ilvl w:val="0"/>
          <w:numId w:val="0"/>
        </w:numPr>
        <w:tabs>
          <w:tab w:val="clear" w:pos="1140"/>
        </w:tabs>
        <w:ind w:firstLine="420" w:firstLineChars="200"/>
        <w:rPr>
          <w:rFonts w:hAnsi="宋体"/>
          <w:color w:val="000000"/>
        </w:rPr>
      </w:pPr>
      <w:r>
        <w:rPr>
          <w:rFonts w:hint="eastAsia" w:hAnsi="宋体"/>
          <w:color w:val="000000"/>
        </w:rPr>
        <w:t>应通过总体评价，从整体上评估各安全要素的所有差异项对安全的影响，确定核电厂满足纵深防御安全要求的程度，特别是满足反应性控制、堆芯余热排出和放射性物质包容等基本安全功能的程度。</w:t>
      </w:r>
    </w:p>
    <w:p>
      <w:pPr>
        <w:pStyle w:val="167"/>
        <w:widowControl w:val="0"/>
        <w:ind w:firstLineChars="200"/>
        <w:rPr>
          <w:rFonts w:hAnsi="宋体"/>
          <w:color w:val="000000"/>
        </w:rPr>
      </w:pPr>
      <w:r>
        <w:rPr>
          <w:rFonts w:hint="eastAsia" w:hAnsi="宋体"/>
          <w:color w:val="000000"/>
        </w:rPr>
        <w:t>针对所有发现的弱项，在综合考虑安全影响、总体风险、是否有补偿措施、当前技术水平、纠正/改进的安全收益等因素后，确定最终的处置方案，包括纠正、改进和无须处置等。</w:t>
      </w:r>
    </w:p>
    <w:p>
      <w:pPr>
        <w:pStyle w:val="150"/>
        <w:tabs>
          <w:tab w:val="clear" w:pos="1266"/>
        </w:tabs>
        <w:ind w:left="0" w:firstLine="420" w:firstLineChars="200"/>
      </w:pPr>
      <w:r>
        <w:rPr>
          <w:rFonts w:hint="eastAsia" w:hAnsi="宋体"/>
          <w:color w:val="000000"/>
        </w:rPr>
        <w:t>应</w:t>
      </w:r>
      <w:r>
        <w:rPr>
          <w:rFonts w:hint="eastAsia" w:ascii="Calibri" w:hAnsi="宋体"/>
          <w:color w:val="000000"/>
          <w:szCs w:val="21"/>
        </w:rPr>
        <w:t>对</w:t>
      </w:r>
      <w:r>
        <w:rPr>
          <w:rFonts w:hint="eastAsia" w:hAnsi="宋体"/>
          <w:color w:val="000000"/>
        </w:rPr>
        <w:t>需纠正或改进的每一弱项</w:t>
      </w:r>
      <w:r>
        <w:rPr>
          <w:rFonts w:hint="eastAsia" w:ascii="Calibri" w:hAnsi="宋体"/>
          <w:color w:val="000000"/>
          <w:szCs w:val="21"/>
        </w:rPr>
        <w:t>开展纠正/改进方案可行性分析。</w:t>
      </w:r>
      <w:r>
        <w:rPr>
          <w:rFonts w:hint="eastAsia"/>
        </w:rPr>
        <w:t>如分析表明，纠正/改进行动方案不具备实施可行性，应修改方案，重新分析方案的可行性。如具有多个可实施的纠正行动或安全改进方案，可通过收益成本分析进行比选，确定最优方案。</w:t>
      </w:r>
    </w:p>
    <w:p>
      <w:pPr>
        <w:pStyle w:val="150"/>
        <w:tabs>
          <w:tab w:val="clear" w:pos="1266"/>
        </w:tabs>
        <w:ind w:left="0" w:firstLine="420" w:firstLineChars="200"/>
        <w:rPr>
          <w:rFonts w:hAnsi="宋体"/>
          <w:color w:val="000000"/>
        </w:rPr>
      </w:pPr>
      <w:r>
        <w:rPr>
          <w:rFonts w:hint="eastAsia" w:ascii="Calibri" w:hAnsi="宋体"/>
          <w:color w:val="000000"/>
          <w:szCs w:val="21"/>
        </w:rPr>
        <w:t>在开展纠正/改进行动可行性分析时，</w:t>
      </w:r>
      <w:r>
        <w:rPr>
          <w:rFonts w:hint="eastAsia" w:hAnsi="宋体"/>
          <w:color w:val="000000"/>
        </w:rPr>
        <w:t>应</w:t>
      </w:r>
      <w:r>
        <w:rPr>
          <w:rFonts w:hint="eastAsia" w:ascii="Calibri" w:hAnsi="宋体"/>
          <w:color w:val="000000"/>
          <w:szCs w:val="21"/>
        </w:rPr>
        <w:t>充分考虑各</w:t>
      </w:r>
      <w:r>
        <w:rPr>
          <w:rFonts w:hint="eastAsia" w:hAnsi="宋体"/>
          <w:color w:val="000000"/>
        </w:rPr>
        <w:t>项</w:t>
      </w:r>
      <w:r>
        <w:rPr>
          <w:rFonts w:hint="eastAsia" w:ascii="Calibri" w:hAnsi="宋体"/>
          <w:color w:val="000000"/>
          <w:szCs w:val="21"/>
        </w:rPr>
        <w:t>纠正/改进行动</w:t>
      </w:r>
      <w:r>
        <w:rPr>
          <w:rFonts w:hint="eastAsia" w:hAnsi="宋体"/>
          <w:color w:val="000000"/>
        </w:rPr>
        <w:t>、</w:t>
      </w:r>
      <w:r>
        <w:rPr>
          <w:rFonts w:hint="eastAsia" w:ascii="Calibri" w:hAnsi="宋体"/>
          <w:color w:val="000000"/>
          <w:szCs w:val="21"/>
        </w:rPr>
        <w:t>以及电厂可能存在的补偿措施之间的叠加效应及相互影响。</w:t>
      </w:r>
    </w:p>
    <w:p>
      <w:pPr>
        <w:pStyle w:val="150"/>
        <w:tabs>
          <w:tab w:val="clear" w:pos="1266"/>
        </w:tabs>
        <w:ind w:left="0" w:firstLine="420" w:firstLineChars="200"/>
        <w:rPr>
          <w:rFonts w:hAnsi="宋体"/>
        </w:rPr>
      </w:pPr>
      <w:r>
        <w:rPr>
          <w:rFonts w:hint="eastAsia" w:hAnsi="宋体"/>
          <w:color w:val="000000"/>
        </w:rPr>
        <w:t>通过纠正/改进行动的可行性分析，能确定当前是否具备实施纠正行动或安全改进的条件。</w:t>
      </w:r>
      <w:r>
        <w:rPr>
          <w:rFonts w:hint="eastAsia" w:hAnsi="宋体"/>
        </w:rPr>
        <w:t>对于可实施纠正行动或安全改进的弱项，需根据风险评估情况考虑纠正行动和安全改进实施前应采取的应对措施；对于暂不具备纠正或改进条件的弱项，应基于总体风险论证结果，提供核电厂可继续运行的合理证明。</w:t>
      </w:r>
    </w:p>
    <w:p>
      <w:pPr>
        <w:pStyle w:val="167"/>
        <w:widowControl w:val="0"/>
        <w:ind w:firstLineChars="200"/>
      </w:pPr>
      <w:r>
        <w:rPr>
          <w:rFonts w:hint="eastAsia"/>
        </w:rPr>
        <w:t>应对拟实施的安全改进进行评估、分类，根据每项安全改进的重要度确定优先顺序。确定重要度时，可采用确定论分析、概率安全分析、工程判断、收益成本分析等方法或其组合。</w:t>
      </w:r>
    </w:p>
    <w:p>
      <w:pPr>
        <w:pStyle w:val="150"/>
        <w:tabs>
          <w:tab w:val="clear" w:pos="1266"/>
        </w:tabs>
        <w:ind w:left="0" w:firstLine="420" w:firstLineChars="200"/>
      </w:pPr>
      <w:r>
        <w:rPr>
          <w:rFonts w:hint="eastAsia"/>
        </w:rPr>
        <w:t>附录C提供了开展核电厂SSCs纠正行动或安全改进收益成本分析的一般方法。</w:t>
      </w:r>
    </w:p>
    <w:p>
      <w:pPr>
        <w:pStyle w:val="158"/>
        <w:numPr>
          <w:ilvl w:val="0"/>
          <w:numId w:val="0"/>
        </w:numPr>
        <w:tabs>
          <w:tab w:val="clear" w:pos="1140"/>
        </w:tabs>
        <w:ind w:left="142" w:hanging="142"/>
        <w:rPr>
          <w:rFonts w:ascii="黑体" w:hAnsi="黑体" w:eastAsia="黑体"/>
        </w:rPr>
      </w:pPr>
      <w:r>
        <w:rPr>
          <w:rFonts w:hint="eastAsia" w:ascii="黑体" w:hAnsi="黑体" w:eastAsia="黑体"/>
        </w:rPr>
        <w:t>6.</w:t>
      </w:r>
      <w:r>
        <w:rPr>
          <w:rFonts w:ascii="黑体" w:hAnsi="黑体" w:eastAsia="黑体"/>
        </w:rPr>
        <w:t>2</w:t>
      </w:r>
      <w:r>
        <w:rPr>
          <w:rFonts w:hint="eastAsia" w:ascii="黑体" w:hAnsi="黑体" w:eastAsia="黑体"/>
        </w:rPr>
        <w:t>.</w:t>
      </w:r>
      <w:r>
        <w:rPr>
          <w:rFonts w:ascii="黑体" w:hAnsi="黑体" w:eastAsia="黑体"/>
        </w:rPr>
        <w:t xml:space="preserve">2 </w:t>
      </w:r>
      <w:r>
        <w:rPr>
          <w:rFonts w:hint="eastAsia" w:ascii="黑体" w:hAnsi="黑体" w:eastAsia="黑体"/>
        </w:rPr>
        <w:t>纠正行动和安全改进计划制定</w:t>
      </w:r>
    </w:p>
    <w:p>
      <w:pPr>
        <w:pStyle w:val="146"/>
        <w:ind w:firstLine="420"/>
        <w:rPr>
          <w:rFonts w:hAnsi="宋体"/>
          <w:color w:val="000000"/>
        </w:rPr>
      </w:pPr>
      <w:r>
        <w:rPr>
          <w:rFonts w:hint="eastAsia" w:hAnsi="宋体"/>
          <w:color w:val="000000"/>
          <w:lang w:val="en-US" w:eastAsia="zh-CN"/>
        </w:rPr>
        <w:t>应</w:t>
      </w:r>
      <w:r>
        <w:rPr>
          <w:rFonts w:hAnsi="宋体"/>
          <w:color w:val="000000"/>
        </w:rPr>
        <w:t>在对所有</w:t>
      </w:r>
      <w:r>
        <w:rPr>
          <w:rFonts w:hint="eastAsia" w:hAnsi="宋体"/>
          <w:color w:val="000000"/>
        </w:rPr>
        <w:t>弱</w:t>
      </w:r>
      <w:r>
        <w:rPr>
          <w:rFonts w:hAnsi="宋体"/>
          <w:color w:val="000000"/>
        </w:rPr>
        <w:t>项及相应纠正/改进行动进行总体评价的基础上，制定纠正</w:t>
      </w:r>
      <w:r>
        <w:rPr>
          <w:rFonts w:hint="eastAsia" w:hAnsi="宋体"/>
          <w:color w:val="000000"/>
        </w:rPr>
        <w:t>行动</w:t>
      </w:r>
      <w:r>
        <w:rPr>
          <w:rFonts w:hAnsi="宋体"/>
          <w:color w:val="000000"/>
        </w:rPr>
        <w:t>和</w:t>
      </w:r>
      <w:r>
        <w:rPr>
          <w:rFonts w:hint="eastAsia" w:hAnsi="宋体"/>
          <w:color w:val="000000"/>
        </w:rPr>
        <w:t>安全</w:t>
      </w:r>
      <w:r>
        <w:rPr>
          <w:rFonts w:hAnsi="宋体"/>
          <w:color w:val="000000"/>
        </w:rPr>
        <w:t>改进计划。</w:t>
      </w:r>
    </w:p>
    <w:p>
      <w:pPr>
        <w:pStyle w:val="146"/>
        <w:ind w:firstLine="420"/>
        <w:rPr>
          <w:rFonts w:hint="eastAsia" w:hAnsi="宋体"/>
          <w:color w:val="000000"/>
        </w:rPr>
      </w:pPr>
      <w:r>
        <w:rPr>
          <w:rFonts w:hAnsi="宋体"/>
          <w:color w:val="000000"/>
        </w:rPr>
        <w:t>纠正</w:t>
      </w:r>
      <w:r>
        <w:rPr>
          <w:rFonts w:hint="eastAsia" w:hAnsi="宋体"/>
          <w:color w:val="000000"/>
        </w:rPr>
        <w:t>行动</w:t>
      </w:r>
      <w:r>
        <w:rPr>
          <w:rFonts w:hAnsi="宋体"/>
          <w:color w:val="000000"/>
        </w:rPr>
        <w:t>和</w:t>
      </w:r>
      <w:r>
        <w:rPr>
          <w:rFonts w:hint="eastAsia" w:hAnsi="宋体"/>
          <w:color w:val="000000"/>
        </w:rPr>
        <w:t>安全</w:t>
      </w:r>
      <w:r>
        <w:rPr>
          <w:rFonts w:hAnsi="宋体"/>
          <w:color w:val="000000"/>
        </w:rPr>
        <w:t>改进计划应该包含各项纠正</w:t>
      </w:r>
      <w:r>
        <w:rPr>
          <w:rFonts w:hint="eastAsia" w:hAnsi="宋体"/>
          <w:color w:val="000000"/>
        </w:rPr>
        <w:t>/</w:t>
      </w:r>
      <w:r>
        <w:rPr>
          <w:rFonts w:hAnsi="宋体"/>
          <w:color w:val="000000"/>
        </w:rPr>
        <w:t>改进行动的优先</w:t>
      </w:r>
      <w:r>
        <w:rPr>
          <w:rFonts w:hint="eastAsia" w:hAnsi="宋体"/>
          <w:color w:val="000000"/>
        </w:rPr>
        <w:t>分级</w:t>
      </w:r>
      <w:r>
        <w:rPr>
          <w:rFonts w:hAnsi="宋体"/>
          <w:color w:val="000000"/>
        </w:rPr>
        <w:t>以及时间进度安排。确定时间安排时，应该考虑不同纠正、改进行动之间的相互影响。</w:t>
      </w:r>
      <w:r>
        <w:rPr>
          <w:rFonts w:hint="eastAsia" w:hAnsi="宋体"/>
          <w:color w:val="000000"/>
        </w:rPr>
        <w:t>纠正行动和安全改进应在下次定期安全评价之前完成。</w:t>
      </w:r>
    </w:p>
    <w:p>
      <w:pPr>
        <w:pStyle w:val="146"/>
        <w:ind w:firstLine="0" w:firstLineChars="0"/>
        <w:rPr>
          <w:rFonts w:ascii="黑体" w:hAnsi="黑体" w:eastAsia="黑体"/>
          <w:color w:val="000000"/>
        </w:rPr>
      </w:pPr>
      <w:r>
        <w:rPr>
          <w:rFonts w:hint="eastAsia" w:ascii="黑体" w:hAnsi="黑体" w:eastAsia="黑体"/>
          <w:color w:val="000000"/>
        </w:rPr>
        <w:t>6.</w:t>
      </w:r>
      <w:r>
        <w:rPr>
          <w:rFonts w:ascii="黑体" w:hAnsi="黑体" w:eastAsia="黑体"/>
          <w:color w:val="000000"/>
        </w:rPr>
        <w:t>2</w:t>
      </w:r>
      <w:r>
        <w:rPr>
          <w:rFonts w:hint="eastAsia" w:ascii="黑体" w:hAnsi="黑体" w:eastAsia="黑体"/>
          <w:color w:val="000000"/>
        </w:rPr>
        <w:t>.</w:t>
      </w:r>
      <w:r>
        <w:rPr>
          <w:rFonts w:ascii="黑体" w:hAnsi="黑体" w:eastAsia="黑体"/>
          <w:color w:val="000000"/>
        </w:rPr>
        <w:t xml:space="preserve">3 </w:t>
      </w:r>
      <w:r>
        <w:rPr>
          <w:rFonts w:hint="eastAsia" w:ascii="黑体" w:hAnsi="黑体" w:eastAsia="黑体"/>
          <w:color w:val="000000"/>
        </w:rPr>
        <w:t>PSR总体评价报告编制</w:t>
      </w:r>
    </w:p>
    <w:p>
      <w:pPr>
        <w:pStyle w:val="161"/>
        <w:spacing w:before="0" w:after="0" w:line="240" w:lineRule="auto"/>
        <w:ind w:left="0" w:leftChars="0" w:right="-1" w:firstLine="420" w:firstLineChars="200"/>
        <w:rPr>
          <w:rFonts w:ascii="宋体" w:hAnsi="宋体"/>
          <w:color w:val="000000"/>
          <w:kern w:val="0"/>
          <w:sz w:val="21"/>
          <w:lang w:val="en-US" w:eastAsia="zh-CN"/>
        </w:rPr>
      </w:pPr>
      <w:r>
        <w:rPr>
          <w:rFonts w:ascii="宋体" w:hAnsi="宋体"/>
          <w:color w:val="000000"/>
          <w:kern w:val="0"/>
          <w:sz w:val="21"/>
          <w:lang w:val="en-US" w:eastAsia="zh-CN"/>
        </w:rPr>
        <w:t>应根据</w:t>
      </w:r>
      <w:r>
        <w:rPr>
          <w:rFonts w:hint="eastAsia" w:ascii="宋体" w:hAnsi="宋体"/>
          <w:color w:val="000000"/>
          <w:kern w:val="0"/>
          <w:sz w:val="21"/>
          <w:lang w:val="en-US" w:eastAsia="zh-CN"/>
        </w:rPr>
        <w:t>评价结果</w:t>
      </w:r>
      <w:r>
        <w:rPr>
          <w:rFonts w:ascii="宋体" w:hAnsi="宋体"/>
          <w:color w:val="000000"/>
          <w:kern w:val="0"/>
          <w:sz w:val="21"/>
          <w:lang w:val="en-US" w:eastAsia="zh-CN"/>
        </w:rPr>
        <w:t>编制</w:t>
      </w:r>
      <w:r>
        <w:rPr>
          <w:rFonts w:hint="eastAsia" w:ascii="宋体" w:hAnsi="宋体"/>
          <w:color w:val="000000"/>
          <w:kern w:val="0"/>
          <w:sz w:val="21"/>
          <w:lang w:val="en-US" w:eastAsia="zh-CN"/>
        </w:rPr>
        <w:t>PSR总体</w:t>
      </w:r>
      <w:r>
        <w:rPr>
          <w:rFonts w:ascii="宋体" w:hAnsi="宋体"/>
          <w:color w:val="000000"/>
          <w:kern w:val="0"/>
          <w:sz w:val="21"/>
          <w:lang w:val="en-US" w:eastAsia="zh-CN"/>
        </w:rPr>
        <w:t>评价报告。</w:t>
      </w:r>
      <w:r>
        <w:rPr>
          <w:rFonts w:hint="eastAsia" w:ascii="宋体" w:hAnsi="宋体"/>
          <w:color w:val="000000"/>
          <w:kern w:val="0"/>
          <w:sz w:val="21"/>
          <w:lang w:val="en-US" w:eastAsia="zh-CN"/>
        </w:rPr>
        <w:t>总体评价</w:t>
      </w:r>
      <w:r>
        <w:rPr>
          <w:rFonts w:ascii="宋体" w:hAnsi="宋体"/>
          <w:color w:val="000000"/>
          <w:kern w:val="0"/>
          <w:sz w:val="21"/>
          <w:lang w:val="en-US" w:eastAsia="zh-CN"/>
        </w:rPr>
        <w:t>报告应包括如下内容：</w:t>
      </w:r>
    </w:p>
    <w:p>
      <w:pPr>
        <w:pStyle w:val="150"/>
        <w:numPr>
          <w:ilvl w:val="0"/>
          <w:numId w:val="25"/>
        </w:numPr>
        <w:rPr>
          <w:rFonts w:hAnsi="宋体"/>
        </w:rPr>
      </w:pPr>
      <w:r>
        <w:rPr>
          <w:rFonts w:hAnsi="宋体"/>
        </w:rPr>
        <w:t>各安全要素</w:t>
      </w:r>
      <w:r>
        <w:rPr>
          <w:rFonts w:hint="eastAsia" w:hAnsi="宋体"/>
        </w:rPr>
        <w:t>/评价专项</w:t>
      </w:r>
      <w:r>
        <w:rPr>
          <w:rFonts w:hAnsi="宋体"/>
        </w:rPr>
        <w:t>的</w:t>
      </w:r>
      <w:r>
        <w:rPr>
          <w:rFonts w:hint="eastAsia" w:hAnsi="宋体"/>
        </w:rPr>
        <w:t>评价</w:t>
      </w:r>
      <w:r>
        <w:rPr>
          <w:rFonts w:hAnsi="宋体"/>
        </w:rPr>
        <w:t>结论，包括发现的</w:t>
      </w:r>
      <w:r>
        <w:rPr>
          <w:rFonts w:hint="eastAsia" w:hAnsi="宋体"/>
        </w:rPr>
        <w:t>弱项和强项</w:t>
      </w:r>
      <w:r>
        <w:rPr>
          <w:rFonts w:hAnsi="宋体"/>
        </w:rPr>
        <w:t>清单；</w:t>
      </w:r>
    </w:p>
    <w:p>
      <w:pPr>
        <w:pStyle w:val="150"/>
        <w:numPr>
          <w:ilvl w:val="0"/>
          <w:numId w:val="25"/>
        </w:numPr>
        <w:rPr>
          <w:rFonts w:hAnsi="宋体"/>
        </w:rPr>
      </w:pPr>
      <w:r>
        <w:rPr>
          <w:rFonts w:hAnsi="宋体"/>
        </w:rPr>
        <w:t>总体评价结论；</w:t>
      </w:r>
    </w:p>
    <w:p>
      <w:pPr>
        <w:pStyle w:val="150"/>
        <w:numPr>
          <w:ilvl w:val="0"/>
          <w:numId w:val="25"/>
        </w:numPr>
        <w:rPr>
          <w:rFonts w:hAnsi="宋体"/>
        </w:rPr>
      </w:pPr>
      <w:r>
        <w:rPr>
          <w:rFonts w:hAnsi="宋体"/>
        </w:rPr>
        <w:t>纠正</w:t>
      </w:r>
      <w:r>
        <w:rPr>
          <w:rFonts w:hint="eastAsia" w:hAnsi="宋体"/>
        </w:rPr>
        <w:t>行动</w:t>
      </w:r>
      <w:r>
        <w:rPr>
          <w:rFonts w:hAnsi="宋体"/>
        </w:rPr>
        <w:t>和</w:t>
      </w:r>
      <w:r>
        <w:rPr>
          <w:rFonts w:hint="eastAsia" w:hAnsi="宋体"/>
        </w:rPr>
        <w:t>安全</w:t>
      </w:r>
      <w:r>
        <w:rPr>
          <w:rFonts w:hAnsi="宋体"/>
        </w:rPr>
        <w:t>改进计划；</w:t>
      </w:r>
    </w:p>
    <w:p>
      <w:pPr>
        <w:pStyle w:val="150"/>
        <w:numPr>
          <w:ilvl w:val="0"/>
          <w:numId w:val="25"/>
        </w:numPr>
        <w:rPr>
          <w:rFonts w:hint="eastAsia" w:hAnsi="宋体"/>
        </w:rPr>
      </w:pPr>
      <w:r>
        <w:rPr>
          <w:rFonts w:hAnsi="宋体"/>
        </w:rPr>
        <w:t>核电厂下一个十年安全运行的评估结论。</w:t>
      </w:r>
    </w:p>
    <w:p>
      <w:pPr>
        <w:pStyle w:val="44"/>
        <w:spacing w:before="0" w:beforeLines="0" w:after="0" w:afterLines="0"/>
      </w:pPr>
      <w:r>
        <w:rPr>
          <w:rFonts w:hint="eastAsia"/>
        </w:rPr>
        <w:t>过程管理</w:t>
      </w:r>
    </w:p>
    <w:p>
      <w:pPr>
        <w:rPr>
          <w:rFonts w:ascii="黑体" w:hAnsi="黑体" w:eastAsia="黑体"/>
          <w:szCs w:val="21"/>
        </w:rPr>
      </w:pPr>
      <w:r>
        <w:rPr>
          <w:rFonts w:hint="eastAsia" w:ascii="黑体" w:hAnsi="黑体" w:eastAsia="黑体"/>
          <w:szCs w:val="21"/>
        </w:rPr>
        <w:t>6.</w:t>
      </w:r>
      <w:r>
        <w:rPr>
          <w:rFonts w:ascii="黑体" w:hAnsi="黑体" w:eastAsia="黑体"/>
          <w:szCs w:val="21"/>
        </w:rPr>
        <w:t>3</w:t>
      </w:r>
      <w:r>
        <w:rPr>
          <w:rFonts w:hint="eastAsia" w:ascii="黑体" w:hAnsi="黑体" w:eastAsia="黑体"/>
          <w:szCs w:val="21"/>
        </w:rPr>
        <w:t>.</w:t>
      </w:r>
      <w:r>
        <w:rPr>
          <w:rFonts w:ascii="黑体" w:hAnsi="黑体" w:eastAsia="黑体"/>
          <w:szCs w:val="21"/>
        </w:rPr>
        <w:t xml:space="preserve">1 </w:t>
      </w:r>
      <w:r>
        <w:rPr>
          <w:rFonts w:hint="eastAsia" w:ascii="黑体" w:hAnsi="黑体" w:eastAsia="黑体"/>
          <w:szCs w:val="21"/>
        </w:rPr>
        <w:t>进度控制</w:t>
      </w:r>
    </w:p>
    <w:p>
      <w:pPr>
        <w:pStyle w:val="11"/>
        <w:spacing w:line="240" w:lineRule="auto"/>
        <w:ind w:firstLine="420" w:firstLineChars="200"/>
        <w:rPr>
          <w:rFonts w:hint="eastAsia" w:ascii="宋体"/>
          <w:sz w:val="21"/>
          <w:lang w:val="en-US"/>
        </w:rPr>
      </w:pPr>
      <w:r>
        <w:rPr>
          <w:rFonts w:hint="eastAsia" w:ascii="宋体"/>
          <w:sz w:val="21"/>
          <w:lang w:val="en-US"/>
        </w:rPr>
        <w:t>应对核电厂定期安全评价项目的实施进度进行管控。</w:t>
      </w:r>
    </w:p>
    <w:p>
      <w:pPr>
        <w:pStyle w:val="11"/>
        <w:spacing w:line="240" w:lineRule="auto"/>
        <w:ind w:firstLine="420" w:firstLineChars="200"/>
        <w:rPr>
          <w:rFonts w:hint="eastAsia" w:ascii="宋体"/>
          <w:sz w:val="21"/>
          <w:lang w:val="en-US"/>
        </w:rPr>
      </w:pPr>
      <w:r>
        <w:rPr>
          <w:rFonts w:hint="eastAsia" w:ascii="宋体"/>
          <w:sz w:val="21"/>
          <w:lang w:val="en-US"/>
        </w:rPr>
        <w:t>核电厂PSR进度计划应对每项工作的执行时间做出规定，可按月度细分工作量，如果评价周期短，也可按双周来拆解工作。</w:t>
      </w:r>
    </w:p>
    <w:p>
      <w:pPr>
        <w:pStyle w:val="11"/>
        <w:spacing w:line="240" w:lineRule="auto"/>
        <w:ind w:firstLine="420" w:firstLineChars="200"/>
        <w:rPr>
          <w:rFonts w:hint="eastAsia" w:ascii="宋体"/>
          <w:sz w:val="21"/>
          <w:lang w:val="en-US"/>
        </w:rPr>
      </w:pPr>
      <w:r>
        <w:rPr>
          <w:rFonts w:hint="eastAsia" w:ascii="宋体"/>
          <w:sz w:val="21"/>
          <w:lang w:val="en-US"/>
        </w:rPr>
        <w:t>各要素/专项组按照制定的进度计划开展PSR评价工作，项目管理人员对进度计划的执行进行跟踪，如发现执行偏差，应要求要素/专项负责人及时采取措施。</w:t>
      </w:r>
    </w:p>
    <w:p>
      <w:pPr>
        <w:rPr>
          <w:rFonts w:ascii="黑体" w:hAnsi="黑体" w:eastAsia="黑体"/>
          <w:kern w:val="0"/>
          <w:szCs w:val="20"/>
        </w:rPr>
      </w:pPr>
      <w:r>
        <w:rPr>
          <w:rFonts w:hint="eastAsia" w:ascii="黑体" w:hAnsi="黑体" w:eastAsia="黑体"/>
          <w:kern w:val="0"/>
          <w:szCs w:val="20"/>
        </w:rPr>
        <w:t>6.</w:t>
      </w:r>
      <w:r>
        <w:rPr>
          <w:rFonts w:ascii="黑体" w:hAnsi="黑体" w:eastAsia="黑体"/>
          <w:kern w:val="0"/>
          <w:szCs w:val="20"/>
        </w:rPr>
        <w:t>3</w:t>
      </w:r>
      <w:r>
        <w:rPr>
          <w:rFonts w:hint="eastAsia" w:ascii="黑体" w:hAnsi="黑体" w:eastAsia="黑体"/>
          <w:kern w:val="0"/>
          <w:szCs w:val="20"/>
        </w:rPr>
        <w:t>.</w:t>
      </w:r>
      <w:r>
        <w:rPr>
          <w:rFonts w:ascii="黑体" w:hAnsi="黑体" w:eastAsia="黑体"/>
          <w:kern w:val="0"/>
          <w:szCs w:val="20"/>
        </w:rPr>
        <w:t xml:space="preserve">2 </w:t>
      </w:r>
      <w:r>
        <w:rPr>
          <w:rFonts w:hint="eastAsia" w:ascii="黑体" w:hAnsi="黑体" w:eastAsia="黑体"/>
          <w:kern w:val="0"/>
          <w:szCs w:val="20"/>
        </w:rPr>
        <w:t>质量控制</w:t>
      </w:r>
    </w:p>
    <w:p>
      <w:pPr>
        <w:pStyle w:val="158"/>
        <w:numPr>
          <w:ilvl w:val="0"/>
          <w:numId w:val="0"/>
        </w:numPr>
        <w:tabs>
          <w:tab w:val="clear" w:pos="1140"/>
        </w:tabs>
        <w:ind w:firstLine="420" w:firstLineChars="200"/>
      </w:pPr>
      <w:r>
        <w:rPr>
          <w:rFonts w:hint="eastAsia"/>
        </w:rPr>
        <w:t>核电厂PSR执行过程中，应有效运转PSR项目管理体系，确保各项评价工作由经过培训、授权的胜任人员执行，各项工作根据PSR大纲、要素/专项评价程序和相应的专题评价细则开展，评价过程要形成对应的工作记录，PSR项目管理人员对各项评价工作的执行进行监督、验证。</w:t>
      </w:r>
    </w:p>
    <w:p>
      <w:pPr>
        <w:pStyle w:val="158"/>
        <w:numPr>
          <w:ilvl w:val="0"/>
          <w:numId w:val="0"/>
        </w:numPr>
        <w:tabs>
          <w:tab w:val="clear" w:pos="1140"/>
        </w:tabs>
        <w:ind w:firstLine="420" w:firstLineChars="200"/>
      </w:pPr>
      <w:r>
        <w:rPr>
          <w:rFonts w:hint="eastAsia"/>
        </w:rPr>
        <w:t>对重要的差异项和评价结论，可邀请行业内技术专家开展独立评审。</w:t>
      </w:r>
    </w:p>
    <w:p>
      <w:pPr>
        <w:pStyle w:val="158"/>
        <w:numPr>
          <w:ilvl w:val="0"/>
          <w:numId w:val="0"/>
        </w:numPr>
        <w:tabs>
          <w:tab w:val="clear" w:pos="1140"/>
        </w:tabs>
        <w:rPr>
          <w:rFonts w:ascii="黑体" w:hAnsi="黑体" w:eastAsia="黑体"/>
        </w:rPr>
      </w:pPr>
      <w:r>
        <w:rPr>
          <w:rFonts w:hint="eastAsia" w:ascii="黑体" w:hAnsi="黑体" w:eastAsia="黑体"/>
        </w:rPr>
        <w:t>6.</w:t>
      </w:r>
      <w:r>
        <w:rPr>
          <w:rFonts w:ascii="黑体" w:hAnsi="黑体" w:eastAsia="黑体"/>
        </w:rPr>
        <w:t>3</w:t>
      </w:r>
      <w:r>
        <w:rPr>
          <w:rFonts w:hint="eastAsia" w:ascii="黑体" w:hAnsi="黑体" w:eastAsia="黑体"/>
        </w:rPr>
        <w:t>.</w:t>
      </w:r>
      <w:r>
        <w:rPr>
          <w:rFonts w:ascii="黑体" w:hAnsi="黑体" w:eastAsia="黑体"/>
        </w:rPr>
        <w:t xml:space="preserve">3 </w:t>
      </w:r>
      <w:r>
        <w:rPr>
          <w:rFonts w:hint="eastAsia" w:ascii="黑体" w:hAnsi="黑体" w:eastAsia="黑体"/>
        </w:rPr>
        <w:t>文件和记录管理</w:t>
      </w:r>
    </w:p>
    <w:p>
      <w:pPr>
        <w:pStyle w:val="158"/>
        <w:numPr>
          <w:ilvl w:val="0"/>
          <w:numId w:val="0"/>
        </w:numPr>
        <w:tabs>
          <w:tab w:val="clear" w:pos="1140"/>
        </w:tabs>
        <w:ind w:firstLine="420" w:firstLineChars="200"/>
      </w:pPr>
      <w:r>
        <w:rPr>
          <w:rFonts w:hint="eastAsia"/>
        </w:rPr>
        <w:t>PSR项目组应对PSR工作文件、项目管理文件的的编制、审查、批准和分发进行控制，以保证项目人员得到并使用正确的文件。变更的文件在发布前应经授权人员审查和批准。项目管理人员应将文件的变更情况及时通知受影响的人员，以防止他们使用过时的或不正确的文件。</w:t>
      </w:r>
    </w:p>
    <w:p>
      <w:pPr>
        <w:ind w:right="174" w:rightChars="83" w:firstLine="420" w:firstLineChars="200"/>
      </w:pPr>
      <w:r>
        <w:rPr>
          <w:rFonts w:hint="eastAsia"/>
        </w:rPr>
        <w:t>PSR评价人员应编制评价记录和报告，以提供PSR工作的客观证据和工作成果。PSR记录和报告的信息应清楚、及时、准确、真实、完整，并与所记述SSCs或过程相对应，具有可追溯性。记录和报告应有唯一性编号并标明日期，按规定由授权人审核后方能生效。记录或报告的修正和增补应由原编制人员执行，并按原流程进行审、批。修正和增补时应注明日期和依据。</w:t>
      </w:r>
    </w:p>
    <w:p>
      <w:pPr>
        <w:pStyle w:val="47"/>
        <w:spacing w:before="0" w:beforeLines="0" w:after="0" w:afterLines="0"/>
        <w:ind w:left="0"/>
        <w:rPr>
          <w:rFonts w:hint="eastAsia"/>
        </w:rPr>
      </w:pPr>
      <w:bookmarkStart w:id="116" w:name="_Toc129250166"/>
      <w:r>
        <w:rPr>
          <w:rFonts w:hint="eastAsia"/>
        </w:rPr>
        <w:t>定期安全评价后工作</w:t>
      </w:r>
      <w:bookmarkEnd w:id="116"/>
    </w:p>
    <w:p>
      <w:pPr>
        <w:pStyle w:val="44"/>
        <w:spacing w:before="0" w:beforeLines="0" w:after="0" w:afterLines="0"/>
      </w:pPr>
      <w:bookmarkStart w:id="117" w:name="_Toc95726433"/>
      <w:r>
        <w:rPr>
          <w:rFonts w:hint="eastAsia"/>
        </w:rPr>
        <w:t>实施纠正行动和安全改进计划</w:t>
      </w:r>
      <w:bookmarkEnd w:id="117"/>
    </w:p>
    <w:p>
      <w:pPr>
        <w:ind w:firstLine="420" w:firstLineChars="200"/>
        <w:rPr>
          <w:rFonts w:ascii="宋体" w:hAnsi="宋体"/>
          <w:color w:val="000000"/>
          <w:kern w:val="0"/>
          <w:szCs w:val="20"/>
        </w:rPr>
      </w:pPr>
      <w:r>
        <w:rPr>
          <w:rFonts w:hint="eastAsia" w:ascii="宋体" w:hAnsi="宋体"/>
          <w:color w:val="000000"/>
          <w:kern w:val="0"/>
          <w:szCs w:val="20"/>
        </w:rPr>
        <w:t>核电厂</w:t>
      </w:r>
      <w:r>
        <w:rPr>
          <w:rFonts w:ascii="宋体" w:hAnsi="宋体"/>
          <w:color w:val="000000"/>
          <w:kern w:val="0"/>
          <w:szCs w:val="20"/>
        </w:rPr>
        <w:t>营运单位</w:t>
      </w:r>
      <w:r>
        <w:rPr>
          <w:rFonts w:hint="eastAsia" w:ascii="宋体" w:hAnsi="宋体"/>
          <w:color w:val="000000"/>
          <w:kern w:val="0"/>
          <w:szCs w:val="20"/>
        </w:rPr>
        <w:t>应</w:t>
      </w:r>
      <w:r>
        <w:rPr>
          <w:rFonts w:ascii="宋体" w:hAnsi="宋体"/>
          <w:color w:val="000000"/>
          <w:kern w:val="0"/>
          <w:szCs w:val="20"/>
        </w:rPr>
        <w:t>保持合适的项目管理安排，确保及时完成承诺的</w:t>
      </w:r>
      <w:r>
        <w:rPr>
          <w:rFonts w:hint="eastAsia" w:ascii="宋体" w:hAnsi="宋体"/>
          <w:color w:val="000000"/>
          <w:kern w:val="0"/>
          <w:szCs w:val="20"/>
        </w:rPr>
        <w:t>纠正行动和安全改进</w:t>
      </w:r>
      <w:r>
        <w:rPr>
          <w:rFonts w:ascii="宋体" w:hAnsi="宋体"/>
          <w:color w:val="000000"/>
          <w:kern w:val="0"/>
          <w:szCs w:val="20"/>
        </w:rPr>
        <w:t>计划。</w:t>
      </w:r>
    </w:p>
    <w:p>
      <w:pPr>
        <w:pStyle w:val="44"/>
        <w:spacing w:before="0" w:beforeLines="0" w:after="0" w:afterLines="0"/>
      </w:pPr>
      <w:bookmarkStart w:id="118" w:name="_Toc95726434"/>
      <w:r>
        <w:rPr>
          <w:rFonts w:hint="eastAsia"/>
        </w:rPr>
        <w:t>资料保管</w:t>
      </w:r>
      <w:bookmarkEnd w:id="118"/>
    </w:p>
    <w:p>
      <w:pPr>
        <w:ind w:firstLine="420" w:firstLineChars="200"/>
        <w:rPr>
          <w:rFonts w:ascii="宋体" w:hAnsi="宋体"/>
          <w:color w:val="000000"/>
          <w:kern w:val="0"/>
          <w:szCs w:val="20"/>
        </w:rPr>
      </w:pPr>
      <w:r>
        <w:rPr>
          <w:rFonts w:hint="eastAsia" w:ascii="宋体" w:hAnsi="宋体"/>
          <w:color w:val="000000"/>
          <w:kern w:val="0"/>
          <w:szCs w:val="20"/>
        </w:rPr>
        <w:t>定</w:t>
      </w:r>
      <w:r>
        <w:rPr>
          <w:rFonts w:ascii="宋体" w:hAnsi="宋体"/>
          <w:color w:val="000000"/>
          <w:kern w:val="0"/>
          <w:szCs w:val="20"/>
        </w:rPr>
        <w:t>期安全评价中产生的文件</w:t>
      </w:r>
      <w:r>
        <w:rPr>
          <w:rFonts w:hint="eastAsia" w:ascii="宋体" w:hAnsi="宋体"/>
          <w:color w:val="000000"/>
          <w:kern w:val="0"/>
          <w:szCs w:val="20"/>
        </w:rPr>
        <w:t>、记录</w:t>
      </w:r>
      <w:r>
        <w:rPr>
          <w:rFonts w:ascii="宋体" w:hAnsi="宋体"/>
          <w:color w:val="000000"/>
          <w:kern w:val="0"/>
          <w:szCs w:val="20"/>
        </w:rPr>
        <w:t>应以适当的体系足够详细地保存，并易于检索和查询</w:t>
      </w:r>
      <w:r>
        <w:rPr>
          <w:rFonts w:hint="eastAsia" w:ascii="宋体" w:hAnsi="宋体"/>
          <w:color w:val="000000"/>
          <w:kern w:val="0"/>
          <w:szCs w:val="20"/>
        </w:rPr>
        <w:t>，所保存资料</w:t>
      </w:r>
      <w:r>
        <w:rPr>
          <w:rFonts w:ascii="宋体" w:hAnsi="宋体"/>
          <w:color w:val="000000"/>
          <w:kern w:val="0"/>
          <w:szCs w:val="20"/>
        </w:rPr>
        <w:t>应包含定期安全评价文件</w:t>
      </w:r>
      <w:r>
        <w:rPr>
          <w:rFonts w:hint="eastAsia" w:ascii="宋体" w:hAnsi="宋体"/>
          <w:color w:val="000000"/>
          <w:kern w:val="0"/>
          <w:szCs w:val="20"/>
        </w:rPr>
        <w:t>、记录的</w:t>
      </w:r>
      <w:r>
        <w:rPr>
          <w:rFonts w:ascii="宋体" w:hAnsi="宋体"/>
          <w:color w:val="000000"/>
          <w:kern w:val="0"/>
          <w:szCs w:val="20"/>
        </w:rPr>
        <w:t>最终版本和</w:t>
      </w:r>
      <w:r>
        <w:rPr>
          <w:rFonts w:hint="eastAsia" w:ascii="宋体" w:hAnsi="宋体"/>
          <w:color w:val="000000"/>
          <w:kern w:val="0"/>
          <w:szCs w:val="20"/>
        </w:rPr>
        <w:t>在</w:t>
      </w:r>
      <w:r>
        <w:rPr>
          <w:rFonts w:ascii="宋体" w:hAnsi="宋体"/>
          <w:color w:val="000000"/>
          <w:kern w:val="0"/>
          <w:szCs w:val="20"/>
        </w:rPr>
        <w:t>定期安全评价</w:t>
      </w:r>
      <w:r>
        <w:rPr>
          <w:rFonts w:hint="eastAsia" w:ascii="宋体" w:hAnsi="宋体"/>
          <w:color w:val="000000"/>
          <w:kern w:val="0"/>
          <w:szCs w:val="20"/>
        </w:rPr>
        <w:t>实施过程</w:t>
      </w:r>
      <w:r>
        <w:rPr>
          <w:rFonts w:ascii="宋体" w:hAnsi="宋体"/>
          <w:color w:val="000000"/>
          <w:kern w:val="0"/>
          <w:szCs w:val="20"/>
        </w:rPr>
        <w:t>中</w:t>
      </w:r>
      <w:r>
        <w:rPr>
          <w:rFonts w:hint="eastAsia" w:ascii="宋体" w:hAnsi="宋体"/>
          <w:color w:val="000000"/>
          <w:kern w:val="0"/>
          <w:szCs w:val="20"/>
        </w:rPr>
        <w:t>积累的经验、</w:t>
      </w:r>
      <w:r>
        <w:rPr>
          <w:rFonts w:ascii="宋体" w:hAnsi="宋体"/>
          <w:color w:val="000000"/>
          <w:kern w:val="0"/>
          <w:szCs w:val="20"/>
        </w:rPr>
        <w:t>教训</w:t>
      </w:r>
      <w:r>
        <w:rPr>
          <w:rFonts w:hint="eastAsia" w:ascii="宋体" w:hAnsi="宋体"/>
          <w:color w:val="000000"/>
          <w:kern w:val="0"/>
          <w:szCs w:val="20"/>
        </w:rPr>
        <w:t>等</w:t>
      </w:r>
      <w:r>
        <w:rPr>
          <w:rFonts w:ascii="宋体" w:hAnsi="宋体"/>
          <w:color w:val="000000"/>
          <w:kern w:val="0"/>
          <w:szCs w:val="20"/>
        </w:rPr>
        <w:t>信息。</w:t>
      </w:r>
    </w:p>
    <w:p>
      <w:pPr>
        <w:pStyle w:val="44"/>
        <w:spacing w:before="0" w:beforeLines="0" w:after="0" w:afterLines="0"/>
      </w:pPr>
      <w:r>
        <w:t xml:space="preserve"> </w:t>
      </w:r>
      <w:bookmarkStart w:id="119" w:name="_Toc95726435"/>
      <w:r>
        <w:rPr>
          <w:rFonts w:hint="eastAsia"/>
        </w:rPr>
        <w:t>核电厂文件更新</w:t>
      </w:r>
      <w:bookmarkEnd w:id="119"/>
    </w:p>
    <w:p>
      <w:pPr>
        <w:ind w:firstLine="420" w:firstLineChars="200"/>
        <w:rPr>
          <w:rFonts w:ascii="宋体" w:hAnsi="宋体"/>
          <w:color w:val="000000"/>
          <w:kern w:val="0"/>
          <w:szCs w:val="20"/>
        </w:rPr>
      </w:pPr>
      <w:r>
        <w:rPr>
          <w:rFonts w:hint="eastAsia" w:ascii="宋体" w:hAnsi="宋体"/>
          <w:color w:val="000000"/>
          <w:kern w:val="0"/>
          <w:szCs w:val="20"/>
        </w:rPr>
        <w:t>核电厂营运单位应根据评价结果更新包含安全基准文件在内的各类文件。</w:t>
      </w: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rPr>
          <w:rFonts w:ascii="宋体" w:hAnsi="宋体"/>
          <w:color w:val="000000"/>
          <w:kern w:val="0"/>
          <w:szCs w:val="20"/>
        </w:rPr>
      </w:pPr>
    </w:p>
    <w:p>
      <w:pPr>
        <w:pStyle w:val="86"/>
        <w:spacing w:before="156" w:after="156"/>
        <w:ind w:left="0"/>
        <w:rPr>
          <w:rFonts w:hint="eastAsia"/>
        </w:rPr>
      </w:pPr>
      <w:r>
        <w:br w:type="textWrapping"/>
      </w:r>
      <w:bookmarkStart w:id="120" w:name="_Toc129250167"/>
      <w:bookmarkStart w:id="121" w:name="_Toc487723846"/>
      <w:bookmarkStart w:id="122" w:name="_Toc487701829"/>
      <w:bookmarkStart w:id="123" w:name="_Toc487701468"/>
      <w:r>
        <w:rPr>
          <w:rFonts w:hint="eastAsia"/>
        </w:rPr>
        <w:t>（资料性附录）</w:t>
      </w:r>
      <w:bookmarkStart w:id="124" w:name="_Toc405151192"/>
      <w:bookmarkStart w:id="125" w:name="_Toc404674158"/>
      <w:bookmarkStart w:id="126" w:name="_Toc404674147"/>
      <w:bookmarkStart w:id="127" w:name="_Toc394410210"/>
      <w:bookmarkStart w:id="128" w:name="_Toc394324420"/>
      <w:bookmarkStart w:id="129" w:name="_Toc394324142"/>
      <w:r>
        <w:br w:type="textWrapping"/>
      </w:r>
      <w:bookmarkEnd w:id="124"/>
      <w:bookmarkEnd w:id="125"/>
      <w:bookmarkEnd w:id="126"/>
      <w:bookmarkEnd w:id="127"/>
      <w:bookmarkEnd w:id="128"/>
      <w:bookmarkEnd w:id="129"/>
      <w:r>
        <w:rPr>
          <w:rFonts w:hint="eastAsia"/>
        </w:rPr>
        <w:t>安全要素关联矩阵</w:t>
      </w:r>
      <w:bookmarkEnd w:id="120"/>
      <w:bookmarkEnd w:id="121"/>
      <w:bookmarkEnd w:id="122"/>
      <w:bookmarkEnd w:id="123"/>
    </w:p>
    <w:p>
      <w:pPr>
        <w:pStyle w:val="27"/>
        <w:rPr>
          <w:rFonts w:hint="eastAsia"/>
        </w:rPr>
      </w:pPr>
    </w:p>
    <w:tbl>
      <w:tblPr>
        <w:tblStyle w:val="3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
        <w:gridCol w:w="579"/>
        <w:gridCol w:w="489"/>
        <w:gridCol w:w="489"/>
        <w:gridCol w:w="489"/>
        <w:gridCol w:w="489"/>
        <w:gridCol w:w="489"/>
        <w:gridCol w:w="489"/>
        <w:gridCol w:w="489"/>
        <w:gridCol w:w="489"/>
        <w:gridCol w:w="489"/>
        <w:gridCol w:w="580"/>
        <w:gridCol w:w="580"/>
        <w:gridCol w:w="580"/>
        <w:gridCol w:w="580"/>
        <w:gridCol w:w="5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990" w:type="dxa"/>
            <w:gridSpan w:val="2"/>
            <w:vMerge w:val="restart"/>
            <w:tcBorders>
              <w:top w:val="nil"/>
              <w:left w:val="nil"/>
              <w:right w:val="single" w:color="auto" w:sz="18" w:space="0"/>
            </w:tcBorders>
            <w:shd w:val="clear" w:color="auto" w:fill="auto"/>
            <w:noWrap w:val="0"/>
            <w:vAlign w:val="top"/>
          </w:tcPr>
          <w:p>
            <w:pPr>
              <w:rPr>
                <w:rFonts w:ascii="宋体"/>
                <w:b/>
                <w:sz w:val="18"/>
                <w:szCs w:val="18"/>
              </w:rPr>
            </w:pPr>
          </w:p>
        </w:tc>
        <w:tc>
          <w:tcPr>
            <w:tcW w:w="7077" w:type="dxa"/>
            <w:gridSpan w:val="14"/>
            <w:tcBorders>
              <w:top w:val="single" w:color="auto" w:sz="18" w:space="0"/>
              <w:left w:val="single" w:color="auto" w:sz="18" w:space="0"/>
              <w:bottom w:val="single" w:color="auto" w:sz="18" w:space="0"/>
              <w:right w:val="single" w:color="auto" w:sz="18" w:space="0"/>
            </w:tcBorders>
            <w:shd w:val="clear" w:color="auto" w:fill="auto"/>
            <w:noWrap w:val="0"/>
            <w:vAlign w:val="top"/>
          </w:tcPr>
          <w:p>
            <w:pPr>
              <w:jc w:val="center"/>
              <w:rPr>
                <w:rFonts w:ascii="宋体"/>
                <w:b/>
                <w:sz w:val="18"/>
                <w:szCs w:val="18"/>
              </w:rPr>
            </w:pPr>
            <w:r>
              <w:rPr>
                <w:rFonts w:hint="eastAsia" w:ascii="宋体"/>
                <w:b/>
                <w:sz w:val="18"/>
                <w:szCs w:val="18"/>
              </w:rPr>
              <w:t>提供输入的安全要素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990" w:type="dxa"/>
            <w:gridSpan w:val="2"/>
            <w:vMerge w:val="continue"/>
            <w:tcBorders>
              <w:left w:val="nil"/>
              <w:bottom w:val="single" w:color="auto" w:sz="18" w:space="0"/>
              <w:right w:val="single" w:color="auto" w:sz="18" w:space="0"/>
            </w:tcBorders>
            <w:shd w:val="clear" w:color="auto" w:fill="auto"/>
            <w:noWrap w:val="0"/>
            <w:vAlign w:val="top"/>
          </w:tcPr>
          <w:p>
            <w:pPr>
              <w:rPr>
                <w:rFonts w:ascii="宋体"/>
                <w:b/>
                <w:sz w:val="18"/>
                <w:szCs w:val="18"/>
              </w:rPr>
            </w:pPr>
          </w:p>
        </w:tc>
        <w:tc>
          <w:tcPr>
            <w:tcW w:w="473" w:type="dxa"/>
            <w:tcBorders>
              <w:top w:val="single" w:color="auto" w:sz="18" w:space="0"/>
              <w:left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SF1</w:t>
            </w:r>
          </w:p>
        </w:tc>
        <w:tc>
          <w:tcPr>
            <w:tcW w:w="473"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SF2</w:t>
            </w:r>
          </w:p>
        </w:tc>
        <w:tc>
          <w:tcPr>
            <w:tcW w:w="473"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SF3</w:t>
            </w:r>
          </w:p>
        </w:tc>
        <w:tc>
          <w:tcPr>
            <w:tcW w:w="473"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SF4</w:t>
            </w:r>
          </w:p>
        </w:tc>
        <w:tc>
          <w:tcPr>
            <w:tcW w:w="473"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SF5</w:t>
            </w:r>
          </w:p>
        </w:tc>
        <w:tc>
          <w:tcPr>
            <w:tcW w:w="354"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SF6</w:t>
            </w:r>
          </w:p>
        </w:tc>
        <w:tc>
          <w:tcPr>
            <w:tcW w:w="486"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SF7</w:t>
            </w:r>
          </w:p>
        </w:tc>
        <w:tc>
          <w:tcPr>
            <w:tcW w:w="486"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SF8</w:t>
            </w:r>
          </w:p>
        </w:tc>
        <w:tc>
          <w:tcPr>
            <w:tcW w:w="486"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SF9</w:t>
            </w:r>
          </w:p>
        </w:tc>
        <w:tc>
          <w:tcPr>
            <w:tcW w:w="580"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SF10</w:t>
            </w:r>
          </w:p>
        </w:tc>
        <w:tc>
          <w:tcPr>
            <w:tcW w:w="580"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SF11</w:t>
            </w:r>
          </w:p>
        </w:tc>
        <w:tc>
          <w:tcPr>
            <w:tcW w:w="580"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SF12</w:t>
            </w:r>
          </w:p>
        </w:tc>
        <w:tc>
          <w:tcPr>
            <w:tcW w:w="580" w:type="dxa"/>
            <w:tcBorders>
              <w:top w:val="single" w:color="auto" w:sz="18" w:space="0"/>
              <w:bottom w:val="single" w:color="auto" w:sz="18" w:space="0"/>
            </w:tcBorders>
            <w:shd w:val="clear" w:color="auto" w:fill="auto"/>
            <w:noWrap w:val="0"/>
            <w:vAlign w:val="top"/>
          </w:tcPr>
          <w:p>
            <w:pPr>
              <w:rPr>
                <w:rFonts w:ascii="宋体"/>
                <w:b/>
                <w:sz w:val="18"/>
                <w:szCs w:val="18"/>
              </w:rPr>
            </w:pPr>
            <w:r>
              <w:rPr>
                <w:rFonts w:hint="eastAsia" w:ascii="宋体"/>
                <w:b/>
                <w:sz w:val="18"/>
                <w:szCs w:val="18"/>
              </w:rPr>
              <w:t>SF13</w:t>
            </w:r>
          </w:p>
        </w:tc>
        <w:tc>
          <w:tcPr>
            <w:tcW w:w="580" w:type="dxa"/>
            <w:tcBorders>
              <w:top w:val="single" w:color="auto" w:sz="18" w:space="0"/>
              <w:bottom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restart"/>
            <w:tcBorders>
              <w:top w:val="single" w:color="auto" w:sz="18" w:space="0"/>
              <w:left w:val="single" w:color="auto" w:sz="18" w:space="0"/>
              <w:right w:val="single" w:color="auto" w:sz="18" w:space="0"/>
            </w:tcBorders>
            <w:shd w:val="clear" w:color="auto" w:fill="auto"/>
            <w:noWrap w:val="0"/>
            <w:vAlign w:val="top"/>
          </w:tcPr>
          <w:p>
            <w:pPr>
              <w:jc w:val="center"/>
              <w:rPr>
                <w:rFonts w:hint="eastAsia" w:ascii="宋体"/>
                <w:b/>
                <w:sz w:val="18"/>
                <w:szCs w:val="18"/>
              </w:rPr>
            </w:pPr>
          </w:p>
          <w:p>
            <w:pPr>
              <w:pBdr>
                <w:right w:val="single" w:color="auto" w:sz="18" w:space="4"/>
              </w:pBdr>
              <w:jc w:val="center"/>
              <w:rPr>
                <w:rFonts w:hint="eastAsia" w:ascii="宋体"/>
                <w:b/>
                <w:sz w:val="18"/>
                <w:szCs w:val="18"/>
              </w:rPr>
            </w:pPr>
          </w:p>
          <w:p>
            <w:pPr>
              <w:pBdr>
                <w:right w:val="single" w:color="auto" w:sz="18" w:space="4"/>
              </w:pBdr>
              <w:jc w:val="center"/>
              <w:rPr>
                <w:rFonts w:hint="eastAsia" w:ascii="宋体"/>
                <w:b/>
                <w:sz w:val="18"/>
                <w:szCs w:val="18"/>
              </w:rPr>
            </w:pPr>
          </w:p>
          <w:p>
            <w:pPr>
              <w:pBdr>
                <w:right w:val="single" w:color="auto" w:sz="18" w:space="4"/>
              </w:pBdr>
              <w:jc w:val="center"/>
              <w:rPr>
                <w:rFonts w:hint="eastAsia" w:ascii="宋体"/>
                <w:b/>
                <w:sz w:val="18"/>
                <w:szCs w:val="18"/>
              </w:rPr>
            </w:pPr>
          </w:p>
          <w:p>
            <w:pPr>
              <w:pBdr>
                <w:right w:val="single" w:color="auto" w:sz="18" w:space="4"/>
              </w:pBdr>
              <w:jc w:val="center"/>
              <w:rPr>
                <w:rFonts w:ascii="宋体"/>
                <w:b/>
                <w:sz w:val="18"/>
                <w:szCs w:val="18"/>
              </w:rPr>
            </w:pPr>
            <w:r>
              <w:rPr>
                <w:rFonts w:hint="eastAsia" w:ascii="宋体"/>
                <w:b/>
                <w:sz w:val="18"/>
                <w:szCs w:val="18"/>
              </w:rPr>
              <w:t>接受输入的安全要素</w:t>
            </w:r>
          </w:p>
        </w:tc>
        <w:tc>
          <w:tcPr>
            <w:tcW w:w="564" w:type="dxa"/>
            <w:tcBorders>
              <w:top w:val="single" w:color="auto" w:sz="18" w:space="0"/>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SF1</w:t>
            </w:r>
          </w:p>
        </w:tc>
        <w:tc>
          <w:tcPr>
            <w:tcW w:w="473" w:type="dxa"/>
            <w:tcBorders>
              <w:top w:val="single" w:color="auto" w:sz="18" w:space="0"/>
              <w:left w:val="single" w:color="auto" w:sz="18" w:space="0"/>
            </w:tcBorders>
            <w:shd w:val="clear" w:color="auto" w:fill="auto"/>
            <w:noWrap w:val="0"/>
            <w:vAlign w:val="top"/>
          </w:tcPr>
          <w:p>
            <w:pPr>
              <w:rPr>
                <w:rFonts w:ascii="宋体"/>
                <w:b/>
                <w:sz w:val="18"/>
                <w:szCs w:val="18"/>
              </w:rPr>
            </w:pPr>
          </w:p>
        </w:tc>
        <w:tc>
          <w:tcPr>
            <w:tcW w:w="473"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354"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86"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86"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86"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top w:val="single" w:color="auto" w:sz="18" w:space="0"/>
            </w:tcBorders>
            <w:shd w:val="clear" w:color="auto" w:fill="auto"/>
            <w:noWrap w:val="0"/>
            <w:vAlign w:val="top"/>
          </w:tcPr>
          <w:p>
            <w:pPr>
              <w:rPr>
                <w:rFonts w:ascii="宋体"/>
                <w:b/>
                <w:sz w:val="18"/>
                <w:szCs w:val="18"/>
              </w:rPr>
            </w:pPr>
          </w:p>
        </w:tc>
        <w:tc>
          <w:tcPr>
            <w:tcW w:w="580" w:type="dxa"/>
            <w:tcBorders>
              <w:top w:val="single" w:color="auto" w:sz="18" w:space="0"/>
            </w:tcBorders>
            <w:shd w:val="clear" w:color="auto" w:fill="auto"/>
            <w:noWrap w:val="0"/>
            <w:vAlign w:val="top"/>
          </w:tcPr>
          <w:p>
            <w:pPr>
              <w:rPr>
                <w:rFonts w:ascii="宋体"/>
                <w:b/>
                <w:sz w:val="18"/>
                <w:szCs w:val="18"/>
              </w:rPr>
            </w:pPr>
          </w:p>
        </w:tc>
        <w:tc>
          <w:tcPr>
            <w:tcW w:w="580"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top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top w:val="single" w:color="auto" w:sz="18" w:space="0"/>
              <w:righ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SF2</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p>
        </w:tc>
        <w:tc>
          <w:tcPr>
            <w:tcW w:w="580" w:type="dxa"/>
            <w:tcBorders>
              <w:right w:val="single" w:color="auto" w:sz="18" w:space="0"/>
            </w:tcBorders>
            <w:shd w:val="clear" w:color="auto" w:fill="auto"/>
            <w:noWrap w:val="0"/>
            <w:vAlign w:val="top"/>
          </w:tcPr>
          <w:p>
            <w:pPr>
              <w:rPr>
                <w:rFonts w:asci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SF3</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right w:val="single" w:color="auto" w:sz="18" w:space="0"/>
            </w:tcBorders>
            <w:shd w:val="clear" w:color="auto" w:fill="auto"/>
            <w:noWrap w:val="0"/>
            <w:vAlign w:val="top"/>
          </w:tcPr>
          <w:p>
            <w:pPr>
              <w:rPr>
                <w:rFonts w:asci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SF4</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p>
        </w:tc>
        <w:tc>
          <w:tcPr>
            <w:tcW w:w="580" w:type="dxa"/>
            <w:tcBorders>
              <w:right w:val="single" w:color="auto" w:sz="18" w:space="0"/>
            </w:tcBorders>
            <w:shd w:val="clear" w:color="auto" w:fill="auto"/>
            <w:noWrap w:val="0"/>
            <w:vAlign w:val="top"/>
          </w:tcPr>
          <w:p>
            <w:pPr>
              <w:rPr>
                <w:rFonts w:asci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SF5</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right w:val="single" w:color="auto" w:sz="18" w:space="0"/>
            </w:tcBorders>
            <w:shd w:val="clear" w:color="auto" w:fill="auto"/>
            <w:noWrap w:val="0"/>
            <w:vAlign w:val="top"/>
          </w:tcPr>
          <w:p>
            <w:pPr>
              <w:rPr>
                <w:rFonts w:asci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SF6</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right w:val="single" w:color="auto" w:sz="18" w:space="0"/>
            </w:tcBorders>
            <w:shd w:val="clear" w:color="auto" w:fill="auto"/>
            <w:noWrap w:val="0"/>
            <w:vAlign w:val="top"/>
          </w:tcPr>
          <w:p>
            <w:pPr>
              <w:rPr>
                <w:rFonts w:asci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SF7</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righ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SF8</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tcBorders>
              <w:righ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SF9</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p>
        </w:tc>
        <w:tc>
          <w:tcPr>
            <w:tcW w:w="354"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p>
        </w:tc>
        <w:tc>
          <w:tcPr>
            <w:tcW w:w="580" w:type="dxa"/>
            <w:tcBorders>
              <w:righ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SF10</w:t>
            </w:r>
          </w:p>
        </w:tc>
        <w:tc>
          <w:tcPr>
            <w:tcW w:w="473" w:type="dxa"/>
            <w:tcBorders>
              <w:left w:val="single" w:color="auto" w:sz="18" w:space="0"/>
            </w:tcBorders>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tcBorders>
              <w:righ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SF11</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righ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SF12</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p>
        </w:tc>
        <w:tc>
          <w:tcPr>
            <w:tcW w:w="580" w:type="dxa"/>
            <w:tcBorders>
              <w:right w:val="single" w:color="auto" w:sz="18" w:space="0"/>
            </w:tcBorders>
            <w:shd w:val="clear" w:color="auto" w:fill="auto"/>
            <w:noWrap w:val="0"/>
            <w:vAlign w:val="top"/>
          </w:tcPr>
          <w:p>
            <w:pPr>
              <w:rPr>
                <w:rFonts w:asci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SF13</w:t>
            </w:r>
          </w:p>
        </w:tc>
        <w:tc>
          <w:tcPr>
            <w:tcW w:w="473" w:type="dxa"/>
            <w:tcBorders>
              <w:left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p>
        </w:tc>
        <w:tc>
          <w:tcPr>
            <w:tcW w:w="473" w:type="dxa"/>
            <w:shd w:val="clear" w:color="auto" w:fill="auto"/>
            <w:noWrap w:val="0"/>
            <w:vAlign w:val="top"/>
          </w:tcPr>
          <w:p>
            <w:pPr>
              <w:rPr>
                <w:rFonts w:ascii="宋体"/>
                <w:b/>
                <w:sz w:val="18"/>
                <w:szCs w:val="18"/>
              </w:rPr>
            </w:pPr>
            <w:r>
              <w:rPr>
                <w:rFonts w:hint="eastAsia" w:ascii="宋体" w:hAnsi="宋体"/>
                <w:b/>
                <w:sz w:val="18"/>
                <w:szCs w:val="18"/>
              </w:rPr>
              <w:t>×</w:t>
            </w:r>
          </w:p>
        </w:tc>
        <w:tc>
          <w:tcPr>
            <w:tcW w:w="354"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486"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r>
              <w:rPr>
                <w:rFonts w:hint="eastAsia" w:ascii="宋体" w:hAnsi="宋体"/>
                <w:b/>
                <w:sz w:val="18"/>
                <w:szCs w:val="18"/>
              </w:rPr>
              <w:t>×</w:t>
            </w:r>
          </w:p>
        </w:tc>
        <w:tc>
          <w:tcPr>
            <w:tcW w:w="580" w:type="dxa"/>
            <w:shd w:val="clear" w:color="auto" w:fill="auto"/>
            <w:noWrap w:val="0"/>
            <w:vAlign w:val="top"/>
          </w:tcPr>
          <w:p>
            <w:pPr>
              <w:rPr>
                <w:rFonts w:ascii="宋体"/>
                <w:b/>
                <w:sz w:val="18"/>
                <w:szCs w:val="18"/>
              </w:rPr>
            </w:pPr>
          </w:p>
        </w:tc>
        <w:tc>
          <w:tcPr>
            <w:tcW w:w="580" w:type="dxa"/>
            <w:shd w:val="clear" w:color="auto" w:fill="auto"/>
            <w:noWrap w:val="0"/>
            <w:vAlign w:val="top"/>
          </w:tcPr>
          <w:p>
            <w:pPr>
              <w:rPr>
                <w:rFonts w:ascii="宋体"/>
                <w:b/>
                <w:sz w:val="18"/>
                <w:szCs w:val="18"/>
              </w:rPr>
            </w:pPr>
          </w:p>
        </w:tc>
        <w:tc>
          <w:tcPr>
            <w:tcW w:w="580" w:type="dxa"/>
            <w:tcBorders>
              <w:right w:val="single" w:color="auto" w:sz="18" w:space="0"/>
            </w:tcBorders>
            <w:shd w:val="clear" w:color="auto" w:fill="auto"/>
            <w:noWrap w:val="0"/>
            <w:vAlign w:val="top"/>
          </w:tcPr>
          <w:p>
            <w:pPr>
              <w:rPr>
                <w:rFonts w:ascii="宋体"/>
                <w:b/>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25" w:hRule="atLeast"/>
          <w:jc w:val="center"/>
        </w:trPr>
        <w:tc>
          <w:tcPr>
            <w:tcW w:w="426" w:type="dxa"/>
            <w:vMerge w:val="continue"/>
            <w:tcBorders>
              <w:left w:val="single" w:color="auto" w:sz="18" w:space="0"/>
              <w:bottom w:val="single" w:color="auto" w:sz="18" w:space="0"/>
              <w:right w:val="single" w:color="auto" w:sz="18" w:space="0"/>
            </w:tcBorders>
            <w:shd w:val="clear" w:color="auto" w:fill="auto"/>
            <w:noWrap w:val="0"/>
            <w:vAlign w:val="top"/>
          </w:tcPr>
          <w:p>
            <w:pPr>
              <w:rPr>
                <w:rFonts w:ascii="宋体"/>
                <w:b/>
                <w:sz w:val="18"/>
                <w:szCs w:val="18"/>
              </w:rPr>
            </w:pPr>
          </w:p>
        </w:tc>
        <w:tc>
          <w:tcPr>
            <w:tcW w:w="564" w:type="dxa"/>
            <w:tcBorders>
              <w:left w:val="single" w:color="auto" w:sz="18" w:space="0"/>
              <w:bottom w:val="single" w:color="auto" w:sz="18" w:space="0"/>
              <w:right w:val="single" w:color="auto" w:sz="18" w:space="0"/>
            </w:tcBorders>
            <w:shd w:val="clear" w:color="auto" w:fill="auto"/>
            <w:noWrap w:val="0"/>
            <w:vAlign w:val="top"/>
          </w:tcPr>
          <w:p>
            <w:pPr>
              <w:rPr>
                <w:rFonts w:ascii="宋体"/>
                <w:b/>
                <w:sz w:val="18"/>
                <w:szCs w:val="18"/>
              </w:rPr>
            </w:pPr>
            <w:r>
              <w:rPr>
                <w:rFonts w:hint="eastAsia" w:ascii="宋体"/>
                <w:b/>
                <w:sz w:val="18"/>
                <w:szCs w:val="18"/>
              </w:rPr>
              <w:t>SF14</w:t>
            </w:r>
          </w:p>
        </w:tc>
        <w:tc>
          <w:tcPr>
            <w:tcW w:w="473" w:type="dxa"/>
            <w:tcBorders>
              <w:left w:val="single" w:color="auto" w:sz="18" w:space="0"/>
              <w:bottom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tcBorders>
              <w:bottom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73" w:type="dxa"/>
            <w:tcBorders>
              <w:bottom w:val="single" w:color="auto" w:sz="18" w:space="0"/>
            </w:tcBorders>
            <w:shd w:val="clear" w:color="auto" w:fill="auto"/>
            <w:noWrap w:val="0"/>
            <w:vAlign w:val="top"/>
          </w:tcPr>
          <w:p>
            <w:pPr>
              <w:rPr>
                <w:rFonts w:ascii="宋体"/>
                <w:b/>
                <w:sz w:val="18"/>
                <w:szCs w:val="18"/>
              </w:rPr>
            </w:pPr>
          </w:p>
        </w:tc>
        <w:tc>
          <w:tcPr>
            <w:tcW w:w="473" w:type="dxa"/>
            <w:tcBorders>
              <w:bottom w:val="single" w:color="auto" w:sz="18" w:space="0"/>
            </w:tcBorders>
            <w:shd w:val="clear" w:color="auto" w:fill="auto"/>
            <w:noWrap w:val="0"/>
            <w:vAlign w:val="top"/>
          </w:tcPr>
          <w:p>
            <w:pPr>
              <w:rPr>
                <w:rFonts w:ascii="宋体"/>
                <w:b/>
                <w:sz w:val="18"/>
                <w:szCs w:val="18"/>
              </w:rPr>
            </w:pPr>
          </w:p>
        </w:tc>
        <w:tc>
          <w:tcPr>
            <w:tcW w:w="473" w:type="dxa"/>
            <w:tcBorders>
              <w:bottom w:val="single" w:color="auto" w:sz="18" w:space="0"/>
            </w:tcBorders>
            <w:shd w:val="clear" w:color="auto" w:fill="auto"/>
            <w:noWrap w:val="0"/>
            <w:vAlign w:val="top"/>
          </w:tcPr>
          <w:p>
            <w:pPr>
              <w:rPr>
                <w:rFonts w:ascii="宋体"/>
                <w:b/>
                <w:sz w:val="18"/>
                <w:szCs w:val="18"/>
              </w:rPr>
            </w:pPr>
          </w:p>
        </w:tc>
        <w:tc>
          <w:tcPr>
            <w:tcW w:w="354" w:type="dxa"/>
            <w:tcBorders>
              <w:bottom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86" w:type="dxa"/>
            <w:tcBorders>
              <w:bottom w:val="single" w:color="auto" w:sz="18" w:space="0"/>
            </w:tcBorders>
            <w:shd w:val="clear" w:color="auto" w:fill="auto"/>
            <w:noWrap w:val="0"/>
            <w:vAlign w:val="top"/>
          </w:tcPr>
          <w:p>
            <w:pPr>
              <w:rPr>
                <w:rFonts w:ascii="宋体"/>
                <w:b/>
                <w:sz w:val="18"/>
                <w:szCs w:val="18"/>
              </w:rPr>
            </w:pPr>
          </w:p>
        </w:tc>
        <w:tc>
          <w:tcPr>
            <w:tcW w:w="486" w:type="dxa"/>
            <w:tcBorders>
              <w:bottom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486" w:type="dxa"/>
            <w:tcBorders>
              <w:bottom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bottom w:val="single" w:color="auto" w:sz="18" w:space="0"/>
            </w:tcBorders>
            <w:shd w:val="clear" w:color="auto" w:fill="auto"/>
            <w:noWrap w:val="0"/>
            <w:vAlign w:val="top"/>
          </w:tcPr>
          <w:p>
            <w:pPr>
              <w:rPr>
                <w:rFonts w:ascii="宋体"/>
                <w:b/>
                <w:sz w:val="18"/>
                <w:szCs w:val="18"/>
              </w:rPr>
            </w:pPr>
          </w:p>
        </w:tc>
        <w:tc>
          <w:tcPr>
            <w:tcW w:w="580" w:type="dxa"/>
            <w:tcBorders>
              <w:bottom w:val="single" w:color="auto" w:sz="18" w:space="0"/>
            </w:tcBorders>
            <w:shd w:val="clear" w:color="auto" w:fill="auto"/>
            <w:noWrap w:val="0"/>
            <w:vAlign w:val="top"/>
          </w:tcPr>
          <w:p>
            <w:pPr>
              <w:rPr>
                <w:rFonts w:ascii="宋体"/>
                <w:b/>
                <w:sz w:val="18"/>
                <w:szCs w:val="18"/>
              </w:rPr>
            </w:pPr>
            <w:r>
              <w:rPr>
                <w:rFonts w:hint="eastAsia" w:ascii="宋体" w:hAnsi="宋体"/>
                <w:b/>
                <w:sz w:val="18"/>
                <w:szCs w:val="18"/>
              </w:rPr>
              <w:t>×</w:t>
            </w:r>
          </w:p>
        </w:tc>
        <w:tc>
          <w:tcPr>
            <w:tcW w:w="580" w:type="dxa"/>
            <w:tcBorders>
              <w:bottom w:val="single" w:color="auto" w:sz="18" w:space="0"/>
            </w:tcBorders>
            <w:shd w:val="clear" w:color="auto" w:fill="auto"/>
            <w:noWrap w:val="0"/>
            <w:vAlign w:val="top"/>
          </w:tcPr>
          <w:p>
            <w:pPr>
              <w:rPr>
                <w:rFonts w:ascii="宋体"/>
                <w:b/>
                <w:sz w:val="18"/>
                <w:szCs w:val="18"/>
              </w:rPr>
            </w:pPr>
          </w:p>
        </w:tc>
        <w:tc>
          <w:tcPr>
            <w:tcW w:w="580" w:type="dxa"/>
            <w:tcBorders>
              <w:bottom w:val="single" w:color="auto" w:sz="18" w:space="0"/>
            </w:tcBorders>
            <w:shd w:val="clear" w:color="auto" w:fill="auto"/>
            <w:noWrap w:val="0"/>
            <w:vAlign w:val="top"/>
          </w:tcPr>
          <w:p>
            <w:pPr>
              <w:rPr>
                <w:rFonts w:ascii="宋体"/>
                <w:b/>
                <w:sz w:val="18"/>
                <w:szCs w:val="18"/>
              </w:rPr>
            </w:pPr>
          </w:p>
        </w:tc>
        <w:tc>
          <w:tcPr>
            <w:tcW w:w="580" w:type="dxa"/>
            <w:tcBorders>
              <w:bottom w:val="single" w:color="auto" w:sz="18" w:space="0"/>
              <w:right w:val="single" w:color="auto" w:sz="18" w:space="0"/>
            </w:tcBorders>
            <w:shd w:val="clear" w:color="auto" w:fill="auto"/>
            <w:noWrap w:val="0"/>
            <w:vAlign w:val="top"/>
          </w:tcPr>
          <w:p>
            <w:pPr>
              <w:rPr>
                <w:rFonts w:ascii="宋体"/>
                <w:b/>
                <w:sz w:val="18"/>
                <w:szCs w:val="18"/>
              </w:rPr>
            </w:pPr>
          </w:p>
        </w:tc>
      </w:tr>
    </w:tbl>
    <w:p>
      <w:pPr>
        <w:spacing w:line="360" w:lineRule="auto"/>
        <w:ind w:firstLine="420" w:firstLineChars="200"/>
        <w:rPr>
          <w:rFonts w:hint="eastAsia" w:hAnsi="宋体"/>
          <w:szCs w:val="21"/>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spacing w:line="360" w:lineRule="auto"/>
        <w:jc w:val="center"/>
        <w:rPr>
          <w:rFonts w:ascii="黑体" w:eastAsia="黑体"/>
          <w:kern w:val="0"/>
          <w:szCs w:val="20"/>
        </w:rPr>
      </w:pPr>
    </w:p>
    <w:p>
      <w:pPr>
        <w:pStyle w:val="86"/>
        <w:spacing w:before="156" w:after="156"/>
        <w:ind w:left="0"/>
        <w:rPr>
          <w:rFonts w:hint="eastAsia"/>
        </w:rPr>
      </w:pPr>
      <w:r>
        <w:br w:type="textWrapping"/>
      </w:r>
      <w:bookmarkStart w:id="130" w:name="_Toc129250168"/>
      <w:r>
        <w:rPr>
          <w:rFonts w:hint="eastAsia"/>
        </w:rPr>
        <w:t>（资料性附录）</w:t>
      </w:r>
      <w:r>
        <w:br w:type="textWrapping"/>
      </w:r>
      <w:r>
        <w:rPr>
          <w:rFonts w:hint="eastAsia"/>
        </w:rPr>
        <w:t>核电厂PSR大纲的一般内容</w:t>
      </w:r>
      <w:bookmarkEnd w:id="130"/>
    </w:p>
    <w:p>
      <w:pPr>
        <w:spacing w:line="360" w:lineRule="auto"/>
        <w:jc w:val="center"/>
        <w:rPr>
          <w:rFonts w:ascii="黑体" w:eastAsia="黑体"/>
          <w:kern w:val="0"/>
          <w:szCs w:val="20"/>
        </w:rPr>
      </w:pPr>
    </w:p>
    <w:p>
      <w:pPr>
        <w:pStyle w:val="146"/>
        <w:ind w:firstLine="199" w:firstLineChars="95"/>
        <w:jc w:val="center"/>
        <w:rPr>
          <w:rFonts w:hint="eastAsia" w:ascii="黑体" w:eastAsia="黑体"/>
          <w:lang w:val="en-US" w:eastAsia="zh-CN"/>
        </w:rPr>
      </w:pPr>
    </w:p>
    <w:p>
      <w:pPr>
        <w:pStyle w:val="150"/>
        <w:numPr>
          <w:ilvl w:val="0"/>
          <w:numId w:val="26"/>
        </w:numPr>
        <w:ind w:left="846" w:leftChars="200" w:hanging="426"/>
        <w:rPr>
          <w:lang/>
        </w:rPr>
      </w:pPr>
      <w:r>
        <w:rPr>
          <w:lang/>
        </w:rPr>
        <w:t>引言</w:t>
      </w:r>
    </w:p>
    <w:p>
      <w:pPr>
        <w:pStyle w:val="150"/>
        <w:numPr>
          <w:ilvl w:val="0"/>
          <w:numId w:val="27"/>
        </w:numPr>
        <w:ind w:left="1272" w:leftChars="403"/>
      </w:pPr>
      <w:r>
        <w:t>目的</w:t>
      </w:r>
    </w:p>
    <w:p>
      <w:pPr>
        <w:pStyle w:val="150"/>
        <w:numPr>
          <w:ilvl w:val="0"/>
          <w:numId w:val="27"/>
        </w:numPr>
        <w:ind w:left="1272" w:leftChars="403"/>
      </w:pPr>
      <w:r>
        <w:t>适用范围</w:t>
      </w:r>
    </w:p>
    <w:p>
      <w:pPr>
        <w:pStyle w:val="150"/>
        <w:numPr>
          <w:ilvl w:val="0"/>
          <w:numId w:val="26"/>
        </w:numPr>
        <w:ind w:left="846" w:leftChars="200" w:hanging="426"/>
      </w:pPr>
      <w:r>
        <w:t>组织管理</w:t>
      </w:r>
    </w:p>
    <w:p>
      <w:pPr>
        <w:pStyle w:val="150"/>
        <w:numPr>
          <w:ilvl w:val="0"/>
          <w:numId w:val="28"/>
        </w:numPr>
        <w:ind w:left="1272" w:leftChars="403"/>
      </w:pPr>
      <w:r>
        <w:t>项目的组织，包括任务和职责</w:t>
      </w:r>
    </w:p>
    <w:p>
      <w:pPr>
        <w:pStyle w:val="150"/>
        <w:numPr>
          <w:ilvl w:val="0"/>
          <w:numId w:val="28"/>
        </w:numPr>
        <w:ind w:left="1272" w:leftChars="403"/>
      </w:pPr>
      <w:r>
        <w:t>人员资格和培训</w:t>
      </w:r>
    </w:p>
    <w:p>
      <w:pPr>
        <w:pStyle w:val="150"/>
        <w:numPr>
          <w:ilvl w:val="0"/>
          <w:numId w:val="28"/>
        </w:numPr>
        <w:ind w:left="1272" w:leftChars="403"/>
      </w:pPr>
      <w:r>
        <w:rPr>
          <w:rFonts w:hint="eastAsia"/>
        </w:rPr>
        <w:t>项目管理过程</w:t>
      </w:r>
    </w:p>
    <w:p>
      <w:pPr>
        <w:pStyle w:val="150"/>
        <w:numPr>
          <w:ilvl w:val="0"/>
          <w:numId w:val="26"/>
        </w:numPr>
        <w:ind w:left="846" w:leftChars="200" w:hanging="426"/>
      </w:pPr>
      <w:r>
        <w:rPr>
          <w:rFonts w:hint="eastAsia"/>
        </w:rPr>
        <w:t>评价</w:t>
      </w:r>
      <w:r>
        <w:t>策略及方法</w:t>
      </w:r>
    </w:p>
    <w:p>
      <w:pPr>
        <w:pStyle w:val="150"/>
        <w:numPr>
          <w:ilvl w:val="0"/>
          <w:numId w:val="29"/>
        </w:numPr>
        <w:ind w:left="1272" w:leftChars="403"/>
      </w:pPr>
      <w:r>
        <w:rPr>
          <w:rFonts w:hint="eastAsia"/>
        </w:rPr>
        <w:t>评价</w:t>
      </w:r>
      <w:r>
        <w:t>范围</w:t>
      </w:r>
      <w:r>
        <w:rPr>
          <w:rFonts w:hint="eastAsia"/>
        </w:rPr>
        <w:t>，包括核电厂名称、数据采样时间段等</w:t>
      </w:r>
    </w:p>
    <w:p>
      <w:pPr>
        <w:pStyle w:val="150"/>
        <w:numPr>
          <w:ilvl w:val="0"/>
          <w:numId w:val="29"/>
        </w:numPr>
        <w:ind w:left="1272" w:leftChars="403"/>
      </w:pPr>
      <w:r>
        <w:rPr>
          <w:rFonts w:hint="eastAsia"/>
        </w:rPr>
        <w:t>评价</w:t>
      </w:r>
      <w:r>
        <w:t>策略</w:t>
      </w:r>
    </w:p>
    <w:p>
      <w:pPr>
        <w:pStyle w:val="150"/>
        <w:numPr>
          <w:ilvl w:val="0"/>
          <w:numId w:val="29"/>
        </w:numPr>
        <w:ind w:left="1272" w:leftChars="403"/>
      </w:pPr>
      <w:r>
        <w:rPr>
          <w:rFonts w:hint="eastAsia"/>
        </w:rPr>
        <w:t>评价</w:t>
      </w:r>
      <w:r>
        <w:t>依据</w:t>
      </w:r>
      <w:r>
        <w:rPr>
          <w:rFonts w:hint="eastAsia"/>
        </w:rPr>
        <w:t>（安全基准和安全提升目标）</w:t>
      </w:r>
    </w:p>
    <w:p>
      <w:pPr>
        <w:pStyle w:val="150"/>
        <w:numPr>
          <w:ilvl w:val="0"/>
          <w:numId w:val="29"/>
        </w:numPr>
        <w:ind w:left="1272" w:leftChars="403"/>
      </w:pPr>
      <w:r>
        <w:rPr>
          <w:rFonts w:hint="eastAsia"/>
        </w:rPr>
        <w:t>评价</w:t>
      </w:r>
      <w:r>
        <w:t>方法</w:t>
      </w:r>
    </w:p>
    <w:p>
      <w:pPr>
        <w:pStyle w:val="150"/>
        <w:numPr>
          <w:ilvl w:val="0"/>
          <w:numId w:val="26"/>
        </w:numPr>
        <w:ind w:left="846" w:leftChars="200" w:hanging="426"/>
      </w:pPr>
      <w:r>
        <w:rPr>
          <w:rFonts w:hint="eastAsia"/>
        </w:rPr>
        <w:t>评价</w:t>
      </w:r>
      <w:r>
        <w:t>计划</w:t>
      </w:r>
    </w:p>
    <w:p>
      <w:pPr>
        <w:pStyle w:val="150"/>
        <w:numPr>
          <w:ilvl w:val="0"/>
          <w:numId w:val="30"/>
        </w:numPr>
        <w:ind w:left="1272" w:leftChars="403"/>
        <w:rPr>
          <w:rFonts w:hint="eastAsia"/>
        </w:rPr>
      </w:pPr>
      <w:r>
        <w:t>时间计划表，包括所有重要的里程碑和截止日期</w:t>
      </w:r>
    </w:p>
    <w:p>
      <w:pPr>
        <w:pStyle w:val="150"/>
        <w:numPr>
          <w:ilvl w:val="0"/>
          <w:numId w:val="26"/>
        </w:numPr>
        <w:ind w:left="846" w:leftChars="200" w:hanging="426"/>
      </w:pPr>
      <w:r>
        <w:rPr>
          <w:rFonts w:hint="eastAsia"/>
        </w:rPr>
        <w:t>项目</w:t>
      </w:r>
      <w:r>
        <w:t>文件</w:t>
      </w:r>
    </w:p>
    <w:p>
      <w:pPr>
        <w:pStyle w:val="150"/>
        <w:numPr>
          <w:ilvl w:val="0"/>
          <w:numId w:val="31"/>
        </w:numPr>
        <w:ind w:left="1272" w:leftChars="403"/>
      </w:pPr>
      <w:r>
        <w:rPr>
          <w:rFonts w:hint="eastAsia"/>
        </w:rPr>
        <w:t>项目</w:t>
      </w:r>
      <w:r>
        <w:t>文件</w:t>
      </w:r>
      <w:r>
        <w:rPr>
          <w:rFonts w:hint="eastAsia"/>
        </w:rPr>
        <w:t>清单</w:t>
      </w:r>
    </w:p>
    <w:p>
      <w:pPr>
        <w:pStyle w:val="150"/>
        <w:numPr>
          <w:ilvl w:val="0"/>
          <w:numId w:val="31"/>
        </w:numPr>
        <w:ind w:left="1272" w:leftChars="403"/>
      </w:pPr>
      <w:r>
        <w:t>需</w:t>
      </w:r>
      <w:r>
        <w:rPr>
          <w:rFonts w:hint="eastAsia"/>
        </w:rPr>
        <w:t>国家核安全局</w:t>
      </w:r>
      <w:r>
        <w:t>认可的文件</w:t>
      </w:r>
    </w:p>
    <w:p>
      <w:pPr>
        <w:pStyle w:val="150"/>
        <w:numPr>
          <w:ilvl w:val="0"/>
          <w:numId w:val="26"/>
        </w:numPr>
        <w:ind w:left="846" w:leftChars="200" w:hanging="426"/>
      </w:pPr>
      <w:r>
        <w:rPr>
          <w:rFonts w:hint="eastAsia"/>
        </w:rPr>
        <w:t>向国家核安全局提交PSR大纲、要素/专项评价报告、总体评价报告的计划</w:t>
      </w:r>
    </w:p>
    <w:p>
      <w:pPr>
        <w:pStyle w:val="150"/>
        <w:numPr>
          <w:ilvl w:val="0"/>
          <w:numId w:val="26"/>
        </w:numPr>
        <w:ind w:left="846" w:leftChars="200" w:hanging="426"/>
      </w:pPr>
      <w:r>
        <w:t>安全要素</w:t>
      </w:r>
      <w:r>
        <w:rPr>
          <w:rFonts w:hint="eastAsia"/>
        </w:rPr>
        <w:t>和评价专项，每个</w:t>
      </w:r>
      <w:r>
        <w:t>安全要素</w:t>
      </w:r>
      <w:r>
        <w:rPr>
          <w:rFonts w:hint="eastAsia"/>
        </w:rPr>
        <w:t>/评价专项</w:t>
      </w:r>
      <w:r>
        <w:t>应提供以下信息：</w:t>
      </w:r>
    </w:p>
    <w:p>
      <w:pPr>
        <w:pStyle w:val="150"/>
        <w:numPr>
          <w:ilvl w:val="0"/>
          <w:numId w:val="32"/>
        </w:numPr>
        <w:ind w:left="1272" w:leftChars="403"/>
      </w:pPr>
      <w:r>
        <w:t>目标和范围</w:t>
      </w:r>
    </w:p>
    <w:p>
      <w:pPr>
        <w:pStyle w:val="150"/>
        <w:numPr>
          <w:ilvl w:val="0"/>
          <w:numId w:val="32"/>
        </w:numPr>
        <w:ind w:left="1272" w:leftChars="403"/>
      </w:pPr>
      <w:r>
        <w:t>专题设置</w:t>
      </w:r>
    </w:p>
    <w:p>
      <w:pPr>
        <w:pStyle w:val="150"/>
        <w:numPr>
          <w:ilvl w:val="0"/>
          <w:numId w:val="32"/>
        </w:numPr>
        <w:ind w:left="1272" w:leftChars="403"/>
      </w:pPr>
      <w:r>
        <w:rPr>
          <w:rFonts w:hint="eastAsia"/>
        </w:rPr>
        <w:t>评价输入</w:t>
      </w:r>
    </w:p>
    <w:p>
      <w:pPr>
        <w:pStyle w:val="150"/>
        <w:numPr>
          <w:ilvl w:val="0"/>
          <w:numId w:val="32"/>
        </w:numPr>
        <w:ind w:left="1272" w:leftChars="403"/>
      </w:pPr>
      <w:r>
        <w:rPr>
          <w:rFonts w:hint="eastAsia"/>
        </w:rPr>
        <w:t>评价流程</w:t>
      </w:r>
    </w:p>
    <w:p>
      <w:pPr>
        <w:pStyle w:val="150"/>
        <w:numPr>
          <w:ilvl w:val="0"/>
          <w:numId w:val="32"/>
        </w:numPr>
        <w:ind w:left="1272" w:leftChars="403"/>
      </w:pPr>
      <w:r>
        <w:rPr>
          <w:rFonts w:hint="eastAsia"/>
        </w:rPr>
        <w:t>评价方法</w:t>
      </w:r>
    </w:p>
    <w:p>
      <w:pPr>
        <w:pStyle w:val="150"/>
        <w:numPr>
          <w:ilvl w:val="0"/>
          <w:numId w:val="26"/>
        </w:numPr>
        <w:ind w:left="846" w:leftChars="200" w:hanging="426"/>
      </w:pPr>
      <w:r>
        <w:t>总体评价</w:t>
      </w:r>
    </w:p>
    <w:p>
      <w:pPr>
        <w:pStyle w:val="150"/>
        <w:numPr>
          <w:ilvl w:val="0"/>
          <w:numId w:val="33"/>
        </w:numPr>
        <w:ind w:left="1272" w:leftChars="403"/>
        <w:rPr>
          <w:rFonts w:hint="eastAsia"/>
        </w:rPr>
      </w:pPr>
      <w:r>
        <w:rPr>
          <w:rFonts w:hint="eastAsia"/>
        </w:rPr>
        <w:t>总体评价</w:t>
      </w:r>
      <w:r>
        <w:t>方法</w:t>
      </w:r>
    </w:p>
    <w:p>
      <w:pPr>
        <w:pStyle w:val="150"/>
        <w:numPr>
          <w:ilvl w:val="0"/>
          <w:numId w:val="26"/>
        </w:numPr>
        <w:ind w:left="846" w:leftChars="200" w:hanging="426"/>
      </w:pPr>
      <w:r>
        <w:rPr>
          <w:rFonts w:hint="eastAsia"/>
        </w:rPr>
        <w:t>附件</w:t>
      </w:r>
    </w:p>
    <w:p>
      <w:pPr>
        <w:pStyle w:val="150"/>
        <w:numPr>
          <w:ilvl w:val="0"/>
          <w:numId w:val="34"/>
        </w:numPr>
        <w:ind w:left="1272" w:leftChars="403"/>
      </w:pPr>
      <w:r>
        <w:rPr>
          <w:rFonts w:hint="eastAsia"/>
        </w:rPr>
        <w:t>安全基准清单</w:t>
      </w:r>
    </w:p>
    <w:p>
      <w:pPr>
        <w:pStyle w:val="150"/>
        <w:numPr>
          <w:ilvl w:val="0"/>
          <w:numId w:val="34"/>
        </w:numPr>
        <w:ind w:left="1272" w:leftChars="403"/>
      </w:pPr>
      <w:r>
        <w:rPr>
          <w:rFonts w:hint="eastAsia"/>
        </w:rPr>
        <w:t>现行安全标准和实践清单</w:t>
      </w:r>
    </w:p>
    <w:p>
      <w:pPr>
        <w:spacing w:line="360" w:lineRule="auto"/>
        <w:jc w:val="center"/>
        <w:rPr>
          <w:rFonts w:hint="eastAsia" w:hAnsi="宋体"/>
          <w:szCs w:val="21"/>
        </w:rPr>
      </w:pPr>
    </w:p>
    <w:p>
      <w:pPr>
        <w:spacing w:line="360" w:lineRule="auto"/>
        <w:ind w:firstLine="420" w:firstLineChars="200"/>
        <w:rPr>
          <w:rFonts w:hAnsi="宋体"/>
          <w:szCs w:val="21"/>
        </w:rPr>
      </w:pPr>
    </w:p>
    <w:p>
      <w:pPr>
        <w:spacing w:line="360" w:lineRule="auto"/>
        <w:ind w:firstLine="420" w:firstLineChars="200"/>
        <w:rPr>
          <w:rFonts w:hAnsi="宋体"/>
          <w:szCs w:val="21"/>
        </w:rPr>
      </w:pPr>
    </w:p>
    <w:p>
      <w:pPr>
        <w:spacing w:line="360" w:lineRule="auto"/>
        <w:ind w:firstLine="420" w:firstLineChars="200"/>
        <w:rPr>
          <w:rFonts w:hAnsi="宋体"/>
          <w:szCs w:val="21"/>
        </w:rPr>
      </w:pPr>
    </w:p>
    <w:p>
      <w:pPr>
        <w:spacing w:line="360" w:lineRule="auto"/>
        <w:ind w:firstLine="420" w:firstLineChars="200"/>
        <w:rPr>
          <w:rFonts w:hAnsi="宋体"/>
          <w:szCs w:val="21"/>
        </w:rPr>
      </w:pPr>
    </w:p>
    <w:p>
      <w:pPr>
        <w:spacing w:line="360" w:lineRule="auto"/>
        <w:ind w:firstLine="420" w:firstLineChars="200"/>
        <w:rPr>
          <w:rFonts w:hAnsi="宋体"/>
          <w:szCs w:val="21"/>
        </w:rPr>
      </w:pPr>
    </w:p>
    <w:p>
      <w:pPr>
        <w:pStyle w:val="86"/>
        <w:spacing w:before="156" w:after="156"/>
        <w:ind w:left="0"/>
        <w:rPr>
          <w:rFonts w:hint="eastAsia"/>
        </w:rPr>
      </w:pPr>
      <w:r>
        <w:br w:type="textWrapping"/>
      </w:r>
      <w:bookmarkStart w:id="131" w:name="_Toc129250169"/>
      <w:r>
        <w:rPr>
          <w:rFonts w:hint="eastAsia"/>
        </w:rPr>
        <w:t>（资料性附录）</w:t>
      </w:r>
      <w:r>
        <w:br w:type="textWrapping"/>
      </w:r>
      <w:r>
        <w:rPr>
          <w:rFonts w:hint="eastAsia"/>
        </w:rPr>
        <w:t>收益成本分析的一般方法</w:t>
      </w:r>
      <w:bookmarkEnd w:id="131"/>
    </w:p>
    <w:p>
      <w:pPr>
        <w:spacing w:line="360" w:lineRule="auto"/>
        <w:ind w:firstLine="420" w:firstLineChars="200"/>
        <w:jc w:val="center"/>
        <w:rPr>
          <w:rFonts w:hint="eastAsia" w:hAnsi="宋体"/>
          <w:szCs w:val="21"/>
        </w:rPr>
      </w:pPr>
    </w:p>
    <w:p>
      <w:pPr>
        <w:pStyle w:val="150"/>
        <w:tabs>
          <w:tab w:val="clear" w:pos="1266"/>
        </w:tabs>
        <w:ind w:left="839" w:firstLine="0"/>
        <w:rPr>
          <w:rFonts w:hint="eastAsia"/>
        </w:rPr>
      </w:pPr>
      <w:r>
        <w:rPr>
          <w:rFonts w:hint="eastAsia"/>
        </w:rPr>
        <w:t>对于核电厂SSCs纠正行动或安全改进的收益成本分析，可采用以下方法</w:t>
      </w:r>
    </w:p>
    <w:p>
      <w:pPr>
        <w:pStyle w:val="150"/>
        <w:numPr>
          <w:ilvl w:val="0"/>
          <w:numId w:val="35"/>
        </w:numPr>
      </w:pPr>
      <w:r>
        <w:rPr>
          <w:rFonts w:hint="eastAsia"/>
        </w:rPr>
        <w:t>成本分析主要考虑方案实施的总成本，包括设计费用、设备和材料采购费用、施工费用和运行费用（提高或降低可用率、增加或减少维修成本等）。</w:t>
      </w:r>
    </w:p>
    <w:p>
      <w:pPr>
        <w:pStyle w:val="150"/>
        <w:numPr>
          <w:ilvl w:val="0"/>
          <w:numId w:val="35"/>
        </w:numPr>
      </w:pPr>
      <w:r>
        <w:rPr>
          <w:rFonts w:hint="eastAsia"/>
        </w:rPr>
        <w:t>收益包含两个方面，一个是安全收益，另一个是经济效益：</w:t>
      </w:r>
    </w:p>
    <w:p>
      <w:pPr>
        <w:pStyle w:val="150"/>
        <w:numPr>
          <w:ilvl w:val="1"/>
          <w:numId w:val="35"/>
        </w:numPr>
      </w:pPr>
      <w:r>
        <w:rPr>
          <w:rFonts w:hint="eastAsia"/>
        </w:rPr>
        <w:t>安全收益可通过一个或多个安全指标的变化值来衡量，如堆芯熔化概率的降低、严重事故情况放射性产物排放的降低、设计基准事故运行时的排放量降低等。可根据行业经验建立上述安全指标单位变化量其同经济收益的关系，这样安全效益就等同了经济收益。</w:t>
      </w:r>
    </w:p>
    <w:p>
      <w:pPr>
        <w:pStyle w:val="150"/>
        <w:numPr>
          <w:ilvl w:val="1"/>
          <w:numId w:val="35"/>
        </w:numPr>
      </w:pPr>
      <w:r>
        <w:rPr>
          <w:rFonts w:hint="eastAsia"/>
        </w:rPr>
        <w:t>纠正\改进所带来的直接经济收益可能是避免跳机跳堆次数带来的收益、机组运行稳定性提高所导致的运维成本节省等。</w:t>
      </w:r>
    </w:p>
    <w:p>
      <w:pPr>
        <w:pStyle w:val="150"/>
        <w:numPr>
          <w:ilvl w:val="0"/>
          <w:numId w:val="35"/>
        </w:numPr>
      </w:pPr>
      <w:r>
        <w:rPr>
          <w:rFonts w:hint="eastAsia"/>
        </w:rPr>
        <w:t>对每一纠正行动或安全改进，成本减去收益便得到其带来的价值贡献。可把该价值贡献作为方案取舍或优先级确定的参考依据。</w:t>
      </w:r>
    </w:p>
    <w:p>
      <w:pPr>
        <w:rPr>
          <w:rFonts w:hint="eastAsia" w:ascii="宋体" w:hAnsi="宋体"/>
          <w:color w:val="000000"/>
          <w:kern w:val="0"/>
          <w:szCs w:val="20"/>
        </w:rPr>
      </w:pPr>
    </w:p>
    <w:p>
      <w:pPr>
        <w:pStyle w:val="88"/>
        <w:numPr>
          <w:ilvl w:val="0"/>
          <w:numId w:val="0"/>
        </w:numPr>
        <w:ind w:left="811"/>
        <w:jc w:val="both"/>
        <w:rPr>
          <w:rFonts w:hint="eastAsia"/>
        </w:rPr>
      </w:pPr>
    </w:p>
    <w:sectPr>
      <w:pgSz w:w="11906" w:h="16838"/>
      <w:pgMar w:top="567" w:right="1134" w:bottom="1134" w:left="1418" w:header="1418" w:footer="1134" w:gutter="0"/>
      <w:pgNumType w:start="1"/>
      <w:cols w:space="425" w:num="1"/>
      <w:formProt w:val="0"/>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ingLiU">
    <w:panose1 w:val="02020509000000000000"/>
    <w:charset w:val="88"/>
    <w:family w:val="modern"/>
    <w:pitch w:val="default"/>
    <w:sig w:usb0="A00002FF" w:usb1="28CFFCFA" w:usb2="00000016" w:usb3="00000000" w:csb0="00100001" w:csb1="00000000"/>
  </w:font>
  <w:font w:name="MS Mincho">
    <w:panose1 w:val="02020609040205080304"/>
    <w:charset w:val="80"/>
    <w:family w:val="modern"/>
    <w:pitch w:val="default"/>
    <w:sig w:usb0="E00002FF" w:usb1="6AC7FDFB" w:usb2="00000012" w:usb3="00000000" w:csb0="4002009F" w:csb1="DFD70000"/>
  </w:font>
  <w:font w:name="等线">
    <w:altName w:val="Arial Unicode MS"/>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rStyle w:val="39"/>
      </w:rPr>
      <w:fldChar w:fldCharType="begin"/>
    </w:r>
    <w:r>
      <w:rPr>
        <w:rStyle w:val="39"/>
      </w:rPr>
      <w:instrText xml:space="preserve"> PAGE </w:instrText>
    </w:r>
    <w:r>
      <w:rPr>
        <w:rStyle w:val="39"/>
      </w:rPr>
      <w:fldChar w:fldCharType="separate"/>
    </w:r>
    <w:r>
      <w:rPr>
        <w:rStyle w:val="39"/>
        <w:lang/>
      </w:rPr>
      <w:t>4</w:t>
    </w:r>
    <w:r>
      <w:rPr>
        <w:rStyle w:val="3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5"/>
    </w:pPr>
    <w:r>
      <w:fldChar w:fldCharType="begin"/>
    </w:r>
    <w:r>
      <w:instrText xml:space="preserve"> PAGE  \* MERGEFORMAT </w:instrText>
    </w:r>
    <w:r>
      <w:fldChar w:fldCharType="separate"/>
    </w:r>
    <w:r>
      <w:rPr>
        <w:lang/>
      </w:rP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hint="eastAsia"/>
      </w:rPr>
    </w:pPr>
    <w:r>
      <w:rPr>
        <w:rFonts w:hint="eastAsia"/>
      </w:rPr>
      <w:t>NB</w:t>
    </w:r>
    <w:r>
      <w:t>/T XXXXX—XXXX</w:t>
    </w:r>
  </w:p>
  <w:p>
    <w:pPr>
      <w:pStyle w:val="22"/>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6"/>
    </w:pPr>
    <w:r>
      <w:rPr>
        <w:rFonts w:hint="eastAsia"/>
      </w:rPr>
      <w:t>NB</w:t>
    </w:r>
    <w:r>
      <w:t>/T XXXXX—XXXX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66EB"/>
    <w:multiLevelType w:val="multilevel"/>
    <w:tmpl w:val="070E66EB"/>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72A0854"/>
    <w:multiLevelType w:val="multilevel"/>
    <w:tmpl w:val="072A0854"/>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2">
    <w:nsid w:val="079102AD"/>
    <w:multiLevelType w:val="multilevel"/>
    <w:tmpl w:val="079102AD"/>
    <w:lvl w:ilvl="0" w:tentative="0">
      <w:start w:val="1"/>
      <w:numFmt w:val="decimal"/>
      <w:pStyle w:val="60"/>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93C6778"/>
    <w:multiLevelType w:val="multilevel"/>
    <w:tmpl w:val="093C6778"/>
    <w:lvl w:ilvl="0" w:tentative="0">
      <w:start w:val="1"/>
      <w:numFmt w:val="decimal"/>
      <w:pStyle w:val="118"/>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AE367E9"/>
    <w:multiLevelType w:val="multilevel"/>
    <w:tmpl w:val="0AE367E9"/>
    <w:lvl w:ilvl="0" w:tentative="0">
      <w:start w:val="1"/>
      <w:numFmt w:val="none"/>
      <w:pStyle w:val="54"/>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DDE2B46"/>
    <w:multiLevelType w:val="multilevel"/>
    <w:tmpl w:val="0DDE2B46"/>
    <w:lvl w:ilvl="0" w:tentative="0">
      <w:start w:val="1"/>
      <w:numFmt w:val="lowerLetter"/>
      <w:pStyle w:val="123"/>
      <w:suff w:val="nothing"/>
      <w:lvlText w:val="%1   "/>
      <w:lvlJc w:val="left"/>
      <w:pPr>
        <w:ind w:left="544"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6">
    <w:nsid w:val="1A1A1F32"/>
    <w:multiLevelType w:val="multilevel"/>
    <w:tmpl w:val="1A1A1F32"/>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7">
    <w:nsid w:val="1DBF583A"/>
    <w:multiLevelType w:val="multilevel"/>
    <w:tmpl w:val="1DBF583A"/>
    <w:lvl w:ilvl="0" w:tentative="0">
      <w:start w:val="1"/>
      <w:numFmt w:val="decimal"/>
      <w:pStyle w:val="67"/>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8">
    <w:nsid w:val="1FC91163"/>
    <w:multiLevelType w:val="multilevel"/>
    <w:tmpl w:val="1FC91163"/>
    <w:lvl w:ilvl="0" w:tentative="0">
      <w:start w:val="1"/>
      <w:numFmt w:val="decimal"/>
      <w:pStyle w:val="47"/>
      <w:suff w:val="nothing"/>
      <w:lvlText w:val="%1　"/>
      <w:lvlJc w:val="left"/>
      <w:pPr>
        <w:ind w:left="568" w:firstLine="0"/>
      </w:pPr>
      <w:rPr>
        <w:rFonts w:hint="eastAsia" w:ascii="黑体" w:hAnsi="Times New Roman" w:eastAsia="黑体"/>
        <w:b w:val="0"/>
        <w:i w:val="0"/>
        <w:sz w:val="21"/>
        <w:szCs w:val="21"/>
      </w:rPr>
    </w:lvl>
    <w:lvl w:ilvl="1" w:tentative="0">
      <w:start w:val="1"/>
      <w:numFmt w:val="decimal"/>
      <w:pStyle w:val="44"/>
      <w:suff w:val="nothing"/>
      <w:lvlText w:val="%1.%2　"/>
      <w:lvlJc w:val="left"/>
      <w:pPr>
        <w:ind w:left="0" w:firstLine="0"/>
      </w:pPr>
      <w:rPr>
        <w:rFonts w:hint="eastAsia" w:ascii="黑体" w:hAnsi="Times New Roman" w:eastAsia="黑体" w:cs="Times New Roman"/>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tentative="0">
      <w:start w:val="1"/>
      <w:numFmt w:val="decimal"/>
      <w:pStyle w:val="48"/>
      <w:suff w:val="nothing"/>
      <w:lvlText w:val="%1.%2.%3　"/>
      <w:lvlJc w:val="left"/>
      <w:pPr>
        <w:ind w:left="284" w:firstLine="0"/>
      </w:pPr>
      <w:rPr>
        <w:rFonts w:hint="eastAsia" w:ascii="黑体" w:hAnsi="Times New Roman" w:eastAsia="黑体"/>
        <w:b w:val="0"/>
        <w:i w:val="0"/>
        <w:sz w:val="21"/>
      </w:rPr>
    </w:lvl>
    <w:lvl w:ilvl="3" w:tentative="0">
      <w:start w:val="1"/>
      <w:numFmt w:val="decimal"/>
      <w:pStyle w:val="53"/>
      <w:suff w:val="nothing"/>
      <w:lvlText w:val="%1.%2.%3.%4　"/>
      <w:lvlJc w:val="left"/>
      <w:pPr>
        <w:ind w:left="0" w:firstLine="0"/>
      </w:pPr>
      <w:rPr>
        <w:rFonts w:hint="eastAsia" w:ascii="黑体" w:hAnsi="Times New Roman" w:eastAsia="黑体"/>
        <w:b w:val="0"/>
        <w:i w:val="0"/>
        <w:sz w:val="21"/>
      </w:rPr>
    </w:lvl>
    <w:lvl w:ilvl="4" w:tentative="0">
      <w:start w:val="1"/>
      <w:numFmt w:val="decimal"/>
      <w:pStyle w:val="57"/>
      <w:suff w:val="nothing"/>
      <w:lvlText w:val="%1.%2.%3.%4.%5　"/>
      <w:lvlJc w:val="left"/>
      <w:pPr>
        <w:ind w:left="0" w:firstLine="0"/>
      </w:pPr>
      <w:rPr>
        <w:rFonts w:hint="eastAsia" w:ascii="黑体" w:hAnsi="Times New Roman" w:eastAsia="黑体"/>
        <w:b w:val="0"/>
        <w:i w:val="0"/>
        <w:sz w:val="21"/>
      </w:rPr>
    </w:lvl>
    <w:lvl w:ilvl="5" w:tentative="0">
      <w:start w:val="1"/>
      <w:numFmt w:val="decimal"/>
      <w:pStyle w:val="58"/>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9">
    <w:nsid w:val="2A8F7113"/>
    <w:multiLevelType w:val="multilevel"/>
    <w:tmpl w:val="2A8F7113"/>
    <w:lvl w:ilvl="0" w:tentative="0">
      <w:start w:val="1"/>
      <w:numFmt w:val="upperLetter"/>
      <w:pStyle w:val="100"/>
      <w:suff w:val="space"/>
      <w:lvlText w:val="%1"/>
      <w:lvlJc w:val="left"/>
      <w:pPr>
        <w:ind w:left="623" w:hanging="425"/>
      </w:pPr>
      <w:rPr>
        <w:rFonts w:hint="eastAsia"/>
      </w:rPr>
    </w:lvl>
    <w:lvl w:ilvl="1" w:tentative="0">
      <w:start w:val="1"/>
      <w:numFmt w:val="decimal"/>
      <w:pStyle w:val="101"/>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EC9077F"/>
    <w:multiLevelType w:val="multilevel"/>
    <w:tmpl w:val="2EC9077F"/>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11">
    <w:nsid w:val="30B84C92"/>
    <w:multiLevelType w:val="multilevel"/>
    <w:tmpl w:val="30B84C92"/>
    <w:lvl w:ilvl="0" w:tentative="0">
      <w:start w:val="1"/>
      <w:numFmt w:val="lowerLetter"/>
      <w:lvlText w:val="%1)"/>
      <w:lvlJc w:val="left"/>
      <w:pPr>
        <w:tabs>
          <w:tab w:val="left" w:pos="839"/>
        </w:tabs>
        <w:ind w:left="839" w:hanging="419"/>
      </w:pPr>
      <w:rPr>
        <w:rFonts w:hint="eastAsia"/>
        <w:b w:val="0"/>
        <w:i w:val="0"/>
        <w:sz w:val="20"/>
        <w:szCs w:val="21"/>
      </w:rPr>
    </w:lvl>
    <w:lvl w:ilvl="1" w:tentative="0">
      <w:start w:val="1"/>
      <w:numFmt w:val="decimal"/>
      <w:lvlText w:val="%2)"/>
      <w:lvlJc w:val="left"/>
      <w:pPr>
        <w:tabs>
          <w:tab w:val="left" w:pos="1259"/>
        </w:tabs>
        <w:ind w:left="1259" w:hanging="420"/>
      </w:pPr>
      <w:rPr>
        <w:rFonts w:hint="eastAsia" w:ascii="宋体" w:hAnsi="宋体" w:eastAsia="宋体"/>
        <w:b w:val="0"/>
        <w:i w:val="0"/>
        <w:sz w:val="20"/>
      </w:rPr>
    </w:lvl>
    <w:lvl w:ilvl="2" w:tentative="0">
      <w:start w:val="1"/>
      <w:numFmt w:val="decimal"/>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12">
    <w:nsid w:val="340A275F"/>
    <w:multiLevelType w:val="multilevel"/>
    <w:tmpl w:val="340A275F"/>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13">
    <w:nsid w:val="394309C8"/>
    <w:multiLevelType w:val="multilevel"/>
    <w:tmpl w:val="394309C8"/>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14">
    <w:nsid w:val="3D733618"/>
    <w:multiLevelType w:val="multilevel"/>
    <w:tmpl w:val="3D733618"/>
    <w:lvl w:ilvl="0" w:tentative="0">
      <w:start w:val="1"/>
      <w:numFmt w:val="decimal"/>
      <w:pStyle w:val="28"/>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5">
    <w:nsid w:val="411A43D0"/>
    <w:multiLevelType w:val="multilevel"/>
    <w:tmpl w:val="411A43D0"/>
    <w:lvl w:ilvl="0" w:tentative="0">
      <w:start w:val="1"/>
      <w:numFmt w:val="lowerLetter"/>
      <w:lvlText w:val="%1)"/>
      <w:lvlJc w:val="left"/>
      <w:pPr>
        <w:tabs>
          <w:tab w:val="left" w:pos="1258"/>
        </w:tabs>
        <w:ind w:left="1258" w:hanging="419"/>
      </w:pPr>
      <w:rPr>
        <w:rFonts w:hint="eastAsia"/>
        <w:b w:val="0"/>
        <w:i w:val="0"/>
        <w:sz w:val="20"/>
        <w:szCs w:val="21"/>
      </w:rPr>
    </w:lvl>
    <w:lvl w:ilvl="1" w:tentative="0">
      <w:start w:val="1"/>
      <w:numFmt w:val="decimal"/>
      <w:lvlText w:val="%2)"/>
      <w:lvlJc w:val="left"/>
      <w:pPr>
        <w:tabs>
          <w:tab w:val="left" w:pos="1678"/>
        </w:tabs>
        <w:ind w:left="1678" w:hanging="420"/>
      </w:pPr>
      <w:rPr>
        <w:rFonts w:hint="eastAsia" w:ascii="宋体" w:hAnsi="宋体" w:eastAsia="宋体"/>
        <w:b w:val="0"/>
        <w:i w:val="0"/>
        <w:sz w:val="20"/>
      </w:rPr>
    </w:lvl>
    <w:lvl w:ilvl="2" w:tentative="0">
      <w:start w:val="1"/>
      <w:numFmt w:val="decimal"/>
      <w:lvlText w:val="(%3)"/>
      <w:lvlJc w:val="left"/>
      <w:pPr>
        <w:tabs>
          <w:tab w:val="left" w:pos="419"/>
        </w:tabs>
        <w:ind w:left="2097" w:hanging="419"/>
      </w:pPr>
      <w:rPr>
        <w:rFonts w:hint="eastAsia" w:ascii="宋体" w:hAnsi="宋体" w:eastAsia="宋体"/>
        <w:b w:val="0"/>
        <w:i w:val="0"/>
        <w:sz w:val="20"/>
        <w:szCs w:val="21"/>
      </w:rPr>
    </w:lvl>
    <w:lvl w:ilvl="3" w:tentative="0">
      <w:start w:val="1"/>
      <w:numFmt w:val="decimal"/>
      <w:lvlText w:val="%4."/>
      <w:lvlJc w:val="left"/>
      <w:pPr>
        <w:tabs>
          <w:tab w:val="left" w:pos="2517"/>
        </w:tabs>
        <w:ind w:left="2517" w:hanging="420"/>
      </w:pPr>
      <w:rPr>
        <w:rFonts w:hint="eastAsia"/>
      </w:rPr>
    </w:lvl>
    <w:lvl w:ilvl="4" w:tentative="0">
      <w:start w:val="1"/>
      <w:numFmt w:val="lowerLetter"/>
      <w:lvlText w:val="%5)"/>
      <w:lvlJc w:val="left"/>
      <w:pPr>
        <w:tabs>
          <w:tab w:val="left" w:pos="2936"/>
        </w:tabs>
        <w:ind w:left="2936" w:hanging="419"/>
      </w:pPr>
      <w:rPr>
        <w:rFonts w:hint="eastAsia"/>
      </w:rPr>
    </w:lvl>
    <w:lvl w:ilvl="5" w:tentative="0">
      <w:start w:val="1"/>
      <w:numFmt w:val="lowerRoman"/>
      <w:lvlText w:val="%6."/>
      <w:lvlJc w:val="right"/>
      <w:pPr>
        <w:tabs>
          <w:tab w:val="left" w:pos="3361"/>
        </w:tabs>
        <w:ind w:left="3356" w:hanging="420"/>
      </w:pPr>
      <w:rPr>
        <w:rFonts w:hint="eastAsia"/>
      </w:rPr>
    </w:lvl>
    <w:lvl w:ilvl="6" w:tentative="0">
      <w:start w:val="1"/>
      <w:numFmt w:val="decimal"/>
      <w:lvlText w:val="%7."/>
      <w:lvlJc w:val="left"/>
      <w:pPr>
        <w:tabs>
          <w:tab w:val="left" w:pos="3781"/>
        </w:tabs>
        <w:ind w:left="3775" w:hanging="414"/>
      </w:pPr>
      <w:rPr>
        <w:rFonts w:hint="eastAsia"/>
      </w:rPr>
    </w:lvl>
    <w:lvl w:ilvl="7" w:tentative="0">
      <w:start w:val="1"/>
      <w:numFmt w:val="lowerLetter"/>
      <w:lvlText w:val="%8)"/>
      <w:lvlJc w:val="left"/>
      <w:pPr>
        <w:tabs>
          <w:tab w:val="left" w:pos="4200"/>
        </w:tabs>
        <w:ind w:left="4195" w:hanging="414"/>
      </w:pPr>
      <w:rPr>
        <w:rFonts w:hint="eastAsia"/>
      </w:rPr>
    </w:lvl>
    <w:lvl w:ilvl="8" w:tentative="0">
      <w:start w:val="1"/>
      <w:numFmt w:val="lowerRoman"/>
      <w:lvlText w:val="%9."/>
      <w:lvlJc w:val="right"/>
      <w:pPr>
        <w:tabs>
          <w:tab w:val="left" w:pos="4620"/>
        </w:tabs>
        <w:ind w:left="4620" w:hanging="420"/>
      </w:pPr>
      <w:rPr>
        <w:rFonts w:hint="eastAsia"/>
      </w:rPr>
    </w:lvl>
  </w:abstractNum>
  <w:abstractNum w:abstractNumId="16">
    <w:nsid w:val="42E04B56"/>
    <w:multiLevelType w:val="multilevel"/>
    <w:tmpl w:val="42E04B56"/>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17">
    <w:nsid w:val="442F77B8"/>
    <w:multiLevelType w:val="multilevel"/>
    <w:tmpl w:val="442F77B8"/>
    <w:lvl w:ilvl="0" w:tentative="0">
      <w:start w:val="1"/>
      <w:numFmt w:val="lowerLetter"/>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44C50F90"/>
    <w:multiLevelType w:val="multilevel"/>
    <w:tmpl w:val="44C50F90"/>
    <w:lvl w:ilvl="0" w:tentative="0">
      <w:start w:val="1"/>
      <w:numFmt w:val="lowerLetter"/>
      <w:lvlText w:val="%1)"/>
      <w:lvlJc w:val="left"/>
      <w:pPr>
        <w:tabs>
          <w:tab w:val="left" w:pos="839"/>
        </w:tabs>
        <w:ind w:left="839" w:hanging="419"/>
      </w:pPr>
      <w:rPr>
        <w:rFonts w:hint="eastAsia"/>
        <w:b w:val="0"/>
        <w:i w:val="0"/>
        <w:sz w:val="20"/>
        <w:szCs w:val="21"/>
      </w:rPr>
    </w:lvl>
    <w:lvl w:ilvl="1" w:tentative="0">
      <w:start w:val="1"/>
      <w:numFmt w:val="decimal"/>
      <w:lvlText w:val="%2)"/>
      <w:lvlJc w:val="left"/>
      <w:pPr>
        <w:tabs>
          <w:tab w:val="left" w:pos="1259"/>
        </w:tabs>
        <w:ind w:left="1259" w:hanging="420"/>
      </w:pPr>
      <w:rPr>
        <w:rFonts w:hint="eastAsia" w:ascii="宋体" w:hAnsi="宋体" w:eastAsia="宋体"/>
        <w:b w:val="0"/>
        <w:i w:val="0"/>
        <w:sz w:val="20"/>
      </w:rPr>
    </w:lvl>
    <w:lvl w:ilvl="2" w:tentative="0">
      <w:start w:val="1"/>
      <w:numFmt w:val="decimal"/>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19">
    <w:nsid w:val="4B733A5F"/>
    <w:multiLevelType w:val="multilevel"/>
    <w:tmpl w:val="4B733A5F"/>
    <w:lvl w:ilvl="0" w:tentative="0">
      <w:start w:val="1"/>
      <w:numFmt w:val="decimal"/>
      <w:pStyle w:val="64"/>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20">
    <w:nsid w:val="4D4F0F76"/>
    <w:multiLevelType w:val="multilevel"/>
    <w:tmpl w:val="4D4F0F76"/>
    <w:lvl w:ilvl="0" w:tentative="0">
      <w:start w:val="1"/>
      <w:numFmt w:val="lowerLetter"/>
      <w:lvlText w:val="%1)"/>
      <w:lvlJc w:val="left"/>
      <w:pPr>
        <w:tabs>
          <w:tab w:val="left" w:pos="839"/>
        </w:tabs>
        <w:ind w:left="839" w:hanging="419"/>
      </w:pPr>
      <w:rPr>
        <w:rFonts w:hint="eastAsia"/>
        <w:b w:val="0"/>
        <w:i w:val="0"/>
        <w:sz w:val="20"/>
        <w:szCs w:val="21"/>
      </w:rPr>
    </w:lvl>
    <w:lvl w:ilvl="1" w:tentative="0">
      <w:start w:val="1"/>
      <w:numFmt w:val="decimal"/>
      <w:lvlText w:val="%2)"/>
      <w:lvlJc w:val="left"/>
      <w:pPr>
        <w:tabs>
          <w:tab w:val="left" w:pos="1259"/>
        </w:tabs>
        <w:ind w:left="1259" w:hanging="420"/>
      </w:pPr>
      <w:rPr>
        <w:rFonts w:hint="eastAsia" w:ascii="宋体" w:hAnsi="宋体" w:eastAsia="宋体"/>
        <w:b w:val="0"/>
        <w:i w:val="0"/>
        <w:sz w:val="20"/>
      </w:rPr>
    </w:lvl>
    <w:lvl w:ilvl="2" w:tentative="0">
      <w:start w:val="1"/>
      <w:numFmt w:val="decimal"/>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21">
    <w:nsid w:val="557C2AF5"/>
    <w:multiLevelType w:val="multilevel"/>
    <w:tmpl w:val="557C2AF5"/>
    <w:lvl w:ilvl="0" w:tentative="0">
      <w:start w:val="1"/>
      <w:numFmt w:val="decimal"/>
      <w:pStyle w:val="130"/>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2">
    <w:nsid w:val="564D2089"/>
    <w:multiLevelType w:val="multilevel"/>
    <w:tmpl w:val="564D2089"/>
    <w:lvl w:ilvl="0" w:tentative="0">
      <w:start w:val="1"/>
      <w:numFmt w:val="none"/>
      <w:pStyle w:val="164"/>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590A1772"/>
    <w:multiLevelType w:val="multilevel"/>
    <w:tmpl w:val="590A1772"/>
    <w:lvl w:ilvl="0" w:tentative="0">
      <w:start w:val="1"/>
      <w:numFmt w:val="lowerLetter"/>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60B55DC2"/>
    <w:multiLevelType w:val="multilevel"/>
    <w:tmpl w:val="60B55DC2"/>
    <w:lvl w:ilvl="0" w:tentative="0">
      <w:start w:val="1"/>
      <w:numFmt w:val="upperLetter"/>
      <w:pStyle w:val="88"/>
      <w:lvlText w:val="%1"/>
      <w:lvlJc w:val="left"/>
      <w:pPr>
        <w:tabs>
          <w:tab w:val="left" w:pos="0"/>
        </w:tabs>
        <w:ind w:left="0" w:hanging="425"/>
      </w:pPr>
      <w:rPr>
        <w:rFonts w:hint="eastAsia"/>
      </w:rPr>
    </w:lvl>
    <w:lvl w:ilvl="1" w:tentative="0">
      <w:start w:val="1"/>
      <w:numFmt w:val="decimal"/>
      <w:pStyle w:val="89"/>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25">
    <w:nsid w:val="646260FA"/>
    <w:multiLevelType w:val="multilevel"/>
    <w:tmpl w:val="646260FA"/>
    <w:lvl w:ilvl="0" w:tentative="0">
      <w:start w:val="1"/>
      <w:numFmt w:val="decimal"/>
      <w:pStyle w:val="128"/>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6">
    <w:nsid w:val="657D3FBC"/>
    <w:multiLevelType w:val="multilevel"/>
    <w:tmpl w:val="657D3FBC"/>
    <w:lvl w:ilvl="0" w:tentative="0">
      <w:start w:val="1"/>
      <w:numFmt w:val="upperLetter"/>
      <w:pStyle w:val="86"/>
      <w:suff w:val="nothing"/>
      <w:lvlText w:val="附　录　%1"/>
      <w:lvlJc w:val="left"/>
      <w:pPr>
        <w:ind w:left="5386" w:firstLine="0"/>
      </w:pPr>
      <w:rPr>
        <w:rFonts w:hint="eastAsia" w:ascii="黑体" w:hAnsi="Times New Roman" w:eastAsia="黑体"/>
        <w:b w:val="0"/>
        <w:i w:val="0"/>
        <w:spacing w:val="0"/>
        <w:w w:val="100"/>
        <w:sz w:val="21"/>
        <w:lang w:val="en-US"/>
      </w:rPr>
    </w:lvl>
    <w:lvl w:ilvl="1" w:tentative="0">
      <w:start w:val="1"/>
      <w:numFmt w:val="decimal"/>
      <w:pStyle w:val="104"/>
      <w:suff w:val="nothing"/>
      <w:lvlText w:val="%1.%2　"/>
      <w:lvlJc w:val="left"/>
      <w:pPr>
        <w:ind w:left="-568" w:firstLine="0"/>
      </w:pPr>
      <w:rPr>
        <w:rFonts w:hint="eastAsia" w:ascii="黑体" w:hAnsi="Times New Roman" w:eastAsia="黑体"/>
        <w:b w:val="0"/>
        <w:i w:val="0"/>
        <w:snapToGrid/>
        <w:spacing w:val="0"/>
        <w:w w:val="100"/>
        <w:kern w:val="21"/>
        <w:sz w:val="21"/>
      </w:rPr>
    </w:lvl>
    <w:lvl w:ilvl="2" w:tentative="0">
      <w:start w:val="1"/>
      <w:numFmt w:val="decimal"/>
      <w:pStyle w:val="105"/>
      <w:suff w:val="nothing"/>
      <w:lvlText w:val="%1.%2.%3　"/>
      <w:lvlJc w:val="left"/>
      <w:pPr>
        <w:ind w:left="-568" w:firstLine="0"/>
      </w:pPr>
      <w:rPr>
        <w:rFonts w:hint="eastAsia" w:ascii="黑体" w:hAnsi="Times New Roman" w:eastAsia="黑体"/>
        <w:b w:val="0"/>
        <w:i w:val="0"/>
        <w:sz w:val="21"/>
      </w:rPr>
    </w:lvl>
    <w:lvl w:ilvl="3" w:tentative="0">
      <w:start w:val="1"/>
      <w:numFmt w:val="decimal"/>
      <w:pStyle w:val="90"/>
      <w:suff w:val="nothing"/>
      <w:lvlText w:val="%1.%2.%3.%4　"/>
      <w:lvlJc w:val="left"/>
      <w:pPr>
        <w:ind w:left="-568" w:firstLine="0"/>
      </w:pPr>
      <w:rPr>
        <w:rFonts w:hint="eastAsia" w:ascii="黑体" w:hAnsi="Times New Roman" w:eastAsia="黑体"/>
        <w:b w:val="0"/>
        <w:i w:val="0"/>
        <w:sz w:val="21"/>
      </w:rPr>
    </w:lvl>
    <w:lvl w:ilvl="4" w:tentative="0">
      <w:start w:val="1"/>
      <w:numFmt w:val="decimal"/>
      <w:pStyle w:val="95"/>
      <w:suff w:val="nothing"/>
      <w:lvlText w:val="%1.%2.%3.%4.%5　"/>
      <w:lvlJc w:val="left"/>
      <w:pPr>
        <w:ind w:left="-568" w:firstLine="0"/>
      </w:pPr>
      <w:rPr>
        <w:rFonts w:hint="eastAsia" w:ascii="黑体" w:hAnsi="Times New Roman" w:eastAsia="黑体"/>
        <w:b w:val="0"/>
        <w:i w:val="0"/>
        <w:sz w:val="21"/>
      </w:rPr>
    </w:lvl>
    <w:lvl w:ilvl="5" w:tentative="0">
      <w:start w:val="1"/>
      <w:numFmt w:val="decimal"/>
      <w:pStyle w:val="98"/>
      <w:suff w:val="nothing"/>
      <w:lvlText w:val="%1.%2.%3.%4.%5.%6　"/>
      <w:lvlJc w:val="left"/>
      <w:pPr>
        <w:ind w:left="-568" w:firstLine="0"/>
      </w:pPr>
      <w:rPr>
        <w:rFonts w:hint="eastAsia" w:ascii="黑体" w:hAnsi="Times New Roman" w:eastAsia="黑体"/>
        <w:b w:val="0"/>
        <w:i w:val="0"/>
        <w:sz w:val="21"/>
      </w:rPr>
    </w:lvl>
    <w:lvl w:ilvl="6" w:tentative="0">
      <w:start w:val="1"/>
      <w:numFmt w:val="decimal"/>
      <w:pStyle w:val="102"/>
      <w:suff w:val="nothing"/>
      <w:lvlText w:val="%1.%2.%3.%4.%5.%6.%7　"/>
      <w:lvlJc w:val="left"/>
      <w:pPr>
        <w:ind w:left="-568" w:firstLine="0"/>
      </w:pPr>
      <w:rPr>
        <w:rFonts w:hint="eastAsia" w:ascii="黑体" w:hAnsi="Times New Roman" w:eastAsia="黑体"/>
        <w:b w:val="0"/>
        <w:i w:val="0"/>
        <w:sz w:val="21"/>
      </w:rPr>
    </w:lvl>
    <w:lvl w:ilvl="7" w:tentative="0">
      <w:start w:val="1"/>
      <w:numFmt w:val="decimal"/>
      <w:lvlText w:val="%1.%2.%3.%4.%5.%6.%7.%8"/>
      <w:lvlJc w:val="left"/>
      <w:pPr>
        <w:tabs>
          <w:tab w:val="left" w:pos="3826"/>
        </w:tabs>
        <w:ind w:left="3826" w:hanging="1418"/>
      </w:pPr>
      <w:rPr>
        <w:rFonts w:hint="eastAsia"/>
      </w:rPr>
    </w:lvl>
    <w:lvl w:ilvl="8" w:tentative="0">
      <w:start w:val="1"/>
      <w:numFmt w:val="decimal"/>
      <w:lvlText w:val="%1.%2.%3.%4.%5.%6.%7.%8.%9"/>
      <w:lvlJc w:val="left"/>
      <w:pPr>
        <w:tabs>
          <w:tab w:val="left" w:pos="4534"/>
        </w:tabs>
        <w:ind w:left="4534" w:hanging="1700"/>
      </w:pPr>
      <w:rPr>
        <w:rFonts w:hint="eastAsia"/>
      </w:rPr>
    </w:lvl>
  </w:abstractNum>
  <w:abstractNum w:abstractNumId="27">
    <w:nsid w:val="67FE3CEB"/>
    <w:multiLevelType w:val="multilevel"/>
    <w:tmpl w:val="67FE3CEB"/>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28">
    <w:nsid w:val="6CEA2025"/>
    <w:multiLevelType w:val="multilevel"/>
    <w:tmpl w:val="6CEA2025"/>
    <w:lvl w:ilvl="0" w:tentative="0">
      <w:start w:val="1"/>
      <w:numFmt w:val="none"/>
      <w:pStyle w:val="157"/>
      <w:suff w:val="nothing"/>
      <w:lvlText w:val="%1"/>
      <w:lvlJc w:val="left"/>
      <w:pPr>
        <w:ind w:left="0" w:firstLine="0"/>
      </w:pPr>
      <w:rPr>
        <w:rFonts w:hint="eastAsia"/>
      </w:rPr>
    </w:lvl>
    <w:lvl w:ilvl="1" w:tentative="0">
      <w:start w:val="1"/>
      <w:numFmt w:val="decimal"/>
      <w:pStyle w:val="155"/>
      <w:suff w:val="nothing"/>
      <w:lvlText w:val="%1%2　"/>
      <w:lvlJc w:val="left"/>
      <w:pPr>
        <w:ind w:left="851" w:firstLine="0"/>
      </w:pPr>
      <w:rPr>
        <w:rFonts w:hint="eastAsia" w:ascii="黑体" w:eastAsia="黑体"/>
        <w:b w:val="0"/>
        <w:i w:val="0"/>
        <w:sz w:val="21"/>
      </w:rPr>
    </w:lvl>
    <w:lvl w:ilvl="2" w:tentative="0">
      <w:start w:val="1"/>
      <w:numFmt w:val="decimal"/>
      <w:pStyle w:val="156"/>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rPr>
    </w:lvl>
    <w:lvl w:ilvl="3" w:tentative="0">
      <w:start w:val="1"/>
      <w:numFmt w:val="decimal"/>
      <w:pStyle w:val="151"/>
      <w:suff w:val="nothing"/>
      <w:lvlText w:val="%1%2.%3.%4　"/>
      <w:lvlJc w:val="left"/>
      <w:pPr>
        <w:ind w:left="0" w:firstLine="0"/>
      </w:pPr>
      <w:rPr>
        <w:rFonts w:hint="eastAsia" w:ascii="黑体" w:eastAsia="黑体"/>
        <w:b w:val="0"/>
        <w:i w:val="0"/>
        <w:sz w:val="21"/>
      </w:rPr>
    </w:lvl>
    <w:lvl w:ilvl="4" w:tentative="0">
      <w:start w:val="1"/>
      <w:numFmt w:val="decimal"/>
      <w:pStyle w:val="152"/>
      <w:suff w:val="nothing"/>
      <w:lvlText w:val="%1%2.%3.%4.%5　"/>
      <w:lvlJc w:val="left"/>
      <w:pPr>
        <w:ind w:left="0" w:firstLine="0"/>
      </w:pPr>
      <w:rPr>
        <w:rFonts w:hint="eastAsia" w:ascii="黑体" w:eastAsia="黑体"/>
        <w:b w:val="0"/>
        <w:i w:val="0"/>
        <w:sz w:val="21"/>
      </w:rPr>
    </w:lvl>
    <w:lvl w:ilvl="5" w:tentative="0">
      <w:start w:val="1"/>
      <w:numFmt w:val="decimal"/>
      <w:pStyle w:val="153"/>
      <w:suff w:val="nothing"/>
      <w:lvlText w:val="%1%2.%3.%4.%5.%6　"/>
      <w:lvlJc w:val="left"/>
      <w:pPr>
        <w:ind w:left="0" w:firstLine="0"/>
      </w:pPr>
      <w:rPr>
        <w:rFonts w:hint="eastAsia" w:ascii="黑体" w:eastAsia="黑体"/>
        <w:b w:val="0"/>
        <w:i w:val="0"/>
        <w:sz w:val="21"/>
      </w:rPr>
    </w:lvl>
    <w:lvl w:ilvl="6" w:tentative="0">
      <w:start w:val="1"/>
      <w:numFmt w:val="decimal"/>
      <w:pStyle w:val="154"/>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9">
    <w:nsid w:val="6D6C07CD"/>
    <w:multiLevelType w:val="multilevel"/>
    <w:tmpl w:val="6D6C07CD"/>
    <w:lvl w:ilvl="0" w:tentative="0">
      <w:start w:val="1"/>
      <w:numFmt w:val="lowerLetter"/>
      <w:pStyle w:val="107"/>
      <w:lvlText w:val="%1)"/>
      <w:lvlJc w:val="left"/>
      <w:pPr>
        <w:tabs>
          <w:tab w:val="left" w:pos="839"/>
        </w:tabs>
        <w:ind w:left="839" w:hanging="419"/>
      </w:pPr>
      <w:rPr>
        <w:rFonts w:hint="eastAsia" w:ascii="宋体" w:eastAsia="宋体"/>
        <w:b w:val="0"/>
        <w:i w:val="0"/>
        <w:sz w:val="21"/>
      </w:rPr>
    </w:lvl>
    <w:lvl w:ilvl="1" w:tentative="0">
      <w:start w:val="1"/>
      <w:numFmt w:val="decimal"/>
      <w:pStyle w:val="97"/>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30">
    <w:nsid w:val="6DBF04F4"/>
    <w:multiLevelType w:val="multilevel"/>
    <w:tmpl w:val="6DBF04F4"/>
    <w:lvl w:ilvl="0" w:tentative="0">
      <w:start w:val="1"/>
      <w:numFmt w:val="none"/>
      <w:pStyle w:val="59"/>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pStyle w:val="158"/>
      <w:lvlText w:val="%4."/>
      <w:lvlJc w:val="left"/>
      <w:pPr>
        <w:tabs>
          <w:tab w:val="left" w:pos="1140"/>
        </w:tabs>
        <w:ind w:left="726" w:hanging="363"/>
      </w:pPr>
      <w:rPr>
        <w:rFonts w:hint="eastAsia"/>
      </w:rPr>
    </w:lvl>
    <w:lvl w:ilvl="4" w:tentative="0">
      <w:start w:val="1"/>
      <w:numFmt w:val="lowerLetter"/>
      <w:pStyle w:val="160"/>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31">
    <w:nsid w:val="70AB2E61"/>
    <w:multiLevelType w:val="multilevel"/>
    <w:tmpl w:val="70AB2E61"/>
    <w:lvl w:ilvl="0" w:tentative="0">
      <w:start w:val="1"/>
      <w:numFmt w:val="decimal"/>
      <w:lvlText w:val="%1)"/>
      <w:lvlJc w:val="left"/>
      <w:pPr>
        <w:ind w:left="1686" w:hanging="420"/>
      </w:pPr>
    </w:lvl>
    <w:lvl w:ilvl="1" w:tentative="0">
      <w:start w:val="1"/>
      <w:numFmt w:val="lowerLetter"/>
      <w:lvlText w:val="%2)"/>
      <w:lvlJc w:val="left"/>
      <w:pPr>
        <w:ind w:left="2106" w:hanging="420"/>
      </w:pPr>
    </w:lvl>
    <w:lvl w:ilvl="2" w:tentative="0">
      <w:start w:val="1"/>
      <w:numFmt w:val="lowerRoman"/>
      <w:lvlText w:val="%3."/>
      <w:lvlJc w:val="right"/>
      <w:pPr>
        <w:ind w:left="2526" w:hanging="420"/>
      </w:pPr>
    </w:lvl>
    <w:lvl w:ilvl="3" w:tentative="0">
      <w:start w:val="1"/>
      <w:numFmt w:val="decimal"/>
      <w:lvlText w:val="%4."/>
      <w:lvlJc w:val="left"/>
      <w:pPr>
        <w:ind w:left="2946" w:hanging="420"/>
      </w:pPr>
    </w:lvl>
    <w:lvl w:ilvl="4" w:tentative="0">
      <w:start w:val="1"/>
      <w:numFmt w:val="lowerLetter"/>
      <w:lvlText w:val="%5)"/>
      <w:lvlJc w:val="left"/>
      <w:pPr>
        <w:ind w:left="3366" w:hanging="420"/>
      </w:pPr>
    </w:lvl>
    <w:lvl w:ilvl="5" w:tentative="0">
      <w:start w:val="1"/>
      <w:numFmt w:val="lowerRoman"/>
      <w:lvlText w:val="%6."/>
      <w:lvlJc w:val="right"/>
      <w:pPr>
        <w:ind w:left="3786" w:hanging="420"/>
      </w:pPr>
    </w:lvl>
    <w:lvl w:ilvl="6" w:tentative="0">
      <w:start w:val="1"/>
      <w:numFmt w:val="decimal"/>
      <w:lvlText w:val="%7."/>
      <w:lvlJc w:val="left"/>
      <w:pPr>
        <w:ind w:left="4206" w:hanging="420"/>
      </w:pPr>
    </w:lvl>
    <w:lvl w:ilvl="7" w:tentative="0">
      <w:start w:val="1"/>
      <w:numFmt w:val="lowerLetter"/>
      <w:lvlText w:val="%8)"/>
      <w:lvlJc w:val="left"/>
      <w:pPr>
        <w:ind w:left="4626" w:hanging="420"/>
      </w:pPr>
    </w:lvl>
    <w:lvl w:ilvl="8" w:tentative="0">
      <w:start w:val="1"/>
      <w:numFmt w:val="lowerRoman"/>
      <w:lvlText w:val="%9."/>
      <w:lvlJc w:val="right"/>
      <w:pPr>
        <w:ind w:left="5046" w:hanging="420"/>
      </w:pPr>
    </w:lvl>
  </w:abstractNum>
  <w:abstractNum w:abstractNumId="32">
    <w:nsid w:val="712B461E"/>
    <w:multiLevelType w:val="multilevel"/>
    <w:tmpl w:val="712B461E"/>
    <w:lvl w:ilvl="0" w:tentative="0">
      <w:start w:val="1"/>
      <w:numFmt w:val="lowerLetter"/>
      <w:lvlText w:val="%1)"/>
      <w:lvlJc w:val="left"/>
      <w:pPr>
        <w:tabs>
          <w:tab w:val="left" w:pos="839"/>
        </w:tabs>
        <w:ind w:left="839" w:hanging="419"/>
      </w:pPr>
      <w:rPr>
        <w:rFonts w:hint="eastAsia"/>
        <w:b w:val="0"/>
        <w:i w:val="0"/>
        <w:sz w:val="20"/>
        <w:szCs w:val="21"/>
      </w:rPr>
    </w:lvl>
    <w:lvl w:ilvl="1" w:tentative="0">
      <w:start w:val="1"/>
      <w:numFmt w:val="decimal"/>
      <w:lvlText w:val="%2)"/>
      <w:lvlJc w:val="left"/>
      <w:pPr>
        <w:tabs>
          <w:tab w:val="left" w:pos="1259"/>
        </w:tabs>
        <w:ind w:left="1259" w:hanging="420"/>
      </w:pPr>
      <w:rPr>
        <w:rFonts w:hint="eastAsia" w:ascii="宋体" w:hAnsi="宋体" w:eastAsia="宋体"/>
        <w:b w:val="0"/>
        <w:i w:val="0"/>
        <w:sz w:val="20"/>
      </w:rPr>
    </w:lvl>
    <w:lvl w:ilvl="2" w:tentative="0">
      <w:start w:val="1"/>
      <w:numFmt w:val="decimal"/>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33">
    <w:nsid w:val="790507A8"/>
    <w:multiLevelType w:val="multilevel"/>
    <w:tmpl w:val="790507A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4">
    <w:nsid w:val="79D114A7"/>
    <w:multiLevelType w:val="multilevel"/>
    <w:tmpl w:val="79D114A7"/>
    <w:lvl w:ilvl="0" w:tentative="0">
      <w:start w:val="1"/>
      <w:numFmt w:val="lowerLetter"/>
      <w:lvlText w:val="%1)"/>
      <w:lvlJc w:val="left"/>
      <w:pPr>
        <w:tabs>
          <w:tab w:val="left" w:pos="839"/>
        </w:tabs>
        <w:ind w:left="839" w:hanging="419"/>
      </w:pPr>
      <w:rPr>
        <w:rFonts w:hint="eastAsia"/>
        <w:b w:val="0"/>
        <w:i w:val="0"/>
        <w:sz w:val="20"/>
        <w:szCs w:val="21"/>
      </w:rPr>
    </w:lvl>
    <w:lvl w:ilvl="1" w:tentative="0">
      <w:start w:val="1"/>
      <w:numFmt w:val="decimal"/>
      <w:lvlText w:val="%2)"/>
      <w:lvlJc w:val="left"/>
      <w:pPr>
        <w:tabs>
          <w:tab w:val="left" w:pos="1259"/>
        </w:tabs>
        <w:ind w:left="1259" w:hanging="420"/>
      </w:pPr>
      <w:rPr>
        <w:rFonts w:hint="eastAsia" w:ascii="宋体" w:hAnsi="宋体" w:eastAsia="宋体"/>
        <w:b w:val="0"/>
        <w:i w:val="0"/>
        <w:sz w:val="20"/>
      </w:rPr>
    </w:lvl>
    <w:lvl w:ilvl="2" w:tentative="0">
      <w:start w:val="1"/>
      <w:numFmt w:val="decimal"/>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num w:numId="1">
    <w:abstractNumId w:val="14"/>
  </w:num>
  <w:num w:numId="2">
    <w:abstractNumId w:val="8"/>
  </w:num>
  <w:num w:numId="3">
    <w:abstractNumId w:val="4"/>
  </w:num>
  <w:num w:numId="4">
    <w:abstractNumId w:val="30"/>
  </w:num>
  <w:num w:numId="5">
    <w:abstractNumId w:val="2"/>
  </w:num>
  <w:num w:numId="6">
    <w:abstractNumId w:val="19"/>
  </w:num>
  <w:num w:numId="7">
    <w:abstractNumId w:val="7"/>
  </w:num>
  <w:num w:numId="8">
    <w:abstractNumId w:val="26"/>
  </w:num>
  <w:num w:numId="9">
    <w:abstractNumId w:val="24"/>
  </w:num>
  <w:num w:numId="10">
    <w:abstractNumId w:val="29"/>
  </w:num>
  <w:num w:numId="11">
    <w:abstractNumId w:val="9"/>
  </w:num>
  <w:num w:numId="12">
    <w:abstractNumId w:val="3"/>
  </w:num>
  <w:num w:numId="13">
    <w:abstractNumId w:val="5"/>
  </w:num>
  <w:num w:numId="14">
    <w:abstractNumId w:val="25"/>
  </w:num>
  <w:num w:numId="15">
    <w:abstractNumId w:val="21"/>
  </w:num>
  <w:num w:numId="16">
    <w:abstractNumId w:val="28"/>
  </w:num>
  <w:num w:numId="17">
    <w:abstractNumId w:val="22"/>
  </w:num>
  <w:num w:numId="18">
    <w:abstractNumId w:val="20"/>
  </w:num>
  <w:num w:numId="19">
    <w:abstractNumId w:val="0"/>
  </w:num>
  <w:num w:numId="20">
    <w:abstractNumId w:val="17"/>
  </w:num>
  <w:num w:numId="21">
    <w:abstractNumId w:val="23"/>
  </w:num>
  <w:num w:numId="22">
    <w:abstractNumId w:val="33"/>
  </w:num>
  <w:num w:numId="23">
    <w:abstractNumId w:val="32"/>
  </w:num>
  <w:num w:numId="24">
    <w:abstractNumId w:val="34"/>
  </w:num>
  <w:num w:numId="25">
    <w:abstractNumId w:val="1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13"/>
  </w:num>
  <w:num w:numId="29">
    <w:abstractNumId w:val="10"/>
  </w:num>
  <w:num w:numId="30">
    <w:abstractNumId w:val="16"/>
  </w:num>
  <w:num w:numId="31">
    <w:abstractNumId w:val="27"/>
  </w:num>
  <w:num w:numId="32">
    <w:abstractNumId w:val="1"/>
  </w:num>
  <w:num w:numId="33">
    <w:abstractNumId w:val="12"/>
  </w:num>
  <w:num w:numId="34">
    <w:abstractNumId w:val="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1" w:cryptProviderType="rsaFull" w:cryptAlgorithmClass="hash" w:cryptAlgorithmType="typeAny" w:cryptAlgorithmSid="4" w:cryptSpinCount="0" w:hash="6bsdQ2Ywb0WFr620814uPYC+mzM=" w:salt="wcfi5X3Y+fT+ZWGCvPAYF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5"/>
    <w:rsid w:val="00000244"/>
    <w:rsid w:val="000009C9"/>
    <w:rsid w:val="00000FEA"/>
    <w:rsid w:val="00001721"/>
    <w:rsid w:val="0000185F"/>
    <w:rsid w:val="00003BA7"/>
    <w:rsid w:val="00004387"/>
    <w:rsid w:val="0000586F"/>
    <w:rsid w:val="00006FF1"/>
    <w:rsid w:val="00010AED"/>
    <w:rsid w:val="00011C37"/>
    <w:rsid w:val="00012A4B"/>
    <w:rsid w:val="00013D86"/>
    <w:rsid w:val="00013E02"/>
    <w:rsid w:val="00014A95"/>
    <w:rsid w:val="00015ABC"/>
    <w:rsid w:val="0001754C"/>
    <w:rsid w:val="0002143C"/>
    <w:rsid w:val="00021BC6"/>
    <w:rsid w:val="00023266"/>
    <w:rsid w:val="00025A65"/>
    <w:rsid w:val="00025EAA"/>
    <w:rsid w:val="00026C31"/>
    <w:rsid w:val="00027280"/>
    <w:rsid w:val="0002742F"/>
    <w:rsid w:val="000320A7"/>
    <w:rsid w:val="00032D74"/>
    <w:rsid w:val="000347B3"/>
    <w:rsid w:val="00034BB9"/>
    <w:rsid w:val="00035925"/>
    <w:rsid w:val="00035B69"/>
    <w:rsid w:val="0003773F"/>
    <w:rsid w:val="00040053"/>
    <w:rsid w:val="000420ED"/>
    <w:rsid w:val="00042697"/>
    <w:rsid w:val="00053DC2"/>
    <w:rsid w:val="00054887"/>
    <w:rsid w:val="00055082"/>
    <w:rsid w:val="000552DF"/>
    <w:rsid w:val="00056ABD"/>
    <w:rsid w:val="00056CFF"/>
    <w:rsid w:val="00057635"/>
    <w:rsid w:val="00060B76"/>
    <w:rsid w:val="00063564"/>
    <w:rsid w:val="000674FB"/>
    <w:rsid w:val="00067CDF"/>
    <w:rsid w:val="00073A58"/>
    <w:rsid w:val="00074FBE"/>
    <w:rsid w:val="00080827"/>
    <w:rsid w:val="000809D2"/>
    <w:rsid w:val="00083A09"/>
    <w:rsid w:val="0008437B"/>
    <w:rsid w:val="0009005E"/>
    <w:rsid w:val="00090904"/>
    <w:rsid w:val="00090941"/>
    <w:rsid w:val="00090BCA"/>
    <w:rsid w:val="000918EC"/>
    <w:rsid w:val="00092857"/>
    <w:rsid w:val="000935B7"/>
    <w:rsid w:val="0009530C"/>
    <w:rsid w:val="00095D65"/>
    <w:rsid w:val="000A20A9"/>
    <w:rsid w:val="000A2460"/>
    <w:rsid w:val="000A4537"/>
    <w:rsid w:val="000A48B1"/>
    <w:rsid w:val="000A64B4"/>
    <w:rsid w:val="000A734E"/>
    <w:rsid w:val="000A7C51"/>
    <w:rsid w:val="000B0F59"/>
    <w:rsid w:val="000B2211"/>
    <w:rsid w:val="000B3143"/>
    <w:rsid w:val="000B3FF1"/>
    <w:rsid w:val="000B5D8F"/>
    <w:rsid w:val="000C02F5"/>
    <w:rsid w:val="000C2B52"/>
    <w:rsid w:val="000C4042"/>
    <w:rsid w:val="000C433B"/>
    <w:rsid w:val="000C6B05"/>
    <w:rsid w:val="000C6DD6"/>
    <w:rsid w:val="000C73D4"/>
    <w:rsid w:val="000D22D5"/>
    <w:rsid w:val="000D2BF5"/>
    <w:rsid w:val="000D376D"/>
    <w:rsid w:val="000D3D4C"/>
    <w:rsid w:val="000D3F3E"/>
    <w:rsid w:val="000D4F51"/>
    <w:rsid w:val="000D57A1"/>
    <w:rsid w:val="000D5F01"/>
    <w:rsid w:val="000D718B"/>
    <w:rsid w:val="000D73D9"/>
    <w:rsid w:val="000D759A"/>
    <w:rsid w:val="000E0C46"/>
    <w:rsid w:val="000E4BD0"/>
    <w:rsid w:val="000F030C"/>
    <w:rsid w:val="000F129C"/>
    <w:rsid w:val="000F5217"/>
    <w:rsid w:val="00102392"/>
    <w:rsid w:val="0010518D"/>
    <w:rsid w:val="001056DE"/>
    <w:rsid w:val="0010584A"/>
    <w:rsid w:val="00106631"/>
    <w:rsid w:val="001124C0"/>
    <w:rsid w:val="0011355C"/>
    <w:rsid w:val="0013175F"/>
    <w:rsid w:val="00131C21"/>
    <w:rsid w:val="00140375"/>
    <w:rsid w:val="0014262D"/>
    <w:rsid w:val="0014300B"/>
    <w:rsid w:val="00145385"/>
    <w:rsid w:val="001466F4"/>
    <w:rsid w:val="001512B4"/>
    <w:rsid w:val="00155243"/>
    <w:rsid w:val="00155BBE"/>
    <w:rsid w:val="001560CA"/>
    <w:rsid w:val="001576C9"/>
    <w:rsid w:val="001620A5"/>
    <w:rsid w:val="00162F7A"/>
    <w:rsid w:val="00164E53"/>
    <w:rsid w:val="00164EF0"/>
    <w:rsid w:val="00165D1C"/>
    <w:rsid w:val="00165D67"/>
    <w:rsid w:val="001668E1"/>
    <w:rsid w:val="0016699D"/>
    <w:rsid w:val="00170D6E"/>
    <w:rsid w:val="00175159"/>
    <w:rsid w:val="00176208"/>
    <w:rsid w:val="00180B85"/>
    <w:rsid w:val="00180F23"/>
    <w:rsid w:val="0018211B"/>
    <w:rsid w:val="001839B8"/>
    <w:rsid w:val="001840D3"/>
    <w:rsid w:val="0018576B"/>
    <w:rsid w:val="001865C5"/>
    <w:rsid w:val="001900F8"/>
    <w:rsid w:val="00191258"/>
    <w:rsid w:val="00192680"/>
    <w:rsid w:val="00193037"/>
    <w:rsid w:val="00193A2C"/>
    <w:rsid w:val="00195A35"/>
    <w:rsid w:val="00195DBC"/>
    <w:rsid w:val="00196774"/>
    <w:rsid w:val="001A288E"/>
    <w:rsid w:val="001B38F8"/>
    <w:rsid w:val="001B4C9E"/>
    <w:rsid w:val="001B6DC2"/>
    <w:rsid w:val="001B7DF2"/>
    <w:rsid w:val="001C0B0F"/>
    <w:rsid w:val="001C149C"/>
    <w:rsid w:val="001C21AC"/>
    <w:rsid w:val="001C2437"/>
    <w:rsid w:val="001C27E5"/>
    <w:rsid w:val="001C47BA"/>
    <w:rsid w:val="001C59EA"/>
    <w:rsid w:val="001C70B6"/>
    <w:rsid w:val="001C7F5F"/>
    <w:rsid w:val="001D0EEF"/>
    <w:rsid w:val="001D406C"/>
    <w:rsid w:val="001D41EE"/>
    <w:rsid w:val="001E029F"/>
    <w:rsid w:val="001E0380"/>
    <w:rsid w:val="001E0DC0"/>
    <w:rsid w:val="001E13B1"/>
    <w:rsid w:val="001E2AD5"/>
    <w:rsid w:val="001E4460"/>
    <w:rsid w:val="001F3A19"/>
    <w:rsid w:val="001F663F"/>
    <w:rsid w:val="001F67A2"/>
    <w:rsid w:val="001F7E6C"/>
    <w:rsid w:val="00205D70"/>
    <w:rsid w:val="00206310"/>
    <w:rsid w:val="00206EAD"/>
    <w:rsid w:val="0020709A"/>
    <w:rsid w:val="00214FEA"/>
    <w:rsid w:val="00215D65"/>
    <w:rsid w:val="002160ED"/>
    <w:rsid w:val="00217EBD"/>
    <w:rsid w:val="00220968"/>
    <w:rsid w:val="0022240D"/>
    <w:rsid w:val="0022395F"/>
    <w:rsid w:val="00225174"/>
    <w:rsid w:val="00230EC7"/>
    <w:rsid w:val="00232B01"/>
    <w:rsid w:val="00234467"/>
    <w:rsid w:val="0023509F"/>
    <w:rsid w:val="00236F27"/>
    <w:rsid w:val="00237D8D"/>
    <w:rsid w:val="00241BCE"/>
    <w:rsid w:val="00241DA2"/>
    <w:rsid w:val="00242DCC"/>
    <w:rsid w:val="0024552D"/>
    <w:rsid w:val="00246EE1"/>
    <w:rsid w:val="00247D2E"/>
    <w:rsid w:val="00247FEE"/>
    <w:rsid w:val="0025023C"/>
    <w:rsid w:val="00250C5D"/>
    <w:rsid w:val="00250E7D"/>
    <w:rsid w:val="00252DEE"/>
    <w:rsid w:val="00253875"/>
    <w:rsid w:val="0025582F"/>
    <w:rsid w:val="0025641E"/>
    <w:rsid w:val="002565D5"/>
    <w:rsid w:val="00260E1B"/>
    <w:rsid w:val="00261FA6"/>
    <w:rsid w:val="00261FD4"/>
    <w:rsid w:val="002622C0"/>
    <w:rsid w:val="0026485C"/>
    <w:rsid w:val="002652CA"/>
    <w:rsid w:val="00272964"/>
    <w:rsid w:val="00272FB2"/>
    <w:rsid w:val="0027432C"/>
    <w:rsid w:val="002743E4"/>
    <w:rsid w:val="00274679"/>
    <w:rsid w:val="00275289"/>
    <w:rsid w:val="002778AE"/>
    <w:rsid w:val="00280421"/>
    <w:rsid w:val="0028269A"/>
    <w:rsid w:val="0028280D"/>
    <w:rsid w:val="00283590"/>
    <w:rsid w:val="00286973"/>
    <w:rsid w:val="00286C1D"/>
    <w:rsid w:val="00287370"/>
    <w:rsid w:val="00292258"/>
    <w:rsid w:val="002926E8"/>
    <w:rsid w:val="00293CF6"/>
    <w:rsid w:val="00294E70"/>
    <w:rsid w:val="00295F0C"/>
    <w:rsid w:val="00296AED"/>
    <w:rsid w:val="00297507"/>
    <w:rsid w:val="002A1924"/>
    <w:rsid w:val="002A7420"/>
    <w:rsid w:val="002B0F12"/>
    <w:rsid w:val="002B1308"/>
    <w:rsid w:val="002B18B5"/>
    <w:rsid w:val="002B4512"/>
    <w:rsid w:val="002B4554"/>
    <w:rsid w:val="002B49BA"/>
    <w:rsid w:val="002B779E"/>
    <w:rsid w:val="002C1909"/>
    <w:rsid w:val="002C20D7"/>
    <w:rsid w:val="002C42CE"/>
    <w:rsid w:val="002C68BA"/>
    <w:rsid w:val="002C6C9D"/>
    <w:rsid w:val="002C72D8"/>
    <w:rsid w:val="002C7840"/>
    <w:rsid w:val="002D0C31"/>
    <w:rsid w:val="002D0F0E"/>
    <w:rsid w:val="002D11FA"/>
    <w:rsid w:val="002D15F5"/>
    <w:rsid w:val="002D53D8"/>
    <w:rsid w:val="002D603D"/>
    <w:rsid w:val="002D637F"/>
    <w:rsid w:val="002E0DDF"/>
    <w:rsid w:val="002E2906"/>
    <w:rsid w:val="002E4E50"/>
    <w:rsid w:val="002E5635"/>
    <w:rsid w:val="002E64C3"/>
    <w:rsid w:val="002E69F2"/>
    <w:rsid w:val="002E6A2C"/>
    <w:rsid w:val="002E76D2"/>
    <w:rsid w:val="002F0723"/>
    <w:rsid w:val="002F0E35"/>
    <w:rsid w:val="002F1D8C"/>
    <w:rsid w:val="002F21DA"/>
    <w:rsid w:val="002F6A45"/>
    <w:rsid w:val="00301F39"/>
    <w:rsid w:val="003024B1"/>
    <w:rsid w:val="003060A0"/>
    <w:rsid w:val="003143E6"/>
    <w:rsid w:val="003225A4"/>
    <w:rsid w:val="00322CC3"/>
    <w:rsid w:val="003231C8"/>
    <w:rsid w:val="00323461"/>
    <w:rsid w:val="003242A0"/>
    <w:rsid w:val="00325926"/>
    <w:rsid w:val="00327A8A"/>
    <w:rsid w:val="00330351"/>
    <w:rsid w:val="0033093F"/>
    <w:rsid w:val="00332F81"/>
    <w:rsid w:val="003346EE"/>
    <w:rsid w:val="00336610"/>
    <w:rsid w:val="003374CC"/>
    <w:rsid w:val="00343F73"/>
    <w:rsid w:val="00345060"/>
    <w:rsid w:val="00345179"/>
    <w:rsid w:val="003466E0"/>
    <w:rsid w:val="00346BA5"/>
    <w:rsid w:val="00351B6F"/>
    <w:rsid w:val="0035323B"/>
    <w:rsid w:val="003609D2"/>
    <w:rsid w:val="00361A07"/>
    <w:rsid w:val="00361F65"/>
    <w:rsid w:val="003637AB"/>
    <w:rsid w:val="00363F22"/>
    <w:rsid w:val="00373189"/>
    <w:rsid w:val="003738B0"/>
    <w:rsid w:val="003754C4"/>
    <w:rsid w:val="00375564"/>
    <w:rsid w:val="0037676F"/>
    <w:rsid w:val="00383191"/>
    <w:rsid w:val="003834D4"/>
    <w:rsid w:val="00384B38"/>
    <w:rsid w:val="00385F86"/>
    <w:rsid w:val="00386DED"/>
    <w:rsid w:val="003912E7"/>
    <w:rsid w:val="0039197B"/>
    <w:rsid w:val="00391CC6"/>
    <w:rsid w:val="00393947"/>
    <w:rsid w:val="00396249"/>
    <w:rsid w:val="0039638A"/>
    <w:rsid w:val="003A09DB"/>
    <w:rsid w:val="003A2275"/>
    <w:rsid w:val="003A2A1A"/>
    <w:rsid w:val="003A49FB"/>
    <w:rsid w:val="003A5203"/>
    <w:rsid w:val="003A578A"/>
    <w:rsid w:val="003A6A4F"/>
    <w:rsid w:val="003A7088"/>
    <w:rsid w:val="003B00DF"/>
    <w:rsid w:val="003B10BE"/>
    <w:rsid w:val="003B1275"/>
    <w:rsid w:val="003B1778"/>
    <w:rsid w:val="003B31BC"/>
    <w:rsid w:val="003B32C2"/>
    <w:rsid w:val="003B712E"/>
    <w:rsid w:val="003C11CB"/>
    <w:rsid w:val="003C1731"/>
    <w:rsid w:val="003C7339"/>
    <w:rsid w:val="003C75F3"/>
    <w:rsid w:val="003C78A3"/>
    <w:rsid w:val="003C793D"/>
    <w:rsid w:val="003D04EC"/>
    <w:rsid w:val="003D07B3"/>
    <w:rsid w:val="003D34BF"/>
    <w:rsid w:val="003D3DBD"/>
    <w:rsid w:val="003D755D"/>
    <w:rsid w:val="003E1867"/>
    <w:rsid w:val="003E29FB"/>
    <w:rsid w:val="003E3C14"/>
    <w:rsid w:val="003E41BA"/>
    <w:rsid w:val="003E5729"/>
    <w:rsid w:val="003E655C"/>
    <w:rsid w:val="003E66D0"/>
    <w:rsid w:val="003E7A94"/>
    <w:rsid w:val="003F0431"/>
    <w:rsid w:val="003F2712"/>
    <w:rsid w:val="003F36E7"/>
    <w:rsid w:val="003F4EE0"/>
    <w:rsid w:val="00402153"/>
    <w:rsid w:val="00402AC3"/>
    <w:rsid w:val="00402FC1"/>
    <w:rsid w:val="004033CF"/>
    <w:rsid w:val="00407F95"/>
    <w:rsid w:val="0041593A"/>
    <w:rsid w:val="004229A7"/>
    <w:rsid w:val="00423E42"/>
    <w:rsid w:val="00425082"/>
    <w:rsid w:val="004261AA"/>
    <w:rsid w:val="00427BD7"/>
    <w:rsid w:val="00427E28"/>
    <w:rsid w:val="00430F37"/>
    <w:rsid w:val="00431DEB"/>
    <w:rsid w:val="004322BD"/>
    <w:rsid w:val="00432D22"/>
    <w:rsid w:val="00434E9F"/>
    <w:rsid w:val="0044130F"/>
    <w:rsid w:val="0044241C"/>
    <w:rsid w:val="00446B29"/>
    <w:rsid w:val="00452CC3"/>
    <w:rsid w:val="00453F9A"/>
    <w:rsid w:val="004556B1"/>
    <w:rsid w:val="00455AA6"/>
    <w:rsid w:val="0046111E"/>
    <w:rsid w:val="00461893"/>
    <w:rsid w:val="00463D52"/>
    <w:rsid w:val="00465BB7"/>
    <w:rsid w:val="004710E4"/>
    <w:rsid w:val="00471E91"/>
    <w:rsid w:val="00471EAC"/>
    <w:rsid w:val="00472F6B"/>
    <w:rsid w:val="00474675"/>
    <w:rsid w:val="0047470C"/>
    <w:rsid w:val="00475704"/>
    <w:rsid w:val="004759F0"/>
    <w:rsid w:val="004771C9"/>
    <w:rsid w:val="0047784B"/>
    <w:rsid w:val="004819A0"/>
    <w:rsid w:val="00491048"/>
    <w:rsid w:val="00494D72"/>
    <w:rsid w:val="004A189C"/>
    <w:rsid w:val="004A3107"/>
    <w:rsid w:val="004A35F9"/>
    <w:rsid w:val="004A4111"/>
    <w:rsid w:val="004B23B6"/>
    <w:rsid w:val="004B24C1"/>
    <w:rsid w:val="004C1795"/>
    <w:rsid w:val="004C292F"/>
    <w:rsid w:val="004C2E9F"/>
    <w:rsid w:val="004C2F50"/>
    <w:rsid w:val="004C4400"/>
    <w:rsid w:val="004C7C10"/>
    <w:rsid w:val="004D3937"/>
    <w:rsid w:val="004D4937"/>
    <w:rsid w:val="004E0CD6"/>
    <w:rsid w:val="004E2B47"/>
    <w:rsid w:val="004E3802"/>
    <w:rsid w:val="004E47B9"/>
    <w:rsid w:val="004E4A6B"/>
    <w:rsid w:val="004E4D5B"/>
    <w:rsid w:val="004E5B27"/>
    <w:rsid w:val="004F0753"/>
    <w:rsid w:val="004F49EE"/>
    <w:rsid w:val="004F6289"/>
    <w:rsid w:val="005013A7"/>
    <w:rsid w:val="00504FA8"/>
    <w:rsid w:val="00510280"/>
    <w:rsid w:val="00510688"/>
    <w:rsid w:val="00510D3F"/>
    <w:rsid w:val="0051163E"/>
    <w:rsid w:val="00511F6B"/>
    <w:rsid w:val="00513341"/>
    <w:rsid w:val="00513D73"/>
    <w:rsid w:val="00514A43"/>
    <w:rsid w:val="005174E5"/>
    <w:rsid w:val="00522393"/>
    <w:rsid w:val="00522620"/>
    <w:rsid w:val="00525656"/>
    <w:rsid w:val="0052690A"/>
    <w:rsid w:val="00527F80"/>
    <w:rsid w:val="0053140A"/>
    <w:rsid w:val="00534C02"/>
    <w:rsid w:val="00536EC8"/>
    <w:rsid w:val="005376E7"/>
    <w:rsid w:val="0054264B"/>
    <w:rsid w:val="00543786"/>
    <w:rsid w:val="00544FFA"/>
    <w:rsid w:val="005457DB"/>
    <w:rsid w:val="00547B35"/>
    <w:rsid w:val="005533D7"/>
    <w:rsid w:val="005543EC"/>
    <w:rsid w:val="00560C8E"/>
    <w:rsid w:val="005703DE"/>
    <w:rsid w:val="00576A0B"/>
    <w:rsid w:val="00580297"/>
    <w:rsid w:val="0058152F"/>
    <w:rsid w:val="005827E9"/>
    <w:rsid w:val="0058464E"/>
    <w:rsid w:val="00584966"/>
    <w:rsid w:val="00586605"/>
    <w:rsid w:val="00587751"/>
    <w:rsid w:val="005877F6"/>
    <w:rsid w:val="00592D70"/>
    <w:rsid w:val="005A01CB"/>
    <w:rsid w:val="005A298A"/>
    <w:rsid w:val="005A58FF"/>
    <w:rsid w:val="005A5EAF"/>
    <w:rsid w:val="005A64C0"/>
    <w:rsid w:val="005A7363"/>
    <w:rsid w:val="005B0700"/>
    <w:rsid w:val="005B1FC1"/>
    <w:rsid w:val="005B2B31"/>
    <w:rsid w:val="005B3C11"/>
    <w:rsid w:val="005B4394"/>
    <w:rsid w:val="005B78D2"/>
    <w:rsid w:val="005C1C28"/>
    <w:rsid w:val="005C34A2"/>
    <w:rsid w:val="005C661D"/>
    <w:rsid w:val="005C6DB5"/>
    <w:rsid w:val="005D2E13"/>
    <w:rsid w:val="005D50AA"/>
    <w:rsid w:val="005E19E7"/>
    <w:rsid w:val="005E7C80"/>
    <w:rsid w:val="005F2866"/>
    <w:rsid w:val="005F2EE0"/>
    <w:rsid w:val="005F424E"/>
    <w:rsid w:val="005F725C"/>
    <w:rsid w:val="006041D6"/>
    <w:rsid w:val="00604A2F"/>
    <w:rsid w:val="00610B5F"/>
    <w:rsid w:val="006135D0"/>
    <w:rsid w:val="00614471"/>
    <w:rsid w:val="00614D9D"/>
    <w:rsid w:val="0061672B"/>
    <w:rsid w:val="0061716C"/>
    <w:rsid w:val="00617CCE"/>
    <w:rsid w:val="00621B42"/>
    <w:rsid w:val="00623678"/>
    <w:rsid w:val="0062375B"/>
    <w:rsid w:val="00623B93"/>
    <w:rsid w:val="006243A1"/>
    <w:rsid w:val="00625025"/>
    <w:rsid w:val="00625439"/>
    <w:rsid w:val="00632E56"/>
    <w:rsid w:val="006344DE"/>
    <w:rsid w:val="006352CB"/>
    <w:rsid w:val="00635CBA"/>
    <w:rsid w:val="00643257"/>
    <w:rsid w:val="0064338B"/>
    <w:rsid w:val="006447DE"/>
    <w:rsid w:val="00646542"/>
    <w:rsid w:val="00647304"/>
    <w:rsid w:val="00647B9C"/>
    <w:rsid w:val="006504F4"/>
    <w:rsid w:val="00651E50"/>
    <w:rsid w:val="00652C56"/>
    <w:rsid w:val="0065433C"/>
    <w:rsid w:val="00654754"/>
    <w:rsid w:val="00654BC9"/>
    <w:rsid w:val="006552FD"/>
    <w:rsid w:val="00657AF8"/>
    <w:rsid w:val="00660902"/>
    <w:rsid w:val="00663AF3"/>
    <w:rsid w:val="006642DA"/>
    <w:rsid w:val="0066532E"/>
    <w:rsid w:val="00666B6C"/>
    <w:rsid w:val="00667E00"/>
    <w:rsid w:val="006727D6"/>
    <w:rsid w:val="00675BB1"/>
    <w:rsid w:val="00677BE6"/>
    <w:rsid w:val="00680CD7"/>
    <w:rsid w:val="00682014"/>
    <w:rsid w:val="00682682"/>
    <w:rsid w:val="00682702"/>
    <w:rsid w:val="00691332"/>
    <w:rsid w:val="00692368"/>
    <w:rsid w:val="00692F4D"/>
    <w:rsid w:val="006972BE"/>
    <w:rsid w:val="006A2EBC"/>
    <w:rsid w:val="006A3FFE"/>
    <w:rsid w:val="006A5458"/>
    <w:rsid w:val="006A5EA0"/>
    <w:rsid w:val="006A783B"/>
    <w:rsid w:val="006A7B33"/>
    <w:rsid w:val="006A7E62"/>
    <w:rsid w:val="006B01FA"/>
    <w:rsid w:val="006B4E13"/>
    <w:rsid w:val="006B75DD"/>
    <w:rsid w:val="006B7DAB"/>
    <w:rsid w:val="006C24C4"/>
    <w:rsid w:val="006C279B"/>
    <w:rsid w:val="006C37B8"/>
    <w:rsid w:val="006C51F1"/>
    <w:rsid w:val="006C67E0"/>
    <w:rsid w:val="006C7ABA"/>
    <w:rsid w:val="006D0D60"/>
    <w:rsid w:val="006D1122"/>
    <w:rsid w:val="006D120D"/>
    <w:rsid w:val="006D13C8"/>
    <w:rsid w:val="006D1E32"/>
    <w:rsid w:val="006D2C6E"/>
    <w:rsid w:val="006D3C00"/>
    <w:rsid w:val="006D7AAB"/>
    <w:rsid w:val="006D7E26"/>
    <w:rsid w:val="006E075B"/>
    <w:rsid w:val="006E20E8"/>
    <w:rsid w:val="006E3675"/>
    <w:rsid w:val="006E3E67"/>
    <w:rsid w:val="006E4A7F"/>
    <w:rsid w:val="006F36A1"/>
    <w:rsid w:val="006F4AA9"/>
    <w:rsid w:val="006F58B7"/>
    <w:rsid w:val="006F73E2"/>
    <w:rsid w:val="006F786A"/>
    <w:rsid w:val="00704DF6"/>
    <w:rsid w:val="00704F4D"/>
    <w:rsid w:val="007051BD"/>
    <w:rsid w:val="0070651C"/>
    <w:rsid w:val="007126EA"/>
    <w:rsid w:val="00712803"/>
    <w:rsid w:val="00712CF1"/>
    <w:rsid w:val="007132A3"/>
    <w:rsid w:val="00716421"/>
    <w:rsid w:val="00717459"/>
    <w:rsid w:val="00722DCF"/>
    <w:rsid w:val="00722E92"/>
    <w:rsid w:val="00724EFB"/>
    <w:rsid w:val="0073387E"/>
    <w:rsid w:val="00734EE7"/>
    <w:rsid w:val="007374CD"/>
    <w:rsid w:val="007419C3"/>
    <w:rsid w:val="007423E8"/>
    <w:rsid w:val="00743233"/>
    <w:rsid w:val="007467A7"/>
    <w:rsid w:val="007469DD"/>
    <w:rsid w:val="0074741B"/>
    <w:rsid w:val="0074759E"/>
    <w:rsid w:val="007478EA"/>
    <w:rsid w:val="00750085"/>
    <w:rsid w:val="0075415C"/>
    <w:rsid w:val="00755E85"/>
    <w:rsid w:val="00756FE6"/>
    <w:rsid w:val="0076285E"/>
    <w:rsid w:val="00763502"/>
    <w:rsid w:val="00763BFA"/>
    <w:rsid w:val="00764099"/>
    <w:rsid w:val="00764690"/>
    <w:rsid w:val="00765F52"/>
    <w:rsid w:val="00770051"/>
    <w:rsid w:val="00771027"/>
    <w:rsid w:val="00771F54"/>
    <w:rsid w:val="0078054A"/>
    <w:rsid w:val="00780D12"/>
    <w:rsid w:val="00786594"/>
    <w:rsid w:val="007913AB"/>
    <w:rsid w:val="007914F7"/>
    <w:rsid w:val="00792054"/>
    <w:rsid w:val="00793FD3"/>
    <w:rsid w:val="00796994"/>
    <w:rsid w:val="00796A4A"/>
    <w:rsid w:val="007A04F0"/>
    <w:rsid w:val="007A0DC5"/>
    <w:rsid w:val="007A2EA8"/>
    <w:rsid w:val="007B04EF"/>
    <w:rsid w:val="007B1625"/>
    <w:rsid w:val="007B2D6C"/>
    <w:rsid w:val="007B2F6A"/>
    <w:rsid w:val="007B39A0"/>
    <w:rsid w:val="007B4193"/>
    <w:rsid w:val="007B4D72"/>
    <w:rsid w:val="007B6F92"/>
    <w:rsid w:val="007B706E"/>
    <w:rsid w:val="007B71EB"/>
    <w:rsid w:val="007C14CD"/>
    <w:rsid w:val="007C212F"/>
    <w:rsid w:val="007C2163"/>
    <w:rsid w:val="007C5E20"/>
    <w:rsid w:val="007C6205"/>
    <w:rsid w:val="007C686A"/>
    <w:rsid w:val="007C728E"/>
    <w:rsid w:val="007D2043"/>
    <w:rsid w:val="007D25CF"/>
    <w:rsid w:val="007D2C53"/>
    <w:rsid w:val="007D335D"/>
    <w:rsid w:val="007D3D60"/>
    <w:rsid w:val="007D50C7"/>
    <w:rsid w:val="007D62CB"/>
    <w:rsid w:val="007E1980"/>
    <w:rsid w:val="007E4B76"/>
    <w:rsid w:val="007E5EA8"/>
    <w:rsid w:val="007F0CF1"/>
    <w:rsid w:val="007F12A5"/>
    <w:rsid w:val="007F493B"/>
    <w:rsid w:val="007F4CF1"/>
    <w:rsid w:val="007F5285"/>
    <w:rsid w:val="007F634D"/>
    <w:rsid w:val="007F758D"/>
    <w:rsid w:val="007F7B16"/>
    <w:rsid w:val="007F7C98"/>
    <w:rsid w:val="007F7D52"/>
    <w:rsid w:val="00805E3D"/>
    <w:rsid w:val="0080654C"/>
    <w:rsid w:val="008071C6"/>
    <w:rsid w:val="00811C59"/>
    <w:rsid w:val="00814355"/>
    <w:rsid w:val="00816867"/>
    <w:rsid w:val="0081757E"/>
    <w:rsid w:val="00817A00"/>
    <w:rsid w:val="00822694"/>
    <w:rsid w:val="00823598"/>
    <w:rsid w:val="00826CF8"/>
    <w:rsid w:val="008314D5"/>
    <w:rsid w:val="00833583"/>
    <w:rsid w:val="00835DB3"/>
    <w:rsid w:val="0083617B"/>
    <w:rsid w:val="008371BD"/>
    <w:rsid w:val="00837F59"/>
    <w:rsid w:val="00841911"/>
    <w:rsid w:val="008437E8"/>
    <w:rsid w:val="00847689"/>
    <w:rsid w:val="008504A8"/>
    <w:rsid w:val="00851753"/>
    <w:rsid w:val="0085282E"/>
    <w:rsid w:val="008660BD"/>
    <w:rsid w:val="00866447"/>
    <w:rsid w:val="008705D9"/>
    <w:rsid w:val="0087198C"/>
    <w:rsid w:val="00871A1C"/>
    <w:rsid w:val="00872AF3"/>
    <w:rsid w:val="00872C1F"/>
    <w:rsid w:val="00872E5C"/>
    <w:rsid w:val="00873B42"/>
    <w:rsid w:val="00873E65"/>
    <w:rsid w:val="008856D8"/>
    <w:rsid w:val="00887A37"/>
    <w:rsid w:val="0089102E"/>
    <w:rsid w:val="00892CD6"/>
    <w:rsid w:val="00892E82"/>
    <w:rsid w:val="00893B19"/>
    <w:rsid w:val="00894590"/>
    <w:rsid w:val="008971C9"/>
    <w:rsid w:val="008A154E"/>
    <w:rsid w:val="008A2575"/>
    <w:rsid w:val="008A4112"/>
    <w:rsid w:val="008A6421"/>
    <w:rsid w:val="008A6633"/>
    <w:rsid w:val="008B368F"/>
    <w:rsid w:val="008B4392"/>
    <w:rsid w:val="008C1B58"/>
    <w:rsid w:val="008C39AE"/>
    <w:rsid w:val="008C4B7E"/>
    <w:rsid w:val="008C590D"/>
    <w:rsid w:val="008C6200"/>
    <w:rsid w:val="008C67BB"/>
    <w:rsid w:val="008C6EFD"/>
    <w:rsid w:val="008D3478"/>
    <w:rsid w:val="008D4F4A"/>
    <w:rsid w:val="008D5434"/>
    <w:rsid w:val="008D5588"/>
    <w:rsid w:val="008E031B"/>
    <w:rsid w:val="008E0A0D"/>
    <w:rsid w:val="008E4212"/>
    <w:rsid w:val="008E7029"/>
    <w:rsid w:val="008E7EF6"/>
    <w:rsid w:val="008E7F3A"/>
    <w:rsid w:val="008F1F98"/>
    <w:rsid w:val="008F33C0"/>
    <w:rsid w:val="008F6758"/>
    <w:rsid w:val="008F7898"/>
    <w:rsid w:val="0090145C"/>
    <w:rsid w:val="00901836"/>
    <w:rsid w:val="009040DD"/>
    <w:rsid w:val="00905A36"/>
    <w:rsid w:val="00905B47"/>
    <w:rsid w:val="00906837"/>
    <w:rsid w:val="0091331C"/>
    <w:rsid w:val="009208B9"/>
    <w:rsid w:val="00921E74"/>
    <w:rsid w:val="00922C23"/>
    <w:rsid w:val="009261D8"/>
    <w:rsid w:val="009279DE"/>
    <w:rsid w:val="00930116"/>
    <w:rsid w:val="0093685F"/>
    <w:rsid w:val="009370FD"/>
    <w:rsid w:val="0094212C"/>
    <w:rsid w:val="0094530A"/>
    <w:rsid w:val="00945A1D"/>
    <w:rsid w:val="00946A3E"/>
    <w:rsid w:val="0094709B"/>
    <w:rsid w:val="00950110"/>
    <w:rsid w:val="009515F5"/>
    <w:rsid w:val="00951DD0"/>
    <w:rsid w:val="00954161"/>
    <w:rsid w:val="00954689"/>
    <w:rsid w:val="009617C9"/>
    <w:rsid w:val="00961C93"/>
    <w:rsid w:val="00963CC0"/>
    <w:rsid w:val="00964067"/>
    <w:rsid w:val="00965324"/>
    <w:rsid w:val="00966BE0"/>
    <w:rsid w:val="0097091E"/>
    <w:rsid w:val="009710DA"/>
    <w:rsid w:val="009712BF"/>
    <w:rsid w:val="009723F2"/>
    <w:rsid w:val="00972ED0"/>
    <w:rsid w:val="00972F10"/>
    <w:rsid w:val="009739E1"/>
    <w:rsid w:val="009760D3"/>
    <w:rsid w:val="009764E7"/>
    <w:rsid w:val="00977132"/>
    <w:rsid w:val="00977732"/>
    <w:rsid w:val="009778F3"/>
    <w:rsid w:val="0098170D"/>
    <w:rsid w:val="00981A4B"/>
    <w:rsid w:val="00982501"/>
    <w:rsid w:val="009835D7"/>
    <w:rsid w:val="00983EDB"/>
    <w:rsid w:val="009844CD"/>
    <w:rsid w:val="009877D3"/>
    <w:rsid w:val="00992AB9"/>
    <w:rsid w:val="00994E8F"/>
    <w:rsid w:val="009951DC"/>
    <w:rsid w:val="0099525D"/>
    <w:rsid w:val="009959BB"/>
    <w:rsid w:val="00997158"/>
    <w:rsid w:val="0099736C"/>
    <w:rsid w:val="009A0551"/>
    <w:rsid w:val="009A35EF"/>
    <w:rsid w:val="009A3A7C"/>
    <w:rsid w:val="009B1077"/>
    <w:rsid w:val="009B2ADB"/>
    <w:rsid w:val="009B4D1A"/>
    <w:rsid w:val="009B603A"/>
    <w:rsid w:val="009B658B"/>
    <w:rsid w:val="009B6FF3"/>
    <w:rsid w:val="009C2CA2"/>
    <w:rsid w:val="009C2D0E"/>
    <w:rsid w:val="009C3DAC"/>
    <w:rsid w:val="009C42E0"/>
    <w:rsid w:val="009C6CF1"/>
    <w:rsid w:val="009D1865"/>
    <w:rsid w:val="009D3409"/>
    <w:rsid w:val="009D5362"/>
    <w:rsid w:val="009E1415"/>
    <w:rsid w:val="009E6116"/>
    <w:rsid w:val="009E6DE5"/>
    <w:rsid w:val="009E7453"/>
    <w:rsid w:val="009E78FE"/>
    <w:rsid w:val="009E7B26"/>
    <w:rsid w:val="009F11B6"/>
    <w:rsid w:val="009F3843"/>
    <w:rsid w:val="009F43E6"/>
    <w:rsid w:val="009F7BEE"/>
    <w:rsid w:val="00A002A8"/>
    <w:rsid w:val="00A0269B"/>
    <w:rsid w:val="00A02E43"/>
    <w:rsid w:val="00A03BF2"/>
    <w:rsid w:val="00A053F6"/>
    <w:rsid w:val="00A065F9"/>
    <w:rsid w:val="00A07F34"/>
    <w:rsid w:val="00A11E23"/>
    <w:rsid w:val="00A1545E"/>
    <w:rsid w:val="00A209A9"/>
    <w:rsid w:val="00A22154"/>
    <w:rsid w:val="00A233F8"/>
    <w:rsid w:val="00A255A0"/>
    <w:rsid w:val="00A25C38"/>
    <w:rsid w:val="00A25EA8"/>
    <w:rsid w:val="00A269BC"/>
    <w:rsid w:val="00A26EC3"/>
    <w:rsid w:val="00A26FBC"/>
    <w:rsid w:val="00A27FFC"/>
    <w:rsid w:val="00A32F0A"/>
    <w:rsid w:val="00A36BBE"/>
    <w:rsid w:val="00A37C15"/>
    <w:rsid w:val="00A41CB7"/>
    <w:rsid w:val="00A4307A"/>
    <w:rsid w:val="00A435A2"/>
    <w:rsid w:val="00A46616"/>
    <w:rsid w:val="00A47BC5"/>
    <w:rsid w:val="00A47EBB"/>
    <w:rsid w:val="00A51CDD"/>
    <w:rsid w:val="00A540C0"/>
    <w:rsid w:val="00A549D4"/>
    <w:rsid w:val="00A573B0"/>
    <w:rsid w:val="00A610F5"/>
    <w:rsid w:val="00A64861"/>
    <w:rsid w:val="00A6730D"/>
    <w:rsid w:val="00A7000E"/>
    <w:rsid w:val="00A71625"/>
    <w:rsid w:val="00A71B9B"/>
    <w:rsid w:val="00A74F03"/>
    <w:rsid w:val="00A751C7"/>
    <w:rsid w:val="00A75344"/>
    <w:rsid w:val="00A81CC6"/>
    <w:rsid w:val="00A85A12"/>
    <w:rsid w:val="00A87844"/>
    <w:rsid w:val="00A91CBF"/>
    <w:rsid w:val="00A92FD1"/>
    <w:rsid w:val="00A94F36"/>
    <w:rsid w:val="00A959ED"/>
    <w:rsid w:val="00A95E39"/>
    <w:rsid w:val="00A976CD"/>
    <w:rsid w:val="00AA038C"/>
    <w:rsid w:val="00AA5F9C"/>
    <w:rsid w:val="00AA697A"/>
    <w:rsid w:val="00AA78B5"/>
    <w:rsid w:val="00AA7A09"/>
    <w:rsid w:val="00AB2EC1"/>
    <w:rsid w:val="00AB3B50"/>
    <w:rsid w:val="00AC05B1"/>
    <w:rsid w:val="00AC0BC5"/>
    <w:rsid w:val="00AC0F1A"/>
    <w:rsid w:val="00AC265C"/>
    <w:rsid w:val="00AC3075"/>
    <w:rsid w:val="00AD1A83"/>
    <w:rsid w:val="00AD234A"/>
    <w:rsid w:val="00AD356C"/>
    <w:rsid w:val="00AD4B21"/>
    <w:rsid w:val="00AD4C6E"/>
    <w:rsid w:val="00AD62C1"/>
    <w:rsid w:val="00AD7876"/>
    <w:rsid w:val="00AE10D9"/>
    <w:rsid w:val="00AE2914"/>
    <w:rsid w:val="00AE35F4"/>
    <w:rsid w:val="00AE5BF2"/>
    <w:rsid w:val="00AE6D15"/>
    <w:rsid w:val="00AE71F3"/>
    <w:rsid w:val="00AF50B7"/>
    <w:rsid w:val="00AF6C03"/>
    <w:rsid w:val="00B04182"/>
    <w:rsid w:val="00B0497E"/>
    <w:rsid w:val="00B07AE3"/>
    <w:rsid w:val="00B11430"/>
    <w:rsid w:val="00B130F6"/>
    <w:rsid w:val="00B131E2"/>
    <w:rsid w:val="00B13C30"/>
    <w:rsid w:val="00B14B1F"/>
    <w:rsid w:val="00B14C81"/>
    <w:rsid w:val="00B174C1"/>
    <w:rsid w:val="00B22022"/>
    <w:rsid w:val="00B24BD0"/>
    <w:rsid w:val="00B256B4"/>
    <w:rsid w:val="00B259EB"/>
    <w:rsid w:val="00B27997"/>
    <w:rsid w:val="00B27B4A"/>
    <w:rsid w:val="00B3024A"/>
    <w:rsid w:val="00B303BF"/>
    <w:rsid w:val="00B314B9"/>
    <w:rsid w:val="00B315F5"/>
    <w:rsid w:val="00B3465B"/>
    <w:rsid w:val="00B353EB"/>
    <w:rsid w:val="00B35CA1"/>
    <w:rsid w:val="00B40D1D"/>
    <w:rsid w:val="00B40FA1"/>
    <w:rsid w:val="00B421C2"/>
    <w:rsid w:val="00B439C4"/>
    <w:rsid w:val="00B4535E"/>
    <w:rsid w:val="00B46175"/>
    <w:rsid w:val="00B46E72"/>
    <w:rsid w:val="00B478D9"/>
    <w:rsid w:val="00B52A8C"/>
    <w:rsid w:val="00B5538F"/>
    <w:rsid w:val="00B56B4B"/>
    <w:rsid w:val="00B60716"/>
    <w:rsid w:val="00B62720"/>
    <w:rsid w:val="00B6309A"/>
    <w:rsid w:val="00B636A8"/>
    <w:rsid w:val="00B64168"/>
    <w:rsid w:val="00B665C6"/>
    <w:rsid w:val="00B70D8E"/>
    <w:rsid w:val="00B76411"/>
    <w:rsid w:val="00B804E9"/>
    <w:rsid w:val="00B805AF"/>
    <w:rsid w:val="00B8109E"/>
    <w:rsid w:val="00B81B95"/>
    <w:rsid w:val="00B8231B"/>
    <w:rsid w:val="00B82D00"/>
    <w:rsid w:val="00B83E41"/>
    <w:rsid w:val="00B8520C"/>
    <w:rsid w:val="00B869EC"/>
    <w:rsid w:val="00B87C4D"/>
    <w:rsid w:val="00B914B4"/>
    <w:rsid w:val="00B9397A"/>
    <w:rsid w:val="00B93E4C"/>
    <w:rsid w:val="00B9633D"/>
    <w:rsid w:val="00B968C4"/>
    <w:rsid w:val="00BA0521"/>
    <w:rsid w:val="00BA2EBE"/>
    <w:rsid w:val="00BB0F28"/>
    <w:rsid w:val="00BB2B4A"/>
    <w:rsid w:val="00BB458A"/>
    <w:rsid w:val="00BB4B21"/>
    <w:rsid w:val="00BB71D2"/>
    <w:rsid w:val="00BB77AF"/>
    <w:rsid w:val="00BB7A83"/>
    <w:rsid w:val="00BC7037"/>
    <w:rsid w:val="00BD00D3"/>
    <w:rsid w:val="00BD1659"/>
    <w:rsid w:val="00BD28F3"/>
    <w:rsid w:val="00BD2CBC"/>
    <w:rsid w:val="00BD3AA9"/>
    <w:rsid w:val="00BD4A18"/>
    <w:rsid w:val="00BD633F"/>
    <w:rsid w:val="00BD6DB2"/>
    <w:rsid w:val="00BE11CF"/>
    <w:rsid w:val="00BE183F"/>
    <w:rsid w:val="00BE21AB"/>
    <w:rsid w:val="00BE256A"/>
    <w:rsid w:val="00BE55CB"/>
    <w:rsid w:val="00BE7083"/>
    <w:rsid w:val="00BE70F5"/>
    <w:rsid w:val="00BE780B"/>
    <w:rsid w:val="00BF1D6D"/>
    <w:rsid w:val="00BF4CEE"/>
    <w:rsid w:val="00BF617A"/>
    <w:rsid w:val="00BF6842"/>
    <w:rsid w:val="00C015B2"/>
    <w:rsid w:val="00C0379D"/>
    <w:rsid w:val="00C03931"/>
    <w:rsid w:val="00C05A23"/>
    <w:rsid w:val="00C05FE3"/>
    <w:rsid w:val="00C11669"/>
    <w:rsid w:val="00C16EFD"/>
    <w:rsid w:val="00C20A88"/>
    <w:rsid w:val="00C211FF"/>
    <w:rsid w:val="00C2136D"/>
    <w:rsid w:val="00C214EE"/>
    <w:rsid w:val="00C2314B"/>
    <w:rsid w:val="00C24971"/>
    <w:rsid w:val="00C258B1"/>
    <w:rsid w:val="00C2665A"/>
    <w:rsid w:val="00C26BE5"/>
    <w:rsid w:val="00C26E4D"/>
    <w:rsid w:val="00C26FE6"/>
    <w:rsid w:val="00C275A8"/>
    <w:rsid w:val="00C27909"/>
    <w:rsid w:val="00C27B03"/>
    <w:rsid w:val="00C311CB"/>
    <w:rsid w:val="00C314E1"/>
    <w:rsid w:val="00C31BAE"/>
    <w:rsid w:val="00C31CEC"/>
    <w:rsid w:val="00C31FFE"/>
    <w:rsid w:val="00C34397"/>
    <w:rsid w:val="00C35E4C"/>
    <w:rsid w:val="00C4095D"/>
    <w:rsid w:val="00C4223A"/>
    <w:rsid w:val="00C42883"/>
    <w:rsid w:val="00C43C46"/>
    <w:rsid w:val="00C463E7"/>
    <w:rsid w:val="00C46E23"/>
    <w:rsid w:val="00C53F9E"/>
    <w:rsid w:val="00C56AD9"/>
    <w:rsid w:val="00C57682"/>
    <w:rsid w:val="00C57BEA"/>
    <w:rsid w:val="00C601D2"/>
    <w:rsid w:val="00C6337B"/>
    <w:rsid w:val="00C63F2E"/>
    <w:rsid w:val="00C641A3"/>
    <w:rsid w:val="00C6482F"/>
    <w:rsid w:val="00C657AB"/>
    <w:rsid w:val="00C65BCC"/>
    <w:rsid w:val="00C65CEA"/>
    <w:rsid w:val="00C66970"/>
    <w:rsid w:val="00C67CBB"/>
    <w:rsid w:val="00C74ADB"/>
    <w:rsid w:val="00C75E4F"/>
    <w:rsid w:val="00C80DD0"/>
    <w:rsid w:val="00C81BC3"/>
    <w:rsid w:val="00C82817"/>
    <w:rsid w:val="00C85C55"/>
    <w:rsid w:val="00C85C9B"/>
    <w:rsid w:val="00C85CB9"/>
    <w:rsid w:val="00C8691C"/>
    <w:rsid w:val="00C90389"/>
    <w:rsid w:val="00C914D7"/>
    <w:rsid w:val="00C96E33"/>
    <w:rsid w:val="00CA034E"/>
    <w:rsid w:val="00CA1556"/>
    <w:rsid w:val="00CA168A"/>
    <w:rsid w:val="00CA2A26"/>
    <w:rsid w:val="00CA357E"/>
    <w:rsid w:val="00CA361B"/>
    <w:rsid w:val="00CA44F9"/>
    <w:rsid w:val="00CA4A69"/>
    <w:rsid w:val="00CA6442"/>
    <w:rsid w:val="00CA686A"/>
    <w:rsid w:val="00CC17BA"/>
    <w:rsid w:val="00CC3E0C"/>
    <w:rsid w:val="00CC537E"/>
    <w:rsid w:val="00CC58D3"/>
    <w:rsid w:val="00CC725D"/>
    <w:rsid w:val="00CC784D"/>
    <w:rsid w:val="00CD0028"/>
    <w:rsid w:val="00CD51B7"/>
    <w:rsid w:val="00CE1635"/>
    <w:rsid w:val="00CE5798"/>
    <w:rsid w:val="00CE59D1"/>
    <w:rsid w:val="00CF06F1"/>
    <w:rsid w:val="00CF0E5A"/>
    <w:rsid w:val="00CF0FE1"/>
    <w:rsid w:val="00CF12D2"/>
    <w:rsid w:val="00CF38EB"/>
    <w:rsid w:val="00D01FAD"/>
    <w:rsid w:val="00D02F06"/>
    <w:rsid w:val="00D0337B"/>
    <w:rsid w:val="00D03505"/>
    <w:rsid w:val="00D0696B"/>
    <w:rsid w:val="00D07459"/>
    <w:rsid w:val="00D079B2"/>
    <w:rsid w:val="00D11431"/>
    <w:rsid w:val="00D114E9"/>
    <w:rsid w:val="00D14328"/>
    <w:rsid w:val="00D16959"/>
    <w:rsid w:val="00D17761"/>
    <w:rsid w:val="00D20B53"/>
    <w:rsid w:val="00D3138B"/>
    <w:rsid w:val="00D321D6"/>
    <w:rsid w:val="00D34A65"/>
    <w:rsid w:val="00D429C6"/>
    <w:rsid w:val="00D47748"/>
    <w:rsid w:val="00D51136"/>
    <w:rsid w:val="00D51E4B"/>
    <w:rsid w:val="00D537F1"/>
    <w:rsid w:val="00D54CC3"/>
    <w:rsid w:val="00D55445"/>
    <w:rsid w:val="00D561E7"/>
    <w:rsid w:val="00D6041A"/>
    <w:rsid w:val="00D60806"/>
    <w:rsid w:val="00D612B7"/>
    <w:rsid w:val="00D633EB"/>
    <w:rsid w:val="00D647C1"/>
    <w:rsid w:val="00D65C17"/>
    <w:rsid w:val="00D65C75"/>
    <w:rsid w:val="00D72A51"/>
    <w:rsid w:val="00D7407B"/>
    <w:rsid w:val="00D7530E"/>
    <w:rsid w:val="00D756A2"/>
    <w:rsid w:val="00D76E8C"/>
    <w:rsid w:val="00D811F6"/>
    <w:rsid w:val="00D82246"/>
    <w:rsid w:val="00D82FF7"/>
    <w:rsid w:val="00D847FE"/>
    <w:rsid w:val="00D8587F"/>
    <w:rsid w:val="00D87116"/>
    <w:rsid w:val="00D94AFF"/>
    <w:rsid w:val="00D95F8F"/>
    <w:rsid w:val="00D964EA"/>
    <w:rsid w:val="00D966D0"/>
    <w:rsid w:val="00D978B3"/>
    <w:rsid w:val="00DA0C59"/>
    <w:rsid w:val="00DA312D"/>
    <w:rsid w:val="00DA3724"/>
    <w:rsid w:val="00DA3991"/>
    <w:rsid w:val="00DA412F"/>
    <w:rsid w:val="00DA4291"/>
    <w:rsid w:val="00DA6F88"/>
    <w:rsid w:val="00DB255B"/>
    <w:rsid w:val="00DB458D"/>
    <w:rsid w:val="00DB4E35"/>
    <w:rsid w:val="00DB7E6C"/>
    <w:rsid w:val="00DC09FA"/>
    <w:rsid w:val="00DC2260"/>
    <w:rsid w:val="00DC4017"/>
    <w:rsid w:val="00DC4086"/>
    <w:rsid w:val="00DD13B9"/>
    <w:rsid w:val="00DD32BF"/>
    <w:rsid w:val="00DD5A29"/>
    <w:rsid w:val="00DD5D9D"/>
    <w:rsid w:val="00DD7D88"/>
    <w:rsid w:val="00DE097F"/>
    <w:rsid w:val="00DE27D3"/>
    <w:rsid w:val="00DE27F7"/>
    <w:rsid w:val="00DE32F3"/>
    <w:rsid w:val="00DE35CB"/>
    <w:rsid w:val="00DE4D70"/>
    <w:rsid w:val="00DF12E1"/>
    <w:rsid w:val="00DF1BF6"/>
    <w:rsid w:val="00DF21E9"/>
    <w:rsid w:val="00DF266E"/>
    <w:rsid w:val="00DF2BB3"/>
    <w:rsid w:val="00DF6F38"/>
    <w:rsid w:val="00E00F14"/>
    <w:rsid w:val="00E02DD2"/>
    <w:rsid w:val="00E06386"/>
    <w:rsid w:val="00E070D1"/>
    <w:rsid w:val="00E0729A"/>
    <w:rsid w:val="00E076C0"/>
    <w:rsid w:val="00E10858"/>
    <w:rsid w:val="00E12BD1"/>
    <w:rsid w:val="00E13FD4"/>
    <w:rsid w:val="00E14AE9"/>
    <w:rsid w:val="00E15A5C"/>
    <w:rsid w:val="00E1747D"/>
    <w:rsid w:val="00E177C7"/>
    <w:rsid w:val="00E20698"/>
    <w:rsid w:val="00E20DC4"/>
    <w:rsid w:val="00E21030"/>
    <w:rsid w:val="00E244F6"/>
    <w:rsid w:val="00E24EB4"/>
    <w:rsid w:val="00E2535B"/>
    <w:rsid w:val="00E25436"/>
    <w:rsid w:val="00E254BC"/>
    <w:rsid w:val="00E27E95"/>
    <w:rsid w:val="00E31B40"/>
    <w:rsid w:val="00E320ED"/>
    <w:rsid w:val="00E3232E"/>
    <w:rsid w:val="00E32493"/>
    <w:rsid w:val="00E33AFB"/>
    <w:rsid w:val="00E34218"/>
    <w:rsid w:val="00E37DC0"/>
    <w:rsid w:val="00E43BFA"/>
    <w:rsid w:val="00E45885"/>
    <w:rsid w:val="00E46039"/>
    <w:rsid w:val="00E46282"/>
    <w:rsid w:val="00E50951"/>
    <w:rsid w:val="00E5216E"/>
    <w:rsid w:val="00E52409"/>
    <w:rsid w:val="00E528AC"/>
    <w:rsid w:val="00E557A9"/>
    <w:rsid w:val="00E57C5D"/>
    <w:rsid w:val="00E57E01"/>
    <w:rsid w:val="00E701A3"/>
    <w:rsid w:val="00E71618"/>
    <w:rsid w:val="00E72385"/>
    <w:rsid w:val="00E77E2C"/>
    <w:rsid w:val="00E82344"/>
    <w:rsid w:val="00E84C82"/>
    <w:rsid w:val="00E84D64"/>
    <w:rsid w:val="00E850D7"/>
    <w:rsid w:val="00E87408"/>
    <w:rsid w:val="00E906F7"/>
    <w:rsid w:val="00E9099B"/>
    <w:rsid w:val="00E914C4"/>
    <w:rsid w:val="00E934F5"/>
    <w:rsid w:val="00E94E0C"/>
    <w:rsid w:val="00E96961"/>
    <w:rsid w:val="00E969A0"/>
    <w:rsid w:val="00E969AB"/>
    <w:rsid w:val="00E97F3D"/>
    <w:rsid w:val="00EA3167"/>
    <w:rsid w:val="00EA3536"/>
    <w:rsid w:val="00EA3E42"/>
    <w:rsid w:val="00EA4FB7"/>
    <w:rsid w:val="00EA72EC"/>
    <w:rsid w:val="00EB11CB"/>
    <w:rsid w:val="00EB275A"/>
    <w:rsid w:val="00EB5AF1"/>
    <w:rsid w:val="00EB786A"/>
    <w:rsid w:val="00EC1578"/>
    <w:rsid w:val="00EC17C9"/>
    <w:rsid w:val="00EC1C72"/>
    <w:rsid w:val="00EC3A76"/>
    <w:rsid w:val="00EC3CC9"/>
    <w:rsid w:val="00EC4F78"/>
    <w:rsid w:val="00EC55A9"/>
    <w:rsid w:val="00EC5FE1"/>
    <w:rsid w:val="00EC680A"/>
    <w:rsid w:val="00EC7537"/>
    <w:rsid w:val="00EC7FF8"/>
    <w:rsid w:val="00ED5F13"/>
    <w:rsid w:val="00ED6D5E"/>
    <w:rsid w:val="00EE1B8C"/>
    <w:rsid w:val="00EE2BED"/>
    <w:rsid w:val="00EE343E"/>
    <w:rsid w:val="00EE374B"/>
    <w:rsid w:val="00EE680E"/>
    <w:rsid w:val="00EF0041"/>
    <w:rsid w:val="00EF026E"/>
    <w:rsid w:val="00EF259B"/>
    <w:rsid w:val="00EF31D7"/>
    <w:rsid w:val="00EF33D8"/>
    <w:rsid w:val="00EF3492"/>
    <w:rsid w:val="00EF56ED"/>
    <w:rsid w:val="00EF59AF"/>
    <w:rsid w:val="00EF635B"/>
    <w:rsid w:val="00F04594"/>
    <w:rsid w:val="00F05DE5"/>
    <w:rsid w:val="00F11BB5"/>
    <w:rsid w:val="00F12662"/>
    <w:rsid w:val="00F12DF4"/>
    <w:rsid w:val="00F1417B"/>
    <w:rsid w:val="00F14B47"/>
    <w:rsid w:val="00F156E9"/>
    <w:rsid w:val="00F15C20"/>
    <w:rsid w:val="00F15FAE"/>
    <w:rsid w:val="00F17BF0"/>
    <w:rsid w:val="00F27B3E"/>
    <w:rsid w:val="00F301F0"/>
    <w:rsid w:val="00F34B99"/>
    <w:rsid w:val="00F358A0"/>
    <w:rsid w:val="00F42348"/>
    <w:rsid w:val="00F4256D"/>
    <w:rsid w:val="00F430F3"/>
    <w:rsid w:val="00F43B61"/>
    <w:rsid w:val="00F52DAB"/>
    <w:rsid w:val="00F53ADF"/>
    <w:rsid w:val="00F543F0"/>
    <w:rsid w:val="00F5590C"/>
    <w:rsid w:val="00F567C3"/>
    <w:rsid w:val="00F61AD6"/>
    <w:rsid w:val="00F61E08"/>
    <w:rsid w:val="00F6211C"/>
    <w:rsid w:val="00F63CB3"/>
    <w:rsid w:val="00F64399"/>
    <w:rsid w:val="00F65224"/>
    <w:rsid w:val="00F663DF"/>
    <w:rsid w:val="00F675A2"/>
    <w:rsid w:val="00F72C72"/>
    <w:rsid w:val="00F81D29"/>
    <w:rsid w:val="00F81E18"/>
    <w:rsid w:val="00F82724"/>
    <w:rsid w:val="00F832D2"/>
    <w:rsid w:val="00F84EC3"/>
    <w:rsid w:val="00F879A6"/>
    <w:rsid w:val="00F91C4D"/>
    <w:rsid w:val="00F92C07"/>
    <w:rsid w:val="00F92FD9"/>
    <w:rsid w:val="00FA4B61"/>
    <w:rsid w:val="00FA6684"/>
    <w:rsid w:val="00FA6BD4"/>
    <w:rsid w:val="00FA731E"/>
    <w:rsid w:val="00FB18E0"/>
    <w:rsid w:val="00FB2B38"/>
    <w:rsid w:val="00FB39D0"/>
    <w:rsid w:val="00FB4C79"/>
    <w:rsid w:val="00FB59F1"/>
    <w:rsid w:val="00FB66C6"/>
    <w:rsid w:val="00FC6358"/>
    <w:rsid w:val="00FC7826"/>
    <w:rsid w:val="00FD17A8"/>
    <w:rsid w:val="00FD2E32"/>
    <w:rsid w:val="00FD320D"/>
    <w:rsid w:val="00FD7DBC"/>
    <w:rsid w:val="00FE23DE"/>
    <w:rsid w:val="00FE37C6"/>
    <w:rsid w:val="00FE5C51"/>
    <w:rsid w:val="00FE7AB2"/>
    <w:rsid w:val="00FF08F0"/>
    <w:rsid w:val="00FF41B4"/>
    <w:rsid w:val="00FF4930"/>
    <w:rsid w:val="00FF7030"/>
    <w:rsid w:val="146B24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link w:val="139"/>
    <w:qFormat/>
    <w:uiPriority w:val="9"/>
    <w:pPr>
      <w:widowControl/>
      <w:spacing w:beforeLines="50" w:afterLines="50"/>
      <w:ind w:left="700" w:leftChars="200" w:hanging="500" w:hangingChars="500"/>
      <w:jc w:val="left"/>
      <w:outlineLvl w:val="1"/>
    </w:pPr>
    <w:rPr>
      <w:rFonts w:ascii="宋体"/>
      <w:b/>
      <w:color w:val="000000"/>
      <w:kern w:val="0"/>
      <w:sz w:val="24"/>
    </w:rPr>
  </w:style>
  <w:style w:type="character" w:default="1" w:styleId="37">
    <w:name w:val="Default Paragraph Font"/>
    <w:semiHidden/>
    <w:uiPriority w:val="0"/>
  </w:style>
  <w:style w:type="table" w:default="1" w:styleId="35">
    <w:name w:val="Normal Table"/>
    <w:semiHidden/>
    <w:uiPriority w:val="0"/>
    <w:tblPr>
      <w:tblStyle w:val="35"/>
      <w:tblCellMar>
        <w:top w:w="0" w:type="dxa"/>
        <w:left w:w="108" w:type="dxa"/>
        <w:bottom w:w="0" w:type="dxa"/>
        <w:right w:w="108" w:type="dxa"/>
      </w:tblCellMar>
    </w:tblPr>
    <w:trPr>
      <w:wBefore w:w="0" w:type="dxa"/>
    </w:trPr>
  </w:style>
  <w:style w:type="paragraph" w:styleId="3">
    <w:name w:val="toc 7"/>
    <w:basedOn w:val="1"/>
    <w:next w:val="1"/>
    <w:semiHidden/>
    <w:uiPriority w:val="0"/>
    <w:pPr>
      <w:tabs>
        <w:tab w:val="right" w:leader="dot" w:pos="9241"/>
      </w:tabs>
      <w:ind w:firstLine="505" w:firstLineChars="500"/>
      <w:jc w:val="left"/>
    </w:pPr>
    <w:rPr>
      <w:rFonts w:ascii="宋体"/>
      <w:szCs w:val="21"/>
    </w:rPr>
  </w:style>
  <w:style w:type="paragraph" w:styleId="4">
    <w:name w:val="index 8"/>
    <w:basedOn w:val="1"/>
    <w:next w:val="1"/>
    <w:uiPriority w:val="0"/>
    <w:pPr>
      <w:ind w:left="1680" w:hanging="210"/>
      <w:jc w:val="left"/>
    </w:pPr>
    <w:rPr>
      <w:rFonts w:ascii="Calibri" w:hAnsi="Calibri"/>
      <w:sz w:val="20"/>
      <w:szCs w:val="20"/>
    </w:rPr>
  </w:style>
  <w:style w:type="paragraph" w:styleId="5">
    <w:name w:val="Normal Indent"/>
    <w:basedOn w:val="1"/>
    <w:uiPriority w:val="0"/>
    <w:pPr>
      <w:ind w:firstLine="420"/>
    </w:pPr>
    <w:rPr>
      <w:szCs w:val="20"/>
    </w:rPr>
  </w:style>
  <w:style w:type="paragraph" w:styleId="6">
    <w:name w:val="caption"/>
    <w:basedOn w:val="1"/>
    <w:next w:val="1"/>
    <w:qFormat/>
    <w:uiPriority w:val="0"/>
    <w:pPr>
      <w:spacing w:before="152" w:after="160"/>
    </w:pPr>
    <w:rPr>
      <w:rFonts w:ascii="Arial" w:hAnsi="Arial" w:eastAsia="黑体" w:cs="Arial"/>
      <w:sz w:val="20"/>
      <w:szCs w:val="20"/>
    </w:rPr>
  </w:style>
  <w:style w:type="paragraph" w:styleId="7">
    <w:name w:val="index 5"/>
    <w:basedOn w:val="1"/>
    <w:next w:val="1"/>
    <w:uiPriority w:val="0"/>
    <w:pPr>
      <w:ind w:left="1050" w:hanging="210"/>
      <w:jc w:val="left"/>
    </w:pPr>
    <w:rPr>
      <w:rFonts w:ascii="Calibri" w:hAnsi="Calibri"/>
      <w:sz w:val="20"/>
      <w:szCs w:val="20"/>
    </w:rPr>
  </w:style>
  <w:style w:type="paragraph" w:styleId="8">
    <w:name w:val="Document Map"/>
    <w:basedOn w:val="1"/>
    <w:semiHidden/>
    <w:uiPriority w:val="0"/>
    <w:pPr>
      <w:shd w:val="clear" w:color="auto" w:fill="000080"/>
    </w:pPr>
  </w:style>
  <w:style w:type="paragraph" w:styleId="9">
    <w:name w:val="annotation text"/>
    <w:basedOn w:val="1"/>
    <w:link w:val="170"/>
    <w:uiPriority w:val="0"/>
    <w:pPr>
      <w:jc w:val="left"/>
    </w:pPr>
  </w:style>
  <w:style w:type="paragraph" w:styleId="10">
    <w:name w:val="index 6"/>
    <w:basedOn w:val="1"/>
    <w:next w:val="1"/>
    <w:uiPriority w:val="0"/>
    <w:pPr>
      <w:ind w:left="1260" w:hanging="210"/>
      <w:jc w:val="left"/>
    </w:pPr>
    <w:rPr>
      <w:rFonts w:ascii="Calibri" w:hAnsi="Calibri"/>
      <w:sz w:val="20"/>
      <w:szCs w:val="20"/>
    </w:rPr>
  </w:style>
  <w:style w:type="paragraph" w:styleId="11">
    <w:name w:val="Body Text"/>
    <w:basedOn w:val="1"/>
    <w:link w:val="141"/>
    <w:uiPriority w:val="0"/>
    <w:pPr>
      <w:widowControl/>
      <w:overflowPunct w:val="0"/>
      <w:autoSpaceDE w:val="0"/>
      <w:autoSpaceDN w:val="0"/>
      <w:adjustRightInd w:val="0"/>
      <w:spacing w:line="320" w:lineRule="exact"/>
      <w:jc w:val="left"/>
      <w:textAlignment w:val="baseline"/>
    </w:pPr>
    <w:rPr>
      <w:kern w:val="0"/>
      <w:sz w:val="24"/>
      <w:szCs w:val="20"/>
      <w:lang w:val="en-GB"/>
    </w:rPr>
  </w:style>
  <w:style w:type="paragraph" w:styleId="12">
    <w:name w:val="Body Text Indent"/>
    <w:basedOn w:val="1"/>
    <w:link w:val="143"/>
    <w:uiPriority w:val="99"/>
    <w:pPr>
      <w:spacing w:after="120"/>
      <w:ind w:left="420" w:leftChars="200"/>
    </w:pPr>
  </w:style>
  <w:style w:type="paragraph" w:styleId="13">
    <w:name w:val="index 4"/>
    <w:basedOn w:val="1"/>
    <w:next w:val="1"/>
    <w:uiPriority w:val="0"/>
    <w:pPr>
      <w:ind w:left="840" w:hanging="210"/>
      <w:jc w:val="left"/>
    </w:pPr>
    <w:rPr>
      <w:rFonts w:ascii="Calibri" w:hAnsi="Calibri"/>
      <w:sz w:val="20"/>
      <w:szCs w:val="20"/>
    </w:rPr>
  </w:style>
  <w:style w:type="paragraph" w:styleId="14">
    <w:name w:val="toc 5"/>
    <w:basedOn w:val="1"/>
    <w:next w:val="1"/>
    <w:semiHidden/>
    <w:uiPriority w:val="0"/>
    <w:pPr>
      <w:tabs>
        <w:tab w:val="right" w:leader="dot" w:pos="9241"/>
      </w:tabs>
      <w:ind w:firstLine="300" w:firstLineChars="300"/>
      <w:jc w:val="left"/>
    </w:pPr>
    <w:rPr>
      <w:rFonts w:ascii="宋体"/>
      <w:szCs w:val="21"/>
    </w:rPr>
  </w:style>
  <w:style w:type="paragraph" w:styleId="15">
    <w:name w:val="toc 3"/>
    <w:basedOn w:val="1"/>
    <w:next w:val="1"/>
    <w:uiPriority w:val="39"/>
    <w:pPr>
      <w:tabs>
        <w:tab w:val="right" w:leader="dot" w:pos="9241"/>
      </w:tabs>
      <w:ind w:firstLine="102" w:firstLineChars="100"/>
      <w:jc w:val="left"/>
    </w:pPr>
    <w:rPr>
      <w:rFonts w:ascii="宋体"/>
      <w:szCs w:val="21"/>
    </w:rPr>
  </w:style>
  <w:style w:type="paragraph" w:styleId="16">
    <w:name w:val="toc 8"/>
    <w:basedOn w:val="1"/>
    <w:next w:val="1"/>
    <w:semiHidden/>
    <w:uiPriority w:val="0"/>
    <w:pPr>
      <w:tabs>
        <w:tab w:val="right" w:leader="dot" w:pos="9241"/>
      </w:tabs>
      <w:ind w:firstLine="607" w:firstLineChars="600"/>
      <w:jc w:val="left"/>
    </w:pPr>
    <w:rPr>
      <w:rFonts w:ascii="宋体"/>
      <w:szCs w:val="21"/>
    </w:rPr>
  </w:style>
  <w:style w:type="paragraph" w:styleId="17">
    <w:name w:val="index 3"/>
    <w:basedOn w:val="1"/>
    <w:next w:val="1"/>
    <w:uiPriority w:val="0"/>
    <w:pPr>
      <w:ind w:left="630" w:hanging="210"/>
      <w:jc w:val="left"/>
    </w:pPr>
    <w:rPr>
      <w:rFonts w:ascii="Calibri" w:hAnsi="Calibri"/>
      <w:sz w:val="20"/>
      <w:szCs w:val="20"/>
    </w:rPr>
  </w:style>
  <w:style w:type="paragraph" w:styleId="18">
    <w:name w:val="Body Text Indent 2"/>
    <w:basedOn w:val="1"/>
    <w:link w:val="144"/>
    <w:uiPriority w:val="0"/>
    <w:pPr>
      <w:spacing w:after="120" w:line="480" w:lineRule="auto"/>
      <w:ind w:left="420" w:leftChars="200"/>
    </w:pPr>
  </w:style>
  <w:style w:type="paragraph" w:styleId="19">
    <w:name w:val="endnote text"/>
    <w:basedOn w:val="1"/>
    <w:semiHidden/>
    <w:uiPriority w:val="0"/>
    <w:pPr>
      <w:snapToGrid w:val="0"/>
      <w:jc w:val="left"/>
    </w:pPr>
  </w:style>
  <w:style w:type="paragraph" w:styleId="20">
    <w:name w:val="Balloon Text"/>
    <w:basedOn w:val="1"/>
    <w:link w:val="145"/>
    <w:uiPriority w:val="0"/>
    <w:rPr>
      <w:sz w:val="18"/>
      <w:szCs w:val="18"/>
    </w:rPr>
  </w:style>
  <w:style w:type="paragraph" w:styleId="21">
    <w:name w:val="footer"/>
    <w:basedOn w:val="1"/>
    <w:uiPriority w:val="0"/>
    <w:pPr>
      <w:snapToGrid w:val="0"/>
      <w:ind w:right="210" w:rightChars="100"/>
      <w:jc w:val="right"/>
    </w:pPr>
    <w:rPr>
      <w:sz w:val="18"/>
      <w:szCs w:val="18"/>
    </w:rPr>
  </w:style>
  <w:style w:type="paragraph" w:styleId="22">
    <w:name w:val="header"/>
    <w:basedOn w:val="1"/>
    <w:uiPriority w:val="0"/>
    <w:pPr>
      <w:snapToGrid w:val="0"/>
      <w:jc w:val="left"/>
    </w:pPr>
    <w:rPr>
      <w:sz w:val="18"/>
      <w:szCs w:val="18"/>
    </w:rPr>
  </w:style>
  <w:style w:type="paragraph" w:styleId="23">
    <w:name w:val="toc 1"/>
    <w:basedOn w:val="1"/>
    <w:next w:val="1"/>
    <w:uiPriority w:val="39"/>
    <w:pPr>
      <w:tabs>
        <w:tab w:val="right" w:leader="dot" w:pos="9241"/>
      </w:tabs>
      <w:spacing w:before="25" w:beforeLines="25" w:after="25" w:afterLines="25"/>
      <w:jc w:val="left"/>
    </w:pPr>
    <w:rPr>
      <w:rFonts w:ascii="宋体"/>
      <w:szCs w:val="21"/>
    </w:rPr>
  </w:style>
  <w:style w:type="paragraph" w:styleId="24">
    <w:name w:val="toc 4"/>
    <w:basedOn w:val="1"/>
    <w:next w:val="1"/>
    <w:uiPriority w:val="39"/>
    <w:pPr>
      <w:tabs>
        <w:tab w:val="right" w:leader="dot" w:pos="9241"/>
      </w:tabs>
      <w:ind w:firstLine="198" w:firstLineChars="200"/>
      <w:jc w:val="left"/>
    </w:pPr>
    <w:rPr>
      <w:rFonts w:ascii="宋体"/>
      <w:szCs w:val="21"/>
    </w:rPr>
  </w:style>
  <w:style w:type="paragraph" w:styleId="25">
    <w:name w:val="index heading"/>
    <w:basedOn w:val="1"/>
    <w:next w:val="26"/>
    <w:uiPriority w:val="0"/>
    <w:pPr>
      <w:spacing w:before="120" w:after="120"/>
      <w:jc w:val="center"/>
    </w:pPr>
    <w:rPr>
      <w:rFonts w:ascii="Calibri" w:hAnsi="Calibri"/>
      <w:b/>
      <w:bCs/>
      <w:iCs/>
      <w:szCs w:val="20"/>
    </w:rPr>
  </w:style>
  <w:style w:type="paragraph" w:styleId="26">
    <w:name w:val="index 1"/>
    <w:basedOn w:val="1"/>
    <w:next w:val="27"/>
    <w:uiPriority w:val="0"/>
    <w:pPr>
      <w:tabs>
        <w:tab w:val="right" w:leader="dot" w:pos="9299"/>
      </w:tabs>
      <w:jc w:val="left"/>
    </w:pPr>
    <w:rPr>
      <w:rFonts w:ascii="宋体"/>
      <w:szCs w:val="21"/>
    </w:rPr>
  </w:style>
  <w:style w:type="paragraph" w:customStyle="1" w:styleId="27">
    <w:name w:val="段"/>
    <w:link w:val="43"/>
    <w:qFormat/>
    <w:uiPriority w:val="0"/>
    <w:pPr>
      <w:tabs>
        <w:tab w:val="center" w:pos="4201"/>
        <w:tab w:val="right" w:leader="dot" w:pos="9298"/>
      </w:tabs>
      <w:autoSpaceDE w:val="0"/>
      <w:autoSpaceDN w:val="0"/>
      <w:ind w:firstLine="420" w:firstLineChars="200"/>
      <w:jc w:val="both"/>
    </w:pPr>
    <w:rPr>
      <w:rFonts w:ascii="宋体"/>
      <w:sz w:val="21"/>
      <w:lang w:val="en-US" w:eastAsia="zh-CN" w:bidi="ar-SA"/>
    </w:rPr>
  </w:style>
  <w:style w:type="paragraph" w:styleId="28">
    <w:name w:val="footnote text"/>
    <w:basedOn w:val="1"/>
    <w:uiPriority w:val="0"/>
    <w:pPr>
      <w:numPr>
        <w:ilvl w:val="0"/>
        <w:numId w:val="1"/>
      </w:numPr>
      <w:snapToGrid w:val="0"/>
      <w:jc w:val="left"/>
    </w:pPr>
    <w:rPr>
      <w:rFonts w:ascii="宋体"/>
      <w:sz w:val="18"/>
      <w:szCs w:val="18"/>
    </w:rPr>
  </w:style>
  <w:style w:type="paragraph" w:styleId="29">
    <w:name w:val="toc 6"/>
    <w:basedOn w:val="1"/>
    <w:next w:val="1"/>
    <w:semiHidden/>
    <w:uiPriority w:val="0"/>
    <w:pPr>
      <w:tabs>
        <w:tab w:val="right" w:leader="dot" w:pos="9241"/>
      </w:tabs>
      <w:ind w:firstLine="403" w:firstLineChars="400"/>
      <w:jc w:val="left"/>
    </w:pPr>
    <w:rPr>
      <w:rFonts w:ascii="宋体"/>
      <w:szCs w:val="21"/>
    </w:rPr>
  </w:style>
  <w:style w:type="paragraph" w:styleId="30">
    <w:name w:val="index 7"/>
    <w:basedOn w:val="1"/>
    <w:next w:val="1"/>
    <w:uiPriority w:val="0"/>
    <w:pPr>
      <w:ind w:left="1470" w:hanging="210"/>
      <w:jc w:val="left"/>
    </w:pPr>
    <w:rPr>
      <w:rFonts w:ascii="Calibri" w:hAnsi="Calibri"/>
      <w:sz w:val="20"/>
      <w:szCs w:val="20"/>
    </w:rPr>
  </w:style>
  <w:style w:type="paragraph" w:styleId="31">
    <w:name w:val="index 9"/>
    <w:basedOn w:val="1"/>
    <w:next w:val="1"/>
    <w:uiPriority w:val="0"/>
    <w:pPr>
      <w:ind w:left="1890" w:hanging="210"/>
      <w:jc w:val="left"/>
    </w:pPr>
    <w:rPr>
      <w:rFonts w:ascii="Calibri" w:hAnsi="Calibri"/>
      <w:sz w:val="20"/>
      <w:szCs w:val="20"/>
    </w:rPr>
  </w:style>
  <w:style w:type="paragraph" w:styleId="32">
    <w:name w:val="toc 2"/>
    <w:basedOn w:val="1"/>
    <w:next w:val="1"/>
    <w:semiHidden/>
    <w:uiPriority w:val="0"/>
    <w:pPr>
      <w:tabs>
        <w:tab w:val="right" w:leader="dot" w:pos="9241"/>
      </w:tabs>
    </w:pPr>
    <w:rPr>
      <w:rFonts w:ascii="宋体"/>
      <w:szCs w:val="21"/>
    </w:rPr>
  </w:style>
  <w:style w:type="paragraph" w:styleId="33">
    <w:name w:val="toc 9"/>
    <w:basedOn w:val="1"/>
    <w:next w:val="1"/>
    <w:semiHidden/>
    <w:uiPriority w:val="0"/>
    <w:pPr>
      <w:ind w:left="1470"/>
      <w:jc w:val="left"/>
    </w:pPr>
    <w:rPr>
      <w:sz w:val="20"/>
      <w:szCs w:val="20"/>
    </w:rPr>
  </w:style>
  <w:style w:type="paragraph" w:styleId="34">
    <w:name w:val="index 2"/>
    <w:basedOn w:val="1"/>
    <w:next w:val="1"/>
    <w:uiPriority w:val="0"/>
    <w:pPr>
      <w:ind w:left="420" w:hanging="210"/>
      <w:jc w:val="left"/>
    </w:pPr>
    <w:rPr>
      <w:rFonts w:ascii="Calibri" w:hAnsi="Calibri"/>
      <w:sz w:val="20"/>
      <w:szCs w:val="20"/>
    </w:rPr>
  </w:style>
  <w:style w:type="table" w:styleId="36">
    <w:name w:val="Table Grid"/>
    <w:basedOn w:val="35"/>
    <w:uiPriority w:val="59"/>
    <w:rPr>
      <w:rFonts w:ascii="宋体"/>
      <w:sz w:val="18"/>
      <w:szCs w:val="18"/>
    </w:rPr>
    <w:tblPr>
      <w:tblStyle w:val="35"/>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8">
    <w:name w:val="endnote reference"/>
    <w:semiHidden/>
    <w:uiPriority w:val="0"/>
    <w:rPr>
      <w:vertAlign w:val="superscript"/>
    </w:rPr>
  </w:style>
  <w:style w:type="character" w:styleId="39">
    <w:name w:val="page number"/>
    <w:uiPriority w:val="0"/>
    <w:rPr>
      <w:rFonts w:ascii="Times New Roman" w:hAnsi="Times New Roman" w:eastAsia="宋体"/>
      <w:sz w:val="18"/>
    </w:rPr>
  </w:style>
  <w:style w:type="character" w:styleId="40">
    <w:name w:val="FollowedHyperlink"/>
    <w:uiPriority w:val="0"/>
    <w:rPr>
      <w:color w:val="800080"/>
      <w:u w:val="single"/>
    </w:rPr>
  </w:style>
  <w:style w:type="character" w:styleId="41">
    <w:name w:val="Hyperlink"/>
    <w:uiPriority w:val="99"/>
    <w:rPr>
      <w:color w:val="0000FF"/>
      <w:spacing w:val="0"/>
      <w:w w:val="100"/>
      <w:szCs w:val="21"/>
      <w:u w:val="single"/>
      <w:lang/>
    </w:rPr>
  </w:style>
  <w:style w:type="character" w:styleId="42">
    <w:name w:val="footnote reference"/>
    <w:semiHidden/>
    <w:uiPriority w:val="0"/>
    <w:rPr>
      <w:vertAlign w:val="superscript"/>
    </w:rPr>
  </w:style>
  <w:style w:type="character" w:customStyle="1" w:styleId="43">
    <w:name w:val="段 Char"/>
    <w:link w:val="27"/>
    <w:qFormat/>
    <w:uiPriority w:val="0"/>
    <w:rPr>
      <w:rFonts w:ascii="宋体"/>
      <w:sz w:val="21"/>
      <w:lang w:val="en-US" w:eastAsia="zh-CN" w:bidi="ar-SA"/>
    </w:rPr>
  </w:style>
  <w:style w:type="paragraph" w:customStyle="1" w:styleId="44">
    <w:name w:val="一级条标题"/>
    <w:next w:val="27"/>
    <w:uiPriority w:val="0"/>
    <w:pPr>
      <w:numPr>
        <w:ilvl w:val="1"/>
        <w:numId w:val="2"/>
      </w:numPr>
      <w:spacing w:before="156" w:beforeLines="50" w:after="156" w:afterLines="50"/>
      <w:outlineLvl w:val="2"/>
    </w:pPr>
    <w:rPr>
      <w:rFonts w:ascii="黑体" w:eastAsia="黑体"/>
      <w:sz w:val="21"/>
      <w:szCs w:val="21"/>
      <w:lang w:val="en-US" w:eastAsia="zh-CN" w:bidi="ar-SA"/>
    </w:rPr>
  </w:style>
  <w:style w:type="paragraph" w:customStyle="1" w:styleId="45">
    <w:name w:val="标准书脚_奇数页"/>
    <w:uiPriority w:val="0"/>
    <w:pPr>
      <w:spacing w:before="120"/>
      <w:ind w:right="198"/>
      <w:jc w:val="right"/>
    </w:pPr>
    <w:rPr>
      <w:rFonts w:ascii="宋体"/>
      <w:sz w:val="18"/>
      <w:szCs w:val="18"/>
      <w:lang w:val="en-US" w:eastAsia="zh-CN" w:bidi="ar-SA"/>
    </w:rPr>
  </w:style>
  <w:style w:type="paragraph" w:customStyle="1" w:styleId="46">
    <w:name w:val="标准书眉_奇数页"/>
    <w:next w:val="1"/>
    <w:uiPriority w:val="0"/>
    <w:pPr>
      <w:tabs>
        <w:tab w:val="center" w:pos="4154"/>
        <w:tab w:val="right" w:pos="8306"/>
      </w:tabs>
      <w:spacing w:after="220"/>
      <w:jc w:val="right"/>
    </w:pPr>
    <w:rPr>
      <w:rFonts w:ascii="黑体" w:eastAsia="黑体"/>
      <w:sz w:val="21"/>
      <w:szCs w:val="21"/>
      <w:lang w:val="en-US" w:eastAsia="zh-CN" w:bidi="ar-SA"/>
    </w:rPr>
  </w:style>
  <w:style w:type="paragraph" w:customStyle="1" w:styleId="47">
    <w:name w:val="章标题"/>
    <w:next w:val="27"/>
    <w:uiPriority w:val="0"/>
    <w:pPr>
      <w:numPr>
        <w:ilvl w:val="0"/>
        <w:numId w:val="2"/>
      </w:numPr>
      <w:spacing w:before="312" w:beforeLines="100" w:after="312" w:afterLines="100"/>
      <w:jc w:val="both"/>
      <w:outlineLvl w:val="1"/>
    </w:pPr>
    <w:rPr>
      <w:rFonts w:ascii="黑体" w:eastAsia="黑体"/>
      <w:sz w:val="21"/>
      <w:lang w:val="en-US" w:eastAsia="zh-CN" w:bidi="ar-SA"/>
    </w:rPr>
  </w:style>
  <w:style w:type="paragraph" w:customStyle="1" w:styleId="48">
    <w:name w:val="二级条标题"/>
    <w:basedOn w:val="44"/>
    <w:next w:val="27"/>
    <w:uiPriority w:val="0"/>
    <w:pPr>
      <w:numPr>
        <w:ilvl w:val="2"/>
        <w:numId w:val="2"/>
      </w:numPr>
      <w:spacing w:before="50" w:after="50"/>
      <w:outlineLvl w:val="3"/>
    </w:pPr>
  </w:style>
  <w:style w:type="paragraph" w:customStyle="1" w:styleId="49">
    <w:name w:val="封面标准号2"/>
    <w:uiPriority w:val="0"/>
    <w:pPr>
      <w:framePr w:w="9140" w:h="1242" w:hRule="exact" w:hSpace="284" w:wrap="around" w:vAnchor="page" w:hAnchor="page" w:x="1645" w:y="2910" w:anchorLock="1"/>
      <w:spacing w:before="357" w:line="280" w:lineRule="exact"/>
      <w:jc w:val="right"/>
    </w:pPr>
    <w:rPr>
      <w:rFonts w:ascii="黑体" w:eastAsia="黑体"/>
      <w:sz w:val="28"/>
      <w:szCs w:val="28"/>
      <w:lang w:val="en-US" w:eastAsia="zh-CN" w:bidi="ar-SA"/>
    </w:rPr>
  </w:style>
  <w:style w:type="paragraph" w:customStyle="1" w:styleId="50">
    <w:name w:val="列项——（一级）"/>
    <w:uiPriority w:val="0"/>
    <w:pPr>
      <w:widowControl w:val="0"/>
      <w:jc w:val="both"/>
    </w:pPr>
    <w:rPr>
      <w:rFonts w:ascii="宋体"/>
      <w:sz w:val="21"/>
      <w:lang w:val="en-US" w:eastAsia="zh-CN" w:bidi="ar-SA"/>
    </w:rPr>
  </w:style>
  <w:style w:type="paragraph" w:customStyle="1" w:styleId="51">
    <w:name w:val="列项●（二级）"/>
    <w:uiPriority w:val="0"/>
    <w:pPr>
      <w:tabs>
        <w:tab w:val="left" w:pos="840"/>
      </w:tabs>
      <w:jc w:val="both"/>
    </w:pPr>
    <w:rPr>
      <w:rFonts w:ascii="宋体"/>
      <w:sz w:val="21"/>
      <w:lang w:val="en-US" w:eastAsia="zh-CN" w:bidi="ar-SA"/>
    </w:rPr>
  </w:style>
  <w:style w:type="paragraph" w:customStyle="1" w:styleId="52">
    <w:name w:val="目次、标准名称标题"/>
    <w:basedOn w:val="1"/>
    <w:next w:val="27"/>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53">
    <w:name w:val="三级条标题"/>
    <w:basedOn w:val="48"/>
    <w:next w:val="27"/>
    <w:uiPriority w:val="0"/>
    <w:pPr>
      <w:numPr>
        <w:ilvl w:val="3"/>
        <w:numId w:val="2"/>
      </w:numPr>
      <w:outlineLvl w:val="4"/>
    </w:pPr>
  </w:style>
  <w:style w:type="paragraph" w:customStyle="1" w:styleId="54">
    <w:name w:val="示例"/>
    <w:next w:val="55"/>
    <w:uiPriority w:val="0"/>
    <w:pPr>
      <w:widowControl w:val="0"/>
      <w:numPr>
        <w:ilvl w:val="0"/>
        <w:numId w:val="3"/>
      </w:numPr>
      <w:jc w:val="both"/>
    </w:pPr>
    <w:rPr>
      <w:rFonts w:ascii="宋体"/>
      <w:sz w:val="18"/>
      <w:szCs w:val="18"/>
      <w:lang w:val="en-US" w:eastAsia="zh-CN" w:bidi="ar-SA"/>
    </w:rPr>
  </w:style>
  <w:style w:type="paragraph" w:customStyle="1" w:styleId="55">
    <w:name w:val="示例内容"/>
    <w:uiPriority w:val="0"/>
    <w:pPr>
      <w:ind w:firstLine="200" w:firstLineChars="200"/>
    </w:pPr>
    <w:rPr>
      <w:rFonts w:ascii="宋体"/>
      <w:sz w:val="18"/>
      <w:szCs w:val="18"/>
      <w:lang w:val="en-US" w:eastAsia="zh-CN" w:bidi="ar-SA"/>
    </w:rPr>
  </w:style>
  <w:style w:type="paragraph" w:customStyle="1" w:styleId="56">
    <w:name w:val="数字编号列项（二级）"/>
    <w:uiPriority w:val="0"/>
    <w:pPr>
      <w:jc w:val="both"/>
    </w:pPr>
    <w:rPr>
      <w:rFonts w:ascii="宋体"/>
      <w:sz w:val="21"/>
      <w:lang w:val="en-US" w:eastAsia="zh-CN" w:bidi="ar-SA"/>
    </w:rPr>
  </w:style>
  <w:style w:type="paragraph" w:customStyle="1" w:styleId="57">
    <w:name w:val="四级条标题"/>
    <w:basedOn w:val="53"/>
    <w:next w:val="27"/>
    <w:uiPriority w:val="0"/>
    <w:pPr>
      <w:numPr>
        <w:ilvl w:val="4"/>
        <w:numId w:val="2"/>
      </w:numPr>
      <w:outlineLvl w:val="5"/>
    </w:pPr>
  </w:style>
  <w:style w:type="paragraph" w:customStyle="1" w:styleId="58">
    <w:name w:val="五级条标题"/>
    <w:basedOn w:val="57"/>
    <w:next w:val="27"/>
    <w:uiPriority w:val="0"/>
    <w:pPr>
      <w:numPr>
        <w:ilvl w:val="5"/>
        <w:numId w:val="2"/>
      </w:numPr>
      <w:outlineLvl w:val="6"/>
    </w:pPr>
  </w:style>
  <w:style w:type="paragraph" w:customStyle="1" w:styleId="59">
    <w:name w:val="注："/>
    <w:next w:val="27"/>
    <w:uiPriority w:val="0"/>
    <w:pPr>
      <w:widowControl w:val="0"/>
      <w:numPr>
        <w:ilvl w:val="0"/>
        <w:numId w:val="4"/>
      </w:numPr>
      <w:autoSpaceDE w:val="0"/>
      <w:autoSpaceDN w:val="0"/>
      <w:jc w:val="both"/>
    </w:pPr>
    <w:rPr>
      <w:rFonts w:ascii="宋体"/>
      <w:sz w:val="18"/>
      <w:szCs w:val="18"/>
      <w:lang w:val="en-US" w:eastAsia="zh-CN" w:bidi="ar-SA"/>
    </w:rPr>
  </w:style>
  <w:style w:type="paragraph" w:customStyle="1" w:styleId="60">
    <w:name w:val="注×："/>
    <w:uiPriority w:val="0"/>
    <w:pPr>
      <w:widowControl w:val="0"/>
      <w:numPr>
        <w:ilvl w:val="0"/>
        <w:numId w:val="5"/>
      </w:numPr>
      <w:autoSpaceDE w:val="0"/>
      <w:autoSpaceDN w:val="0"/>
      <w:jc w:val="both"/>
    </w:pPr>
    <w:rPr>
      <w:rFonts w:ascii="宋体"/>
      <w:sz w:val="18"/>
      <w:szCs w:val="18"/>
      <w:lang w:val="en-US" w:eastAsia="zh-CN" w:bidi="ar-SA"/>
    </w:rPr>
  </w:style>
  <w:style w:type="paragraph" w:customStyle="1" w:styleId="61">
    <w:name w:val="字母编号列项（一级）"/>
    <w:uiPriority w:val="0"/>
    <w:pPr>
      <w:jc w:val="both"/>
    </w:pPr>
    <w:rPr>
      <w:rFonts w:ascii="宋体"/>
      <w:sz w:val="21"/>
      <w:lang w:val="en-US" w:eastAsia="zh-CN" w:bidi="ar-SA"/>
    </w:rPr>
  </w:style>
  <w:style w:type="paragraph" w:customStyle="1" w:styleId="62">
    <w:name w:val="列项◆（三级）"/>
    <w:basedOn w:val="1"/>
    <w:uiPriority w:val="0"/>
    <w:rPr>
      <w:rFonts w:ascii="宋体"/>
      <w:szCs w:val="21"/>
    </w:rPr>
  </w:style>
  <w:style w:type="paragraph" w:customStyle="1" w:styleId="63">
    <w:name w:val="编号列项（三级）"/>
    <w:uiPriority w:val="0"/>
    <w:rPr>
      <w:rFonts w:ascii="宋体"/>
      <w:sz w:val="21"/>
      <w:lang w:val="en-US" w:eastAsia="zh-CN" w:bidi="ar-SA"/>
    </w:rPr>
  </w:style>
  <w:style w:type="paragraph" w:customStyle="1" w:styleId="64">
    <w:name w:val="示例×："/>
    <w:basedOn w:val="47"/>
    <w:qFormat/>
    <w:uiPriority w:val="0"/>
    <w:pPr>
      <w:numPr>
        <w:ilvl w:val="0"/>
        <w:numId w:val="6"/>
      </w:numPr>
      <w:spacing w:before="0" w:beforeLines="0" w:after="0" w:afterLines="0"/>
      <w:outlineLvl w:val="9"/>
    </w:pPr>
    <w:rPr>
      <w:rFonts w:ascii="宋体" w:eastAsia="宋体"/>
      <w:sz w:val="18"/>
      <w:szCs w:val="18"/>
    </w:rPr>
  </w:style>
  <w:style w:type="paragraph" w:customStyle="1" w:styleId="65">
    <w:name w:val="二级无"/>
    <w:basedOn w:val="48"/>
    <w:uiPriority w:val="0"/>
    <w:pPr>
      <w:spacing w:before="0" w:beforeLines="0" w:after="0" w:afterLines="0"/>
    </w:pPr>
    <w:rPr>
      <w:rFonts w:ascii="宋体" w:eastAsia="宋体"/>
    </w:rPr>
  </w:style>
  <w:style w:type="paragraph" w:customStyle="1" w:styleId="66">
    <w:name w:val="注：（正文）"/>
    <w:basedOn w:val="59"/>
    <w:next w:val="27"/>
    <w:uiPriority w:val="0"/>
  </w:style>
  <w:style w:type="paragraph" w:customStyle="1" w:styleId="67">
    <w:name w:val="注×：（正文）"/>
    <w:uiPriority w:val="0"/>
    <w:pPr>
      <w:numPr>
        <w:ilvl w:val="0"/>
        <w:numId w:val="7"/>
      </w:numPr>
      <w:jc w:val="both"/>
    </w:pPr>
    <w:rPr>
      <w:rFonts w:ascii="宋体"/>
      <w:sz w:val="18"/>
      <w:szCs w:val="18"/>
      <w:lang w:val="en-US" w:eastAsia="zh-CN" w:bidi="ar-SA"/>
    </w:rPr>
  </w:style>
  <w:style w:type="paragraph" w:customStyle="1" w:styleId="68">
    <w:name w:val="标准标志"/>
    <w:next w:val="1"/>
    <w:uiPriority w:val="0"/>
    <w:pPr>
      <w:framePr w:w="2546" w:h="1389" w:hRule="exact" w:hSpace="181" w:vSpace="181" w:wrap="around" w:vAnchor="margin" w:hAnchor="margin" w:x="6522" w:y="398" w:anchorLock="1"/>
      <w:shd w:val="solid" w:color="FFFFFF" w:fill="FFFFFF"/>
      <w:spacing w:line="0" w:lineRule="atLeast"/>
      <w:jc w:val="right"/>
    </w:pPr>
    <w:rPr>
      <w:b/>
      <w:w w:val="170"/>
      <w:sz w:val="96"/>
      <w:szCs w:val="96"/>
      <w:lang w:val="en-US" w:eastAsia="zh-CN" w:bidi="ar-SA"/>
    </w:rPr>
  </w:style>
  <w:style w:type="paragraph" w:customStyle="1" w:styleId="69">
    <w:name w:val="标准称谓"/>
    <w:next w:val="1"/>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lang w:val="en-US" w:eastAsia="zh-CN" w:bidi="ar-SA"/>
    </w:rPr>
  </w:style>
  <w:style w:type="paragraph" w:customStyle="1" w:styleId="70">
    <w:name w:val="标准书脚_偶数页"/>
    <w:uiPriority w:val="0"/>
    <w:pPr>
      <w:spacing w:before="120"/>
      <w:ind w:left="221"/>
    </w:pPr>
    <w:rPr>
      <w:rFonts w:ascii="宋体"/>
      <w:sz w:val="18"/>
      <w:szCs w:val="18"/>
      <w:lang w:val="en-US" w:eastAsia="zh-CN" w:bidi="ar-SA"/>
    </w:rPr>
  </w:style>
  <w:style w:type="paragraph" w:customStyle="1" w:styleId="71">
    <w:name w:val="标准书眉_偶数页"/>
    <w:basedOn w:val="46"/>
    <w:next w:val="1"/>
    <w:uiPriority w:val="0"/>
    <w:pPr>
      <w:jc w:val="left"/>
    </w:pPr>
    <w:rPr>
      <w:rFonts w:ascii="黑体" w:eastAsia="黑体"/>
    </w:rPr>
  </w:style>
  <w:style w:type="paragraph" w:customStyle="1" w:styleId="72">
    <w:name w:val="标准书眉一"/>
    <w:uiPriority w:val="0"/>
    <w:pPr>
      <w:jc w:val="both"/>
    </w:pPr>
    <w:rPr>
      <w:lang w:val="en-US" w:eastAsia="zh-CN" w:bidi="ar-SA"/>
    </w:rPr>
  </w:style>
  <w:style w:type="paragraph" w:customStyle="1" w:styleId="73">
    <w:name w:val="参考文献"/>
    <w:basedOn w:val="1"/>
    <w:next w:val="27"/>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4">
    <w:name w:val="参考文献、索引标题"/>
    <w:basedOn w:val="1"/>
    <w:next w:val="27"/>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75">
    <w:name w:val="发布"/>
    <w:uiPriority w:val="0"/>
    <w:rPr>
      <w:rFonts w:ascii="黑体" w:eastAsia="黑体"/>
      <w:spacing w:val="85"/>
      <w:w w:val="100"/>
      <w:position w:val="3"/>
      <w:sz w:val="28"/>
      <w:szCs w:val="28"/>
    </w:rPr>
  </w:style>
  <w:style w:type="paragraph" w:customStyle="1" w:styleId="76">
    <w:name w:val="发布部门"/>
    <w:next w:val="27"/>
    <w:uiPriority w:val="0"/>
    <w:pPr>
      <w:framePr w:w="7938" w:h="1134" w:hRule="exact" w:hSpace="125" w:vSpace="181" w:wrap="around" w:vAnchor="page" w:hAnchor="page" w:x="2150" w:y="14630" w:anchorLock="1"/>
      <w:jc w:val="center"/>
    </w:pPr>
    <w:rPr>
      <w:rFonts w:ascii="宋体"/>
      <w:b/>
      <w:spacing w:val="20"/>
      <w:w w:val="135"/>
      <w:sz w:val="28"/>
      <w:lang w:val="en-US" w:eastAsia="zh-CN" w:bidi="ar-SA"/>
    </w:rPr>
  </w:style>
  <w:style w:type="paragraph" w:customStyle="1" w:styleId="77">
    <w:name w:val="发布日期"/>
    <w:uiPriority w:val="0"/>
    <w:pPr>
      <w:framePr w:w="3997" w:h="471" w:hRule="exact" w:vSpace="181" w:wrap="around" w:vAnchor="margin" w:hAnchor="page" w:x="7089" w:y="14097" w:anchorLock="1"/>
    </w:pPr>
    <w:rPr>
      <w:rFonts w:eastAsia="黑体"/>
      <w:sz w:val="28"/>
      <w:lang w:val="en-US" w:eastAsia="zh-CN" w:bidi="ar-SA"/>
    </w:rPr>
  </w:style>
  <w:style w:type="paragraph" w:customStyle="1" w:styleId="78">
    <w:name w:val="封面标准代替信息"/>
    <w:uiPriority w:val="0"/>
    <w:pPr>
      <w:framePr w:w="9140" w:h="1242" w:hRule="exact" w:hSpace="284" w:wrap="around" w:vAnchor="page" w:hAnchor="page" w:x="1645" w:y="2910" w:anchorLock="1"/>
      <w:spacing w:before="57" w:line="280" w:lineRule="exact"/>
      <w:jc w:val="right"/>
    </w:pPr>
    <w:rPr>
      <w:rFonts w:ascii="宋体"/>
      <w:sz w:val="21"/>
      <w:szCs w:val="21"/>
      <w:lang w:val="en-US" w:eastAsia="zh-CN" w:bidi="ar-SA"/>
    </w:rPr>
  </w:style>
  <w:style w:type="paragraph" w:customStyle="1" w:styleId="79">
    <w:name w:val="封面标准号1"/>
    <w:uiPriority w:val="0"/>
    <w:pPr>
      <w:widowControl w:val="0"/>
      <w:kinsoku w:val="0"/>
      <w:overflowPunct w:val="0"/>
      <w:autoSpaceDE w:val="0"/>
      <w:autoSpaceDN w:val="0"/>
      <w:spacing w:before="308"/>
      <w:jc w:val="right"/>
      <w:textAlignment w:val="center"/>
    </w:pPr>
    <w:rPr>
      <w:sz w:val="28"/>
      <w:lang w:val="en-US" w:eastAsia="zh-CN" w:bidi="ar-SA"/>
    </w:rPr>
  </w:style>
  <w:style w:type="paragraph" w:customStyle="1" w:styleId="80">
    <w:name w:val="封面标准名称"/>
    <w:uiPriority w:val="0"/>
    <w:pPr>
      <w:framePr w:w="9639" w:h="6917" w:hRule="exact" w:wrap="around" w:vAnchor="page" w:hAnchor="page" w:xAlign="center" w:y="6408" w:anchorLock="1"/>
      <w:widowControl w:val="0"/>
      <w:spacing w:line="680" w:lineRule="exact"/>
      <w:jc w:val="center"/>
      <w:textAlignment w:val="center"/>
    </w:pPr>
    <w:rPr>
      <w:rFonts w:ascii="黑体" w:eastAsia="黑体"/>
      <w:sz w:val="52"/>
      <w:lang w:val="en-US" w:eastAsia="zh-CN" w:bidi="ar-SA"/>
    </w:rPr>
  </w:style>
  <w:style w:type="paragraph" w:customStyle="1" w:styleId="81">
    <w:name w:val="封面标准英文名称"/>
    <w:basedOn w:val="80"/>
    <w:uiPriority w:val="0"/>
    <w:pPr>
      <w:spacing w:before="370" w:line="400" w:lineRule="exact"/>
    </w:pPr>
    <w:rPr>
      <w:rFonts w:ascii="Times New Roman"/>
      <w:sz w:val="28"/>
      <w:szCs w:val="28"/>
    </w:rPr>
  </w:style>
  <w:style w:type="paragraph" w:customStyle="1" w:styleId="82">
    <w:name w:val="封面一致性程度标识"/>
    <w:basedOn w:val="81"/>
    <w:uiPriority w:val="0"/>
    <w:pPr>
      <w:spacing w:before="440"/>
    </w:pPr>
    <w:rPr>
      <w:rFonts w:ascii="宋体" w:eastAsia="宋体"/>
    </w:rPr>
  </w:style>
  <w:style w:type="paragraph" w:customStyle="1" w:styleId="83">
    <w:name w:val="封面标准文稿类别"/>
    <w:basedOn w:val="82"/>
    <w:uiPriority w:val="0"/>
    <w:pPr>
      <w:spacing w:after="160" w:line="240" w:lineRule="auto"/>
    </w:pPr>
    <w:rPr>
      <w:sz w:val="24"/>
    </w:rPr>
  </w:style>
  <w:style w:type="paragraph" w:customStyle="1" w:styleId="84">
    <w:name w:val="封面标准文稿编辑信息"/>
    <w:basedOn w:val="83"/>
    <w:uiPriority w:val="0"/>
    <w:pPr>
      <w:spacing w:before="180" w:line="180" w:lineRule="exact"/>
    </w:pPr>
    <w:rPr>
      <w:sz w:val="21"/>
    </w:rPr>
  </w:style>
  <w:style w:type="paragraph" w:customStyle="1" w:styleId="85">
    <w:name w:val="封面正文"/>
    <w:uiPriority w:val="0"/>
    <w:pPr>
      <w:jc w:val="both"/>
    </w:pPr>
    <w:rPr>
      <w:lang w:val="en-US" w:eastAsia="zh-CN" w:bidi="ar-SA"/>
    </w:rPr>
  </w:style>
  <w:style w:type="paragraph" w:customStyle="1" w:styleId="86">
    <w:name w:val="附录标识"/>
    <w:basedOn w:val="1"/>
    <w:next w:val="27"/>
    <w:uiPriority w:val="0"/>
    <w:pPr>
      <w:keepNext/>
      <w:widowControl/>
      <w:numPr>
        <w:ilvl w:val="0"/>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87">
    <w:name w:val="附录标题"/>
    <w:basedOn w:val="27"/>
    <w:next w:val="27"/>
    <w:uiPriority w:val="0"/>
    <w:pPr>
      <w:ind w:firstLine="0" w:firstLineChars="0"/>
      <w:jc w:val="center"/>
    </w:pPr>
    <w:rPr>
      <w:rFonts w:ascii="黑体" w:eastAsia="黑体"/>
    </w:rPr>
  </w:style>
  <w:style w:type="paragraph" w:customStyle="1" w:styleId="88">
    <w:name w:val="附录表标号"/>
    <w:basedOn w:val="1"/>
    <w:next w:val="27"/>
    <w:uiPriority w:val="0"/>
    <w:pPr>
      <w:numPr>
        <w:ilvl w:val="0"/>
        <w:numId w:val="9"/>
      </w:numPr>
      <w:tabs>
        <w:tab w:val="clear" w:pos="0"/>
      </w:tabs>
      <w:spacing w:line="14" w:lineRule="exact"/>
      <w:ind w:left="811" w:hanging="448"/>
      <w:jc w:val="center"/>
      <w:outlineLvl w:val="0"/>
    </w:pPr>
    <w:rPr>
      <w:color w:val="FFFFFF"/>
    </w:rPr>
  </w:style>
  <w:style w:type="paragraph" w:customStyle="1" w:styleId="89">
    <w:name w:val="附录表标题"/>
    <w:basedOn w:val="1"/>
    <w:next w:val="27"/>
    <w:uiPriority w:val="0"/>
    <w:pPr>
      <w:numPr>
        <w:ilvl w:val="1"/>
        <w:numId w:val="9"/>
      </w:numPr>
      <w:tabs>
        <w:tab w:val="left" w:pos="180"/>
      </w:tabs>
      <w:spacing w:before="50" w:beforeLines="50" w:after="50" w:afterLines="50"/>
      <w:ind w:left="0" w:firstLine="0"/>
      <w:jc w:val="center"/>
    </w:pPr>
    <w:rPr>
      <w:rFonts w:ascii="黑体" w:eastAsia="黑体"/>
      <w:szCs w:val="21"/>
    </w:rPr>
  </w:style>
  <w:style w:type="paragraph" w:customStyle="1" w:styleId="90">
    <w:name w:val="附录二级条标题"/>
    <w:basedOn w:val="1"/>
    <w:next w:val="27"/>
    <w:uiPriority w:val="0"/>
    <w:pPr>
      <w:widowControl/>
      <w:numPr>
        <w:ilvl w:val="3"/>
        <w:numId w:val="8"/>
      </w:numPr>
      <w:tabs>
        <w:tab w:val="left" w:pos="360"/>
      </w:tabs>
      <w:wordWrap w:val="0"/>
      <w:overflowPunct w:val="0"/>
      <w:autoSpaceDE w:val="0"/>
      <w:autoSpaceDN w:val="0"/>
      <w:spacing w:before="50" w:beforeLines="50" w:after="50" w:afterLines="50"/>
      <w:textAlignment w:val="baseline"/>
      <w:outlineLvl w:val="3"/>
    </w:pPr>
    <w:rPr>
      <w:rFonts w:ascii="黑体" w:eastAsia="黑体"/>
      <w:kern w:val="21"/>
      <w:szCs w:val="20"/>
    </w:rPr>
  </w:style>
  <w:style w:type="paragraph" w:customStyle="1" w:styleId="91">
    <w:name w:val="附录二级无"/>
    <w:basedOn w:val="90"/>
    <w:uiPriority w:val="0"/>
    <w:pPr>
      <w:tabs>
        <w:tab w:val="clear" w:pos="360"/>
      </w:tabs>
      <w:spacing w:before="0" w:beforeLines="0" w:after="0" w:afterLines="0"/>
    </w:pPr>
    <w:rPr>
      <w:rFonts w:ascii="宋体" w:eastAsia="宋体"/>
      <w:szCs w:val="21"/>
    </w:rPr>
  </w:style>
  <w:style w:type="paragraph" w:customStyle="1" w:styleId="92">
    <w:name w:val="附录公式"/>
    <w:basedOn w:val="27"/>
    <w:next w:val="27"/>
    <w:link w:val="93"/>
    <w:qFormat/>
    <w:uiPriority w:val="0"/>
  </w:style>
  <w:style w:type="character" w:customStyle="1" w:styleId="93">
    <w:name w:val="附录公式 Char"/>
    <w:basedOn w:val="43"/>
    <w:link w:val="92"/>
    <w:uiPriority w:val="0"/>
  </w:style>
  <w:style w:type="paragraph" w:customStyle="1" w:styleId="94">
    <w:name w:val="附录公式编号制表符"/>
    <w:basedOn w:val="1"/>
    <w:next w:val="27"/>
    <w:qFormat/>
    <w:uiPriority w:val="0"/>
    <w:pPr>
      <w:widowControl/>
      <w:tabs>
        <w:tab w:val="center" w:pos="4201"/>
        <w:tab w:val="right" w:leader="dot" w:pos="9298"/>
      </w:tabs>
      <w:autoSpaceDE w:val="0"/>
      <w:autoSpaceDN w:val="0"/>
    </w:pPr>
    <w:rPr>
      <w:rFonts w:ascii="宋体"/>
      <w:kern w:val="0"/>
      <w:szCs w:val="20"/>
      <w:lang/>
    </w:rPr>
  </w:style>
  <w:style w:type="paragraph" w:customStyle="1" w:styleId="95">
    <w:name w:val="附录三级条标题"/>
    <w:basedOn w:val="90"/>
    <w:next w:val="27"/>
    <w:uiPriority w:val="0"/>
    <w:pPr>
      <w:numPr>
        <w:ilvl w:val="4"/>
        <w:numId w:val="8"/>
      </w:numPr>
      <w:outlineLvl w:val="4"/>
    </w:pPr>
  </w:style>
  <w:style w:type="paragraph" w:customStyle="1" w:styleId="96">
    <w:name w:val="附录三级无"/>
    <w:basedOn w:val="95"/>
    <w:uiPriority w:val="0"/>
    <w:pPr>
      <w:tabs>
        <w:tab w:val="clear" w:pos="360"/>
      </w:tabs>
      <w:spacing w:before="0" w:beforeLines="0" w:after="0" w:afterLines="0"/>
    </w:pPr>
    <w:rPr>
      <w:rFonts w:ascii="宋体" w:eastAsia="宋体"/>
      <w:szCs w:val="21"/>
    </w:rPr>
  </w:style>
  <w:style w:type="paragraph" w:customStyle="1" w:styleId="97">
    <w:name w:val="附录数字编号列项（二级）"/>
    <w:qFormat/>
    <w:uiPriority w:val="0"/>
    <w:pPr>
      <w:numPr>
        <w:ilvl w:val="1"/>
        <w:numId w:val="10"/>
      </w:numPr>
    </w:pPr>
    <w:rPr>
      <w:rFonts w:ascii="宋体"/>
      <w:sz w:val="21"/>
      <w:lang w:val="en-US" w:eastAsia="zh-CN" w:bidi="ar-SA"/>
    </w:rPr>
  </w:style>
  <w:style w:type="paragraph" w:customStyle="1" w:styleId="98">
    <w:name w:val="附录四级条标题"/>
    <w:basedOn w:val="95"/>
    <w:next w:val="27"/>
    <w:uiPriority w:val="0"/>
    <w:pPr>
      <w:numPr>
        <w:ilvl w:val="5"/>
        <w:numId w:val="8"/>
      </w:numPr>
      <w:outlineLvl w:val="5"/>
    </w:pPr>
  </w:style>
  <w:style w:type="paragraph" w:customStyle="1" w:styleId="99">
    <w:name w:val="附录四级无"/>
    <w:basedOn w:val="98"/>
    <w:uiPriority w:val="0"/>
    <w:pPr>
      <w:tabs>
        <w:tab w:val="clear" w:pos="360"/>
      </w:tabs>
      <w:spacing w:before="0" w:beforeLines="0" w:after="0" w:afterLines="0"/>
    </w:pPr>
    <w:rPr>
      <w:rFonts w:ascii="宋体" w:eastAsia="宋体"/>
      <w:szCs w:val="21"/>
    </w:rPr>
  </w:style>
  <w:style w:type="paragraph" w:customStyle="1" w:styleId="100">
    <w:name w:val="附录图标号"/>
    <w:basedOn w:val="1"/>
    <w:uiPriority w:val="0"/>
    <w:pPr>
      <w:keepNext/>
      <w:pageBreakBefore/>
      <w:widowControl/>
      <w:numPr>
        <w:ilvl w:val="0"/>
        <w:numId w:val="11"/>
      </w:numPr>
      <w:spacing w:line="14" w:lineRule="exact"/>
      <w:ind w:left="0" w:firstLine="363"/>
      <w:jc w:val="center"/>
      <w:outlineLvl w:val="0"/>
    </w:pPr>
    <w:rPr>
      <w:color w:val="FFFFFF"/>
    </w:rPr>
  </w:style>
  <w:style w:type="paragraph" w:customStyle="1" w:styleId="101">
    <w:name w:val="附录图标题"/>
    <w:basedOn w:val="1"/>
    <w:next w:val="27"/>
    <w:uiPriority w:val="0"/>
    <w:pPr>
      <w:numPr>
        <w:ilvl w:val="1"/>
        <w:numId w:val="11"/>
      </w:numPr>
      <w:tabs>
        <w:tab w:val="left" w:pos="363"/>
      </w:tabs>
      <w:spacing w:before="50" w:beforeLines="50" w:after="50" w:afterLines="50"/>
      <w:ind w:left="0" w:firstLine="0"/>
      <w:jc w:val="center"/>
    </w:pPr>
    <w:rPr>
      <w:rFonts w:ascii="黑体" w:eastAsia="黑体"/>
      <w:szCs w:val="21"/>
    </w:rPr>
  </w:style>
  <w:style w:type="paragraph" w:customStyle="1" w:styleId="102">
    <w:name w:val="附录五级条标题"/>
    <w:basedOn w:val="98"/>
    <w:next w:val="27"/>
    <w:uiPriority w:val="0"/>
    <w:pPr>
      <w:numPr>
        <w:ilvl w:val="6"/>
        <w:numId w:val="8"/>
      </w:numPr>
      <w:outlineLvl w:val="6"/>
    </w:pPr>
  </w:style>
  <w:style w:type="paragraph" w:customStyle="1" w:styleId="103">
    <w:name w:val="附录五级无"/>
    <w:basedOn w:val="102"/>
    <w:uiPriority w:val="0"/>
    <w:pPr>
      <w:tabs>
        <w:tab w:val="clear" w:pos="360"/>
      </w:tabs>
      <w:spacing w:before="0" w:beforeLines="0" w:after="0" w:afterLines="0"/>
    </w:pPr>
    <w:rPr>
      <w:rFonts w:ascii="宋体" w:eastAsia="宋体"/>
      <w:szCs w:val="21"/>
    </w:rPr>
  </w:style>
  <w:style w:type="paragraph" w:customStyle="1" w:styleId="104">
    <w:name w:val="附录章标题"/>
    <w:next w:val="27"/>
    <w:uiPriority w:val="0"/>
    <w:pPr>
      <w:numPr>
        <w:ilvl w:val="1"/>
        <w:numId w:val="8"/>
      </w:numPr>
      <w:tabs>
        <w:tab w:val="left" w:pos="360"/>
      </w:tabs>
      <w:wordWrap w:val="0"/>
      <w:overflowPunct w:val="0"/>
      <w:autoSpaceDE w:val="0"/>
      <w:spacing w:before="100" w:beforeLines="100" w:after="100" w:afterLines="100"/>
      <w:jc w:val="both"/>
      <w:textAlignment w:val="baseline"/>
      <w:outlineLvl w:val="1"/>
    </w:pPr>
    <w:rPr>
      <w:rFonts w:ascii="黑体" w:eastAsia="黑体"/>
      <w:kern w:val="21"/>
      <w:sz w:val="21"/>
      <w:lang w:val="en-US" w:eastAsia="zh-CN" w:bidi="ar-SA"/>
    </w:rPr>
  </w:style>
  <w:style w:type="paragraph" w:customStyle="1" w:styleId="105">
    <w:name w:val="附录一级条标题"/>
    <w:basedOn w:val="104"/>
    <w:next w:val="27"/>
    <w:uiPriority w:val="0"/>
    <w:pPr>
      <w:numPr>
        <w:ilvl w:val="2"/>
        <w:numId w:val="8"/>
      </w:numPr>
      <w:autoSpaceDN w:val="0"/>
      <w:spacing w:before="50" w:beforeLines="50" w:after="50" w:afterLines="50"/>
      <w:outlineLvl w:val="2"/>
    </w:pPr>
  </w:style>
  <w:style w:type="paragraph" w:customStyle="1" w:styleId="106">
    <w:name w:val="附录一级无"/>
    <w:basedOn w:val="105"/>
    <w:uiPriority w:val="0"/>
    <w:pPr>
      <w:tabs>
        <w:tab w:val="clear" w:pos="360"/>
      </w:tabs>
      <w:spacing w:before="0" w:beforeLines="0" w:after="0" w:afterLines="0"/>
    </w:pPr>
    <w:rPr>
      <w:rFonts w:ascii="宋体" w:eastAsia="宋体"/>
      <w:szCs w:val="21"/>
    </w:rPr>
  </w:style>
  <w:style w:type="paragraph" w:customStyle="1" w:styleId="107">
    <w:name w:val="附录字母编号列项（一级）"/>
    <w:qFormat/>
    <w:uiPriority w:val="0"/>
    <w:pPr>
      <w:numPr>
        <w:ilvl w:val="0"/>
        <w:numId w:val="10"/>
      </w:numPr>
    </w:pPr>
    <w:rPr>
      <w:rFonts w:ascii="宋体"/>
      <w:sz w:val="21"/>
      <w:lang w:val="en-US" w:eastAsia="zh-CN" w:bidi="ar-SA"/>
    </w:rPr>
  </w:style>
  <w:style w:type="paragraph" w:customStyle="1" w:styleId="108">
    <w:name w:val="列项说明"/>
    <w:basedOn w:val="1"/>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109">
    <w:name w:val="列项说明数字编号"/>
    <w:uiPriority w:val="0"/>
    <w:pPr>
      <w:ind w:left="600" w:leftChars="400" w:hanging="200" w:hangingChars="200"/>
    </w:pPr>
    <w:rPr>
      <w:rFonts w:ascii="宋体"/>
      <w:sz w:val="21"/>
      <w:lang w:val="en-US" w:eastAsia="zh-CN" w:bidi="ar-SA"/>
    </w:rPr>
  </w:style>
  <w:style w:type="paragraph" w:customStyle="1" w:styleId="110">
    <w:name w:val="目次、索引正文"/>
    <w:uiPriority w:val="0"/>
    <w:pPr>
      <w:spacing w:line="320" w:lineRule="exact"/>
      <w:jc w:val="both"/>
    </w:pPr>
    <w:rPr>
      <w:rFonts w:ascii="宋体"/>
      <w:sz w:val="21"/>
      <w:lang w:val="en-US" w:eastAsia="zh-CN" w:bidi="ar-SA"/>
    </w:rPr>
  </w:style>
  <w:style w:type="paragraph" w:customStyle="1" w:styleId="111">
    <w:name w:val="其他标准标志"/>
    <w:basedOn w:val="68"/>
    <w:uiPriority w:val="0"/>
    <w:pPr>
      <w:framePr w:w="6101" w:vAnchor="page" w:hAnchor="page" w:x="4673" w:y="942"/>
    </w:pPr>
    <w:rPr>
      <w:w w:val="130"/>
    </w:rPr>
  </w:style>
  <w:style w:type="paragraph" w:customStyle="1" w:styleId="112">
    <w:name w:val="其他标准称谓"/>
    <w:next w:val="1"/>
    <w:uiPriority w:val="0"/>
    <w:pPr>
      <w:framePr w:hSpace="181" w:vSpace="181" w:wrap="around" w:vAnchor="page" w:hAnchor="page" w:x="1419" w:y="2286" w:anchorLock="1"/>
      <w:spacing w:line="0" w:lineRule="atLeast"/>
      <w:jc w:val="distribute"/>
    </w:pPr>
    <w:rPr>
      <w:rFonts w:ascii="黑体" w:hAnsi="宋体" w:eastAsia="黑体"/>
      <w:spacing w:val="-40"/>
      <w:sz w:val="48"/>
      <w:szCs w:val="52"/>
      <w:lang w:val="en-US" w:eastAsia="zh-CN" w:bidi="ar-SA"/>
    </w:rPr>
  </w:style>
  <w:style w:type="paragraph" w:customStyle="1" w:styleId="113">
    <w:name w:val="其他发布部门"/>
    <w:basedOn w:val="76"/>
    <w:uiPriority w:val="0"/>
    <w:pPr>
      <w:framePr w:y="15310"/>
      <w:spacing w:line="0" w:lineRule="atLeast"/>
    </w:pPr>
    <w:rPr>
      <w:rFonts w:ascii="黑体" w:eastAsia="黑体"/>
      <w:b w:val="0"/>
    </w:rPr>
  </w:style>
  <w:style w:type="paragraph" w:customStyle="1" w:styleId="114">
    <w:name w:val="前言、引言标题"/>
    <w:next w:val="27"/>
    <w:uiPriority w:val="0"/>
    <w:pPr>
      <w:keepNext/>
      <w:pageBreakBefore/>
      <w:shd w:val="clear" w:color="FFFFFF" w:fill="FFFFFF"/>
      <w:spacing w:before="640" w:after="560"/>
      <w:jc w:val="center"/>
      <w:outlineLvl w:val="0"/>
    </w:pPr>
    <w:rPr>
      <w:rFonts w:ascii="黑体" w:eastAsia="黑体"/>
      <w:sz w:val="32"/>
      <w:lang w:val="en-US" w:eastAsia="zh-CN" w:bidi="ar-SA"/>
    </w:rPr>
  </w:style>
  <w:style w:type="paragraph" w:customStyle="1" w:styleId="115">
    <w:name w:val="三级无"/>
    <w:basedOn w:val="53"/>
    <w:uiPriority w:val="0"/>
    <w:pPr>
      <w:spacing w:before="0" w:beforeLines="0" w:after="0" w:afterLines="0"/>
    </w:pPr>
    <w:rPr>
      <w:rFonts w:ascii="宋体" w:eastAsia="宋体"/>
    </w:rPr>
  </w:style>
  <w:style w:type="paragraph" w:customStyle="1" w:styleId="116">
    <w:name w:val="实施日期"/>
    <w:basedOn w:val="77"/>
    <w:uiPriority w:val="0"/>
    <w:pPr>
      <w:framePr w:vAnchor="page" w:hAnchor="page"/>
      <w:jc w:val="right"/>
    </w:pPr>
  </w:style>
  <w:style w:type="paragraph" w:customStyle="1" w:styleId="117">
    <w:name w:val="示例后文字"/>
    <w:basedOn w:val="27"/>
    <w:next w:val="27"/>
    <w:qFormat/>
    <w:uiPriority w:val="0"/>
    <w:pPr>
      <w:ind w:firstLine="360"/>
    </w:pPr>
    <w:rPr>
      <w:sz w:val="18"/>
    </w:rPr>
  </w:style>
  <w:style w:type="paragraph" w:customStyle="1" w:styleId="118">
    <w:name w:val="首示例"/>
    <w:next w:val="27"/>
    <w:link w:val="119"/>
    <w:qFormat/>
    <w:uiPriority w:val="0"/>
    <w:pPr>
      <w:numPr>
        <w:ilvl w:val="0"/>
        <w:numId w:val="12"/>
      </w:numPr>
      <w:tabs>
        <w:tab w:val="left" w:pos="360"/>
      </w:tabs>
      <w:ind w:firstLine="0"/>
    </w:pPr>
    <w:rPr>
      <w:rFonts w:ascii="宋体" w:hAnsi="宋体"/>
      <w:kern w:val="2"/>
      <w:sz w:val="18"/>
      <w:szCs w:val="18"/>
      <w:lang w:val="en-US" w:eastAsia="zh-CN" w:bidi="ar-SA"/>
    </w:rPr>
  </w:style>
  <w:style w:type="character" w:customStyle="1" w:styleId="119">
    <w:name w:val="首示例 Char"/>
    <w:link w:val="118"/>
    <w:uiPriority w:val="0"/>
    <w:rPr>
      <w:rFonts w:ascii="宋体" w:hAnsi="宋体"/>
      <w:kern w:val="2"/>
      <w:sz w:val="18"/>
      <w:szCs w:val="18"/>
    </w:rPr>
  </w:style>
  <w:style w:type="paragraph" w:customStyle="1" w:styleId="120">
    <w:name w:val="四级无"/>
    <w:basedOn w:val="57"/>
    <w:uiPriority w:val="0"/>
    <w:pPr>
      <w:spacing w:before="0" w:beforeLines="0" w:after="0" w:afterLines="0"/>
    </w:pPr>
    <w:rPr>
      <w:rFonts w:ascii="宋体" w:eastAsia="宋体"/>
    </w:rPr>
  </w:style>
  <w:style w:type="paragraph" w:customStyle="1" w:styleId="121">
    <w:name w:val="条文脚注"/>
    <w:basedOn w:val="28"/>
    <w:uiPriority w:val="0"/>
    <w:pPr>
      <w:numPr>
        <w:ilvl w:val="0"/>
        <w:numId w:val="0"/>
      </w:numPr>
      <w:tabs>
        <w:tab w:val="clear" w:pos="0"/>
      </w:tabs>
      <w:jc w:val="both"/>
    </w:pPr>
    <w:rPr>
      <w:rFonts w:ascii="宋体"/>
    </w:rPr>
  </w:style>
  <w:style w:type="paragraph" w:customStyle="1" w:styleId="122">
    <w:name w:val="图标脚注说明"/>
    <w:basedOn w:val="27"/>
    <w:uiPriority w:val="0"/>
    <w:pPr>
      <w:ind w:left="840" w:hanging="420" w:firstLineChars="0"/>
    </w:pPr>
    <w:rPr>
      <w:sz w:val="18"/>
      <w:szCs w:val="18"/>
    </w:rPr>
  </w:style>
  <w:style w:type="paragraph" w:customStyle="1" w:styleId="123">
    <w:name w:val="图表脚注说明"/>
    <w:basedOn w:val="1"/>
    <w:uiPriority w:val="0"/>
    <w:pPr>
      <w:numPr>
        <w:ilvl w:val="0"/>
        <w:numId w:val="13"/>
      </w:numPr>
    </w:pPr>
    <w:rPr>
      <w:rFonts w:ascii="宋体"/>
      <w:sz w:val="18"/>
      <w:szCs w:val="18"/>
    </w:rPr>
  </w:style>
  <w:style w:type="paragraph" w:customStyle="1" w:styleId="124">
    <w:name w:val="图的脚注"/>
    <w:next w:val="27"/>
    <w:qFormat/>
    <w:uiPriority w:val="0"/>
    <w:pPr>
      <w:widowControl w:val="0"/>
      <w:ind w:left="840" w:leftChars="200" w:hanging="420" w:hangingChars="200"/>
      <w:jc w:val="both"/>
    </w:pPr>
    <w:rPr>
      <w:rFonts w:ascii="宋体"/>
      <w:sz w:val="18"/>
      <w:lang w:val="en-US" w:eastAsia="zh-CN" w:bidi="ar-SA"/>
    </w:rPr>
  </w:style>
  <w:style w:type="paragraph" w:customStyle="1" w:styleId="125">
    <w:name w:val="文献分类号"/>
    <w:uiPriority w:val="0"/>
    <w:pPr>
      <w:framePr w:hSpace="180" w:vSpace="180" w:wrap="around" w:vAnchor="margin" w:hAnchor="margin" w:y="1" w:anchorLock="1"/>
      <w:widowControl w:val="0"/>
      <w:textAlignment w:val="center"/>
    </w:pPr>
    <w:rPr>
      <w:rFonts w:ascii="黑体" w:eastAsia="黑体"/>
      <w:sz w:val="21"/>
      <w:szCs w:val="21"/>
      <w:lang w:val="en-US" w:eastAsia="zh-CN" w:bidi="ar-SA"/>
    </w:rPr>
  </w:style>
  <w:style w:type="paragraph" w:customStyle="1" w:styleId="126">
    <w:name w:val="五级无"/>
    <w:basedOn w:val="58"/>
    <w:uiPriority w:val="0"/>
    <w:pPr>
      <w:spacing w:before="0" w:beforeLines="0" w:after="0" w:afterLines="0"/>
    </w:pPr>
    <w:rPr>
      <w:rFonts w:ascii="宋体" w:eastAsia="宋体"/>
    </w:rPr>
  </w:style>
  <w:style w:type="paragraph" w:customStyle="1" w:styleId="127">
    <w:name w:val="一级无"/>
    <w:basedOn w:val="44"/>
    <w:uiPriority w:val="0"/>
    <w:pPr>
      <w:spacing w:before="0" w:beforeLines="0" w:after="0" w:afterLines="0"/>
    </w:pPr>
    <w:rPr>
      <w:rFonts w:ascii="宋体" w:eastAsia="宋体"/>
    </w:rPr>
  </w:style>
  <w:style w:type="paragraph" w:customStyle="1" w:styleId="128">
    <w:name w:val="正文表标题"/>
    <w:next w:val="27"/>
    <w:uiPriority w:val="0"/>
    <w:pPr>
      <w:numPr>
        <w:ilvl w:val="0"/>
        <w:numId w:val="14"/>
      </w:numPr>
      <w:tabs>
        <w:tab w:val="left" w:pos="360"/>
      </w:tabs>
      <w:spacing w:before="156" w:beforeLines="50" w:after="156" w:afterLines="50"/>
      <w:jc w:val="center"/>
    </w:pPr>
    <w:rPr>
      <w:rFonts w:ascii="黑体" w:eastAsia="黑体"/>
      <w:sz w:val="21"/>
      <w:lang w:val="en-US" w:eastAsia="zh-CN" w:bidi="ar-SA"/>
    </w:rPr>
  </w:style>
  <w:style w:type="paragraph" w:customStyle="1" w:styleId="129">
    <w:name w:val="正文公式编号制表符"/>
    <w:basedOn w:val="27"/>
    <w:next w:val="27"/>
    <w:qFormat/>
    <w:uiPriority w:val="0"/>
    <w:pPr>
      <w:ind w:firstLine="0" w:firstLineChars="0"/>
    </w:pPr>
  </w:style>
  <w:style w:type="paragraph" w:customStyle="1" w:styleId="130">
    <w:name w:val="正文图标题"/>
    <w:next w:val="27"/>
    <w:uiPriority w:val="0"/>
    <w:pPr>
      <w:numPr>
        <w:ilvl w:val="0"/>
        <w:numId w:val="15"/>
      </w:numPr>
      <w:tabs>
        <w:tab w:val="left" w:pos="360"/>
      </w:tabs>
      <w:spacing w:before="156" w:beforeLines="50" w:after="156" w:afterLines="50"/>
      <w:jc w:val="center"/>
    </w:pPr>
    <w:rPr>
      <w:rFonts w:ascii="黑体" w:eastAsia="黑体"/>
      <w:sz w:val="21"/>
      <w:lang w:val="en-US" w:eastAsia="zh-CN" w:bidi="ar-SA"/>
    </w:rPr>
  </w:style>
  <w:style w:type="paragraph" w:customStyle="1" w:styleId="131">
    <w:name w:val="终结线"/>
    <w:basedOn w:val="1"/>
    <w:uiPriority w:val="0"/>
    <w:pPr>
      <w:framePr w:hSpace="181" w:vSpace="181" w:wrap="around" w:vAnchor="text" w:hAnchor="margin" w:xAlign="center" w:y="285"/>
    </w:pPr>
  </w:style>
  <w:style w:type="paragraph" w:customStyle="1" w:styleId="132">
    <w:name w:val="其他发布日期"/>
    <w:basedOn w:val="77"/>
    <w:uiPriority w:val="0"/>
    <w:pPr>
      <w:framePr w:vAnchor="page" w:hAnchor="page" w:x="1419"/>
    </w:pPr>
  </w:style>
  <w:style w:type="paragraph" w:customStyle="1" w:styleId="133">
    <w:name w:val="其他实施日期"/>
    <w:basedOn w:val="116"/>
    <w:uiPriority w:val="0"/>
    <w:pPr>
      <w:framePr/>
    </w:pPr>
  </w:style>
  <w:style w:type="paragraph" w:customStyle="1" w:styleId="134">
    <w:name w:val="封面标准名称2"/>
    <w:basedOn w:val="80"/>
    <w:uiPriority w:val="0"/>
    <w:pPr>
      <w:framePr w:y="4469"/>
      <w:spacing w:before="630" w:beforeLines="630"/>
    </w:pPr>
  </w:style>
  <w:style w:type="paragraph" w:customStyle="1" w:styleId="135">
    <w:name w:val="封面标准英文名称2"/>
    <w:basedOn w:val="81"/>
    <w:uiPriority w:val="0"/>
    <w:pPr>
      <w:framePr w:y="4469"/>
    </w:pPr>
  </w:style>
  <w:style w:type="paragraph" w:customStyle="1" w:styleId="136">
    <w:name w:val="封面一致性程度标识2"/>
    <w:basedOn w:val="82"/>
    <w:uiPriority w:val="0"/>
    <w:pPr>
      <w:framePr w:y="4469"/>
    </w:pPr>
  </w:style>
  <w:style w:type="paragraph" w:customStyle="1" w:styleId="137">
    <w:name w:val="封面标准文稿类别2"/>
    <w:basedOn w:val="83"/>
    <w:uiPriority w:val="0"/>
    <w:pPr>
      <w:framePr w:y="4469"/>
    </w:pPr>
  </w:style>
  <w:style w:type="paragraph" w:customStyle="1" w:styleId="138">
    <w:name w:val="封面标准文稿编辑信息2"/>
    <w:basedOn w:val="84"/>
    <w:uiPriority w:val="0"/>
    <w:pPr>
      <w:framePr w:y="4469"/>
    </w:pPr>
  </w:style>
  <w:style w:type="character" w:customStyle="1" w:styleId="139">
    <w:name w:val="标题 2 Char"/>
    <w:link w:val="2"/>
    <w:uiPriority w:val="9"/>
    <w:rPr>
      <w:rFonts w:ascii="宋体"/>
      <w:b/>
      <w:color w:val="000000"/>
      <w:sz w:val="24"/>
      <w:szCs w:val="24"/>
    </w:rPr>
  </w:style>
  <w:style w:type="paragraph" w:customStyle="1" w:styleId="140">
    <w:name w:val="List Paragraph"/>
    <w:basedOn w:val="1"/>
    <w:qFormat/>
    <w:uiPriority w:val="34"/>
    <w:pPr>
      <w:ind w:firstLine="420" w:firstLineChars="200"/>
    </w:pPr>
  </w:style>
  <w:style w:type="character" w:customStyle="1" w:styleId="141">
    <w:name w:val="正文文本 Char"/>
    <w:link w:val="11"/>
    <w:uiPriority w:val="0"/>
    <w:rPr>
      <w:rFonts w:eastAsia="宋体"/>
      <w:sz w:val="24"/>
      <w:lang w:val="en-GB" w:eastAsia="zh-CN" w:bidi="ar-SA"/>
    </w:rPr>
  </w:style>
  <w:style w:type="paragraph" w:customStyle="1" w:styleId="142">
    <w:name w:val="Char"/>
    <w:basedOn w:val="1"/>
    <w:uiPriority w:val="0"/>
  </w:style>
  <w:style w:type="character" w:customStyle="1" w:styleId="143">
    <w:name w:val="正文文本缩进 Char"/>
    <w:link w:val="12"/>
    <w:uiPriority w:val="0"/>
    <w:rPr>
      <w:kern w:val="2"/>
      <w:sz w:val="21"/>
      <w:szCs w:val="24"/>
    </w:rPr>
  </w:style>
  <w:style w:type="character" w:customStyle="1" w:styleId="144">
    <w:name w:val="正文文本缩进 2 Char"/>
    <w:link w:val="18"/>
    <w:uiPriority w:val="0"/>
    <w:rPr>
      <w:kern w:val="2"/>
      <w:sz w:val="21"/>
      <w:szCs w:val="24"/>
    </w:rPr>
  </w:style>
  <w:style w:type="character" w:customStyle="1" w:styleId="145">
    <w:name w:val="批注框文本 Char"/>
    <w:link w:val="20"/>
    <w:uiPriority w:val="0"/>
    <w:rPr>
      <w:kern w:val="2"/>
      <w:sz w:val="18"/>
      <w:szCs w:val="18"/>
    </w:rPr>
  </w:style>
  <w:style w:type="paragraph" w:customStyle="1" w:styleId="146">
    <w:name w:val="标准文件_段"/>
    <w:link w:val="147"/>
    <w:uiPriority w:val="0"/>
    <w:pPr>
      <w:autoSpaceDE w:val="0"/>
      <w:autoSpaceDN w:val="0"/>
      <w:ind w:firstLine="200" w:firstLineChars="200"/>
      <w:jc w:val="both"/>
    </w:pPr>
    <w:rPr>
      <w:rFonts w:ascii="宋体"/>
      <w:sz w:val="21"/>
      <w:lang w:val="en-US" w:eastAsia="zh-CN" w:bidi="ar-SA"/>
    </w:rPr>
  </w:style>
  <w:style w:type="character" w:customStyle="1" w:styleId="147">
    <w:name w:val="标准文件_段 Char"/>
    <w:link w:val="146"/>
    <w:uiPriority w:val="0"/>
    <w:rPr>
      <w:rFonts w:ascii="宋体"/>
      <w:sz w:val="21"/>
      <w:lang/>
    </w:rPr>
  </w:style>
  <w:style w:type="paragraph" w:customStyle="1" w:styleId="148">
    <w:name w:val="标准文件_数字编号列项（二级）"/>
    <w:uiPriority w:val="0"/>
    <w:pPr>
      <w:tabs>
        <w:tab w:val="left" w:pos="1691"/>
      </w:tabs>
      <w:ind w:left="1691" w:hanging="425"/>
      <w:jc w:val="both"/>
    </w:pPr>
    <w:rPr>
      <w:rFonts w:ascii="宋体"/>
      <w:sz w:val="21"/>
      <w:lang w:val="en-US" w:eastAsia="zh-CN" w:bidi="ar-SA"/>
    </w:rPr>
  </w:style>
  <w:style w:type="paragraph" w:customStyle="1" w:styleId="149">
    <w:name w:val="标准文件_编号列项（三级）"/>
    <w:uiPriority w:val="0"/>
    <w:pPr>
      <w:ind w:left="2116" w:hanging="425"/>
    </w:pPr>
    <w:rPr>
      <w:rFonts w:ascii="宋体"/>
      <w:sz w:val="21"/>
      <w:lang w:val="en-US" w:eastAsia="zh-CN" w:bidi="ar-SA"/>
    </w:rPr>
  </w:style>
  <w:style w:type="paragraph" w:customStyle="1" w:styleId="150">
    <w:name w:val="标准文件_字母编号列项（一级）"/>
    <w:uiPriority w:val="0"/>
    <w:pPr>
      <w:tabs>
        <w:tab w:val="left" w:pos="1266"/>
      </w:tabs>
      <w:ind w:left="1266" w:hanging="426"/>
      <w:jc w:val="both"/>
    </w:pPr>
    <w:rPr>
      <w:rFonts w:ascii="宋体"/>
      <w:sz w:val="21"/>
      <w:lang w:val="en-US" w:eastAsia="zh-CN" w:bidi="ar-SA"/>
    </w:rPr>
  </w:style>
  <w:style w:type="paragraph" w:customStyle="1" w:styleId="151">
    <w:name w:val="标准文件_二级条标题"/>
    <w:next w:val="146"/>
    <w:uiPriority w:val="0"/>
    <w:pPr>
      <w:widowControl w:val="0"/>
      <w:numPr>
        <w:ilvl w:val="3"/>
        <w:numId w:val="16"/>
      </w:numPr>
      <w:spacing w:before="50" w:beforeLines="50" w:after="50" w:afterLines="50"/>
      <w:ind w:left="4112"/>
      <w:jc w:val="both"/>
      <w:outlineLvl w:val="2"/>
    </w:pPr>
    <w:rPr>
      <w:rFonts w:ascii="黑体" w:eastAsia="黑体"/>
      <w:sz w:val="21"/>
      <w:lang w:val="en-US" w:eastAsia="zh-CN" w:bidi="ar-SA"/>
    </w:rPr>
  </w:style>
  <w:style w:type="paragraph" w:customStyle="1" w:styleId="152">
    <w:name w:val="标准文件_三级条标题"/>
    <w:basedOn w:val="151"/>
    <w:next w:val="146"/>
    <w:uiPriority w:val="0"/>
    <w:pPr>
      <w:widowControl/>
      <w:numPr>
        <w:ilvl w:val="4"/>
        <w:numId w:val="16"/>
      </w:numPr>
      <w:outlineLvl w:val="3"/>
    </w:pPr>
  </w:style>
  <w:style w:type="paragraph" w:customStyle="1" w:styleId="153">
    <w:name w:val="标准文件_四级条标题"/>
    <w:next w:val="146"/>
    <w:uiPriority w:val="0"/>
    <w:pPr>
      <w:widowControl w:val="0"/>
      <w:numPr>
        <w:ilvl w:val="5"/>
        <w:numId w:val="16"/>
      </w:numPr>
      <w:spacing w:before="50" w:beforeLines="50" w:after="50" w:afterLines="50"/>
      <w:jc w:val="both"/>
      <w:outlineLvl w:val="4"/>
    </w:pPr>
    <w:rPr>
      <w:rFonts w:ascii="黑体" w:eastAsia="黑体"/>
      <w:sz w:val="21"/>
      <w:lang w:val="en-US" w:eastAsia="zh-CN" w:bidi="ar-SA"/>
    </w:rPr>
  </w:style>
  <w:style w:type="paragraph" w:customStyle="1" w:styleId="154">
    <w:name w:val="标准文件_五级条标题"/>
    <w:next w:val="146"/>
    <w:uiPriority w:val="0"/>
    <w:pPr>
      <w:widowControl w:val="0"/>
      <w:numPr>
        <w:ilvl w:val="6"/>
        <w:numId w:val="16"/>
      </w:numPr>
      <w:spacing w:before="50" w:beforeLines="50" w:after="50" w:afterLines="50"/>
      <w:jc w:val="both"/>
      <w:outlineLvl w:val="5"/>
    </w:pPr>
    <w:rPr>
      <w:rFonts w:ascii="黑体" w:eastAsia="黑体"/>
      <w:sz w:val="21"/>
      <w:lang w:val="en-US" w:eastAsia="zh-CN" w:bidi="ar-SA"/>
    </w:rPr>
  </w:style>
  <w:style w:type="paragraph" w:customStyle="1" w:styleId="155">
    <w:name w:val="标准文件_章标题"/>
    <w:next w:val="146"/>
    <w:uiPriority w:val="0"/>
    <w:pPr>
      <w:numPr>
        <w:ilvl w:val="1"/>
        <w:numId w:val="16"/>
      </w:numPr>
      <w:spacing w:before="100" w:beforeLines="100" w:after="100" w:afterLines="100"/>
      <w:jc w:val="both"/>
      <w:outlineLvl w:val="0"/>
    </w:pPr>
    <w:rPr>
      <w:rFonts w:ascii="黑体" w:eastAsia="黑体"/>
      <w:sz w:val="21"/>
      <w:lang w:val="en-US" w:eastAsia="zh-CN" w:bidi="ar-SA"/>
    </w:rPr>
  </w:style>
  <w:style w:type="paragraph" w:customStyle="1" w:styleId="156">
    <w:name w:val="标准文件_一级条标题"/>
    <w:basedOn w:val="155"/>
    <w:next w:val="146"/>
    <w:uiPriority w:val="0"/>
    <w:pPr>
      <w:numPr>
        <w:ilvl w:val="2"/>
        <w:numId w:val="16"/>
      </w:numPr>
      <w:spacing w:before="50" w:beforeLines="50" w:after="50" w:afterLines="50"/>
      <w:outlineLvl w:val="1"/>
    </w:pPr>
  </w:style>
  <w:style w:type="paragraph" w:customStyle="1" w:styleId="157">
    <w:name w:val="前言标题"/>
    <w:next w:val="1"/>
    <w:uiPriority w:val="0"/>
    <w:pPr>
      <w:numPr>
        <w:ilvl w:val="0"/>
        <w:numId w:val="16"/>
      </w:numPr>
      <w:shd w:val="clear" w:color="FFFFFF" w:fill="FFFFFF"/>
      <w:spacing w:before="540" w:after="600"/>
      <w:jc w:val="center"/>
      <w:outlineLvl w:val="0"/>
    </w:pPr>
    <w:rPr>
      <w:rFonts w:ascii="黑体" w:eastAsia="黑体"/>
      <w:sz w:val="32"/>
      <w:lang w:val="en-US" w:eastAsia="zh-CN" w:bidi="ar-SA"/>
    </w:rPr>
  </w:style>
  <w:style w:type="paragraph" w:customStyle="1" w:styleId="158">
    <w:name w:val="标准文件_二级无标题"/>
    <w:basedOn w:val="151"/>
    <w:qFormat/>
    <w:uiPriority w:val="0"/>
    <w:pPr>
      <w:numPr>
        <w:ilvl w:val="3"/>
        <w:numId w:val="4"/>
      </w:numPr>
      <w:spacing w:before="0" w:beforeLines="0" w:after="0" w:afterLines="0"/>
      <w:ind w:left="142"/>
      <w:outlineLvl w:val="9"/>
    </w:pPr>
    <w:rPr>
      <w:rFonts w:ascii="宋体" w:eastAsia="宋体"/>
    </w:rPr>
  </w:style>
  <w:style w:type="character" w:customStyle="1" w:styleId="159">
    <w:name w:val="正文文本缩进 字符"/>
    <w:uiPriority w:val="99"/>
    <w:rPr>
      <w:kern w:val="2"/>
      <w:sz w:val="21"/>
      <w:szCs w:val="21"/>
    </w:rPr>
  </w:style>
  <w:style w:type="paragraph" w:customStyle="1" w:styleId="160">
    <w:name w:val="标准文件_三级无标题"/>
    <w:basedOn w:val="152"/>
    <w:qFormat/>
    <w:uiPriority w:val="0"/>
    <w:pPr>
      <w:numPr>
        <w:ilvl w:val="4"/>
        <w:numId w:val="4"/>
      </w:numPr>
      <w:spacing w:before="0" w:beforeLines="0" w:after="0" w:afterLines="0"/>
      <w:outlineLvl w:val="9"/>
    </w:pPr>
    <w:rPr>
      <w:rFonts w:ascii="宋体" w:eastAsia="宋体"/>
    </w:rPr>
  </w:style>
  <w:style w:type="paragraph" w:customStyle="1" w:styleId="161">
    <w:name w:val="正文格式"/>
    <w:basedOn w:val="1"/>
    <w:link w:val="162"/>
    <w:qFormat/>
    <w:uiPriority w:val="0"/>
    <w:pPr>
      <w:spacing w:before="60" w:after="60" w:line="400" w:lineRule="exact"/>
      <w:ind w:left="300" w:leftChars="300"/>
    </w:pPr>
    <w:rPr>
      <w:rFonts w:ascii="Arial" w:hAnsi="Arial"/>
      <w:sz w:val="24"/>
      <w:szCs w:val="20"/>
    </w:rPr>
  </w:style>
  <w:style w:type="character" w:customStyle="1" w:styleId="162">
    <w:name w:val="正文格式 Char"/>
    <w:link w:val="161"/>
    <w:qFormat/>
    <w:locked/>
    <w:uiPriority w:val="0"/>
    <w:rPr>
      <w:rFonts w:ascii="Arial" w:hAnsi="Arial"/>
      <w:kern w:val="2"/>
      <w:sz w:val="24"/>
    </w:rPr>
  </w:style>
  <w:style w:type="character" w:customStyle="1" w:styleId="163">
    <w:name w:val="正文文本 字符"/>
    <w:uiPriority w:val="0"/>
    <w:rPr>
      <w:rFonts w:ascii="Times New Roman" w:hAnsi="Times New Roman" w:eastAsia="宋体" w:cs="Times New Roman"/>
      <w:szCs w:val="20"/>
    </w:rPr>
  </w:style>
  <w:style w:type="paragraph" w:customStyle="1" w:styleId="164">
    <w:name w:val="标准文件_英文注×："/>
    <w:basedOn w:val="1"/>
    <w:uiPriority w:val="0"/>
    <w:pPr>
      <w:numPr>
        <w:ilvl w:val="0"/>
        <w:numId w:val="17"/>
      </w:numPr>
      <w:tabs>
        <w:tab w:val="left" w:pos="210"/>
      </w:tabs>
      <w:autoSpaceDE w:val="0"/>
      <w:autoSpaceDN w:val="0"/>
      <w:adjustRightInd w:val="0"/>
    </w:pPr>
    <w:rPr>
      <w:rFonts w:ascii="宋体" w:hAnsi="宋体"/>
      <w:kern w:val="0"/>
      <w:szCs w:val="20"/>
    </w:rPr>
  </w:style>
  <w:style w:type="character" w:customStyle="1" w:styleId="165">
    <w:name w:val="正文文本_"/>
    <w:link w:val="166"/>
    <w:qFormat/>
    <w:locked/>
    <w:uiPriority w:val="99"/>
    <w:rPr>
      <w:rFonts w:ascii="MingLiU" w:hAnsi="MingLiU" w:eastAsia="MingLiU"/>
      <w:sz w:val="22"/>
      <w:shd w:val="clear" w:color="auto" w:fill="FFFFFF"/>
    </w:rPr>
  </w:style>
  <w:style w:type="paragraph" w:customStyle="1" w:styleId="166">
    <w:name w:val="正文文本2"/>
    <w:basedOn w:val="1"/>
    <w:link w:val="165"/>
    <w:qFormat/>
    <w:uiPriority w:val="99"/>
    <w:pPr>
      <w:widowControl/>
      <w:shd w:val="clear" w:color="auto" w:fill="FFFFFF"/>
      <w:spacing w:before="60" w:line="240" w:lineRule="atLeast"/>
      <w:ind w:hanging="520"/>
      <w:jc w:val="left"/>
    </w:pPr>
    <w:rPr>
      <w:rFonts w:ascii="MingLiU" w:hAnsi="MingLiU" w:eastAsia="MingLiU"/>
      <w:kern w:val="0"/>
      <w:sz w:val="22"/>
      <w:szCs w:val="20"/>
    </w:rPr>
  </w:style>
  <w:style w:type="paragraph" w:styleId="167">
    <w:name w:val="List Paragraph"/>
    <w:basedOn w:val="1"/>
    <w:link w:val="168"/>
    <w:qFormat/>
    <w:uiPriority w:val="34"/>
    <w:pPr>
      <w:widowControl/>
      <w:ind w:firstLine="420"/>
    </w:pPr>
    <w:rPr>
      <w:rFonts w:ascii="Calibri" w:hAnsi="Calibri" w:cs="Calibri"/>
      <w:kern w:val="0"/>
      <w:szCs w:val="21"/>
    </w:rPr>
  </w:style>
  <w:style w:type="character" w:customStyle="1" w:styleId="168">
    <w:name w:val="列出段落 字符"/>
    <w:link w:val="167"/>
    <w:qFormat/>
    <w:locked/>
    <w:uiPriority w:val="34"/>
    <w:rPr>
      <w:rFonts w:ascii="Calibri" w:hAnsi="Calibri" w:cs="Calibri"/>
      <w:sz w:val="21"/>
      <w:szCs w:val="21"/>
    </w:rPr>
  </w:style>
  <w:style w:type="paragraph" w:customStyle="1" w:styleId="169">
    <w:name w:val="Default"/>
    <w:uiPriority w:val="0"/>
    <w:pPr>
      <w:widowControl w:val="0"/>
      <w:autoSpaceDE w:val="0"/>
      <w:autoSpaceDN w:val="0"/>
      <w:adjustRightInd w:val="0"/>
    </w:pPr>
    <w:rPr>
      <w:rFonts w:ascii="宋体" w:cs="宋体"/>
      <w:color w:val="000000"/>
      <w:sz w:val="24"/>
      <w:szCs w:val="24"/>
      <w:lang w:val="en-US" w:eastAsia="zh-CN" w:bidi="ar-SA"/>
    </w:rPr>
  </w:style>
  <w:style w:type="character" w:customStyle="1" w:styleId="170">
    <w:name w:val="批注文字 字符"/>
    <w:link w:val="9"/>
    <w:uiPriority w:val="0"/>
    <w:rPr>
      <w:kern w:val="2"/>
      <w:sz w:val="21"/>
      <w:szCs w:val="24"/>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1652</Words>
  <Characters>9417</Characters>
  <Lines>78</Lines>
  <Paragraphs>22</Paragraphs>
  <TotalTime>0</TotalTime>
  <ScaleCrop>false</ScaleCrop>
  <LinksUpToDate>false</LinksUpToDate>
  <CharactersWithSpaces>11047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2023-03-08T08:17:00Z</dcterms:created>
  <dcterms:modified xsi:type="dcterms:W3CDTF">2023-09-28T06:27:46Z</dcterms:modified>
  <dc:title>标准名称</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DF80F97753A44E0AA29BF6ED01BCCD20_13</vt:lpwstr>
  </property>
</Properties>
</file>