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8177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1697" w:hRule="atLeast"/>
          <w:jc w:val="center"/>
        </w:trPr>
        <w:tc>
          <w:tcPr>
            <w:tcW w:w="8177" w:type="dxa"/>
            <w:noWrap w:val="0"/>
            <w:vAlign w:val="top"/>
          </w:tcPr>
          <w:p>
            <w:pPr>
              <w:jc w:val="center"/>
              <w:rPr>
                <w:rFonts w:hint="eastAsia" w:eastAsia="黑体"/>
                <w:spacing w:val="20"/>
                <w:sz w:val="44"/>
                <w:szCs w:val="44"/>
              </w:rPr>
            </w:pPr>
            <w:bookmarkStart w:id="0" w:name="_GoBack"/>
            <w:bookmarkEnd w:id="0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1573" w:hRule="atLeast"/>
          <w:jc w:val="center"/>
        </w:trPr>
        <w:tc>
          <w:tcPr>
            <w:tcW w:w="8177" w:type="dxa"/>
            <w:noWrap w:val="0"/>
            <w:vAlign w:val="top"/>
          </w:tcPr>
          <w:p>
            <w:pPr>
              <w:jc w:val="center"/>
              <w:rPr>
                <w:rFonts w:hint="eastAsia" w:eastAsia="黑体"/>
                <w:spacing w:val="20"/>
                <w:sz w:val="32"/>
              </w:rPr>
            </w:pPr>
            <w:r>
              <w:rPr>
                <w:rFonts w:hint="eastAsia" w:eastAsia="黑体"/>
                <w:spacing w:val="20"/>
                <w:sz w:val="32"/>
              </w:rPr>
              <w:t>NB/T XXXX－20YY</w:t>
            </w:r>
          </w:p>
          <w:p>
            <w:pPr>
              <w:jc w:val="center"/>
              <w:rPr>
                <w:rFonts w:hint="eastAsia" w:ascii="黑体" w:eastAsia="黑体"/>
                <w:spacing w:val="20"/>
                <w:sz w:val="36"/>
                <w:szCs w:val="36"/>
              </w:rPr>
            </w:pPr>
            <w:r>
              <w:rPr>
                <w:rFonts w:hint="eastAsia" w:ascii="黑体" w:eastAsia="黑体"/>
                <w:spacing w:val="20"/>
                <w:sz w:val="36"/>
                <w:szCs w:val="36"/>
              </w:rPr>
              <w:t>核电厂定期安全评价 第1部分：通用要求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1862" w:hRule="atLeast"/>
          <w:jc w:val="center"/>
        </w:trPr>
        <w:tc>
          <w:tcPr>
            <w:tcW w:w="8177" w:type="dxa"/>
            <w:noWrap w:val="0"/>
            <w:vAlign w:val="top"/>
          </w:tcPr>
          <w:p>
            <w:pPr>
              <w:jc w:val="center"/>
              <w:rPr>
                <w:rFonts w:hint="eastAsia" w:eastAsia="黑体"/>
                <w:spacing w:val="20"/>
                <w:sz w:val="52"/>
              </w:rPr>
            </w:pPr>
            <w:r>
              <w:rPr>
                <w:rFonts w:hint="eastAsia" w:eastAsia="黑体"/>
                <w:spacing w:val="20"/>
                <w:sz w:val="52"/>
              </w:rPr>
              <w:t>编制说明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7167" w:hRule="atLeast"/>
          <w:jc w:val="center"/>
        </w:trPr>
        <w:tc>
          <w:tcPr>
            <w:tcW w:w="8177" w:type="dxa"/>
            <w:noWrap w:val="0"/>
            <w:vAlign w:val="top"/>
          </w:tcPr>
          <w:p>
            <w:pPr>
              <w:jc w:val="center"/>
              <w:rPr>
                <w:rFonts w:hint="eastAsia" w:eastAsia="黑体"/>
                <w:spacing w:val="20"/>
                <w:sz w:val="28"/>
              </w:rPr>
            </w:pPr>
            <w:r>
              <w:rPr>
                <w:rFonts w:hint="eastAsia" w:eastAsia="黑体"/>
                <w:spacing w:val="20"/>
                <w:sz w:val="28"/>
              </w:rPr>
              <w:t>（征求意见稿）</w:t>
            </w:r>
          </w:p>
          <w:p>
            <w:pPr>
              <w:jc w:val="center"/>
              <w:rPr>
                <w:rFonts w:hint="eastAsia" w:eastAsia="黑体"/>
                <w:spacing w:val="20"/>
                <w:szCs w:val="21"/>
              </w:rPr>
            </w:pPr>
            <w:r>
              <w:rPr>
                <w:rFonts w:hint="eastAsia" w:eastAsia="黑体"/>
                <w:spacing w:val="20"/>
                <w:szCs w:val="21"/>
              </w:rPr>
              <w:t>（从工作组讨论稿一直写到报批稿）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632" w:hRule="atLeast"/>
          <w:jc w:val="center"/>
        </w:trPr>
        <w:tc>
          <w:tcPr>
            <w:tcW w:w="8177" w:type="dxa"/>
            <w:noWrap w:val="0"/>
            <w:vAlign w:val="top"/>
          </w:tcPr>
          <w:p>
            <w:pPr>
              <w:jc w:val="center"/>
              <w:rPr>
                <w:rFonts w:hint="eastAsia" w:eastAsia="黑体"/>
                <w:sz w:val="28"/>
              </w:rPr>
            </w:pPr>
            <w:r>
              <w:rPr>
                <w:rFonts w:hint="eastAsia" w:eastAsia="黑体"/>
                <w:sz w:val="28"/>
              </w:rPr>
              <w:t>（20</w:t>
            </w:r>
            <w:r>
              <w:rPr>
                <w:rFonts w:eastAsia="黑体"/>
                <w:sz w:val="28"/>
              </w:rPr>
              <w:t>23</w:t>
            </w:r>
            <w:r>
              <w:rPr>
                <w:rFonts w:hint="eastAsia" w:eastAsia="黑体"/>
                <w:sz w:val="28"/>
              </w:rPr>
              <w:t>年</w:t>
            </w:r>
            <w:r>
              <w:rPr>
                <w:rFonts w:eastAsia="黑体"/>
                <w:sz w:val="28"/>
              </w:rPr>
              <w:t>3</w:t>
            </w:r>
            <w:r>
              <w:rPr>
                <w:rFonts w:hint="eastAsia" w:eastAsia="黑体"/>
                <w:sz w:val="28"/>
              </w:rPr>
              <w:t>月）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 w:eastAsia="黑体"/>
        </w:rPr>
      </w:pPr>
    </w:p>
    <w:p>
      <w:pPr>
        <w:numPr>
          <w:ilvl w:val="0"/>
          <w:numId w:val="1"/>
        </w:numPr>
        <w:spacing w:line="360" w:lineRule="auto"/>
        <w:rPr>
          <w:rFonts w:hint="eastAsia" w:eastAsia="黑体"/>
          <w:sz w:val="24"/>
        </w:rPr>
      </w:pPr>
      <w:r>
        <w:rPr>
          <w:rFonts w:hint="eastAsia" w:eastAsia="黑体"/>
          <w:sz w:val="24"/>
        </w:rPr>
        <w:t>任务来源及计划要求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本标准来源于国家能源局20</w:t>
      </w:r>
      <w:r>
        <w:rPr>
          <w:sz w:val="24"/>
        </w:rPr>
        <w:t>21</w:t>
      </w:r>
      <w:r>
        <w:rPr>
          <w:rFonts w:hint="eastAsia"/>
          <w:sz w:val="24"/>
        </w:rPr>
        <w:t>年下达的能源行业核电标准制修订计划，项目编号为“能源</w:t>
      </w:r>
      <w:r>
        <w:rPr>
          <w:sz w:val="24"/>
        </w:rPr>
        <w:t>20210676</w:t>
      </w:r>
      <w:r>
        <w:rPr>
          <w:rFonts w:hint="eastAsia"/>
          <w:sz w:val="24"/>
        </w:rPr>
        <w:t>”。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计划要求对NB</w:t>
      </w:r>
      <w:r>
        <w:rPr>
          <w:sz w:val="24"/>
        </w:rPr>
        <w:t>/</w:t>
      </w:r>
      <w:r>
        <w:rPr>
          <w:rFonts w:hint="eastAsia"/>
          <w:sz w:val="24"/>
        </w:rPr>
        <w:t xml:space="preserve">T </w:t>
      </w:r>
      <w:r>
        <w:rPr>
          <w:sz w:val="24"/>
        </w:rPr>
        <w:t>20513.1-2018</w:t>
      </w:r>
      <w:r>
        <w:rPr>
          <w:rFonts w:hint="eastAsia"/>
          <w:sz w:val="24"/>
        </w:rPr>
        <w:t>《核电厂定期安全审查指南 第1部分：通用要求》进行修订，这项修订任务应在2</w:t>
      </w:r>
      <w:r>
        <w:rPr>
          <w:sz w:val="24"/>
        </w:rPr>
        <w:t>023</w:t>
      </w:r>
      <w:r>
        <w:rPr>
          <w:rFonts w:hint="eastAsia"/>
          <w:sz w:val="24"/>
        </w:rPr>
        <w:t>年底前完成。</w:t>
      </w:r>
    </w:p>
    <w:p>
      <w:pPr>
        <w:spacing w:line="360" w:lineRule="auto"/>
        <w:rPr>
          <w:rFonts w:hint="eastAsia" w:eastAsia="黑体"/>
          <w:sz w:val="24"/>
        </w:rPr>
      </w:pPr>
      <w:r>
        <w:rPr>
          <w:rFonts w:hint="eastAsia" w:eastAsia="黑体"/>
          <w:sz w:val="24"/>
        </w:rPr>
        <w:t>二、 编制过程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1、征求意见稿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021</w:t>
      </w:r>
      <w:r>
        <w:rPr>
          <w:rFonts w:hint="eastAsia"/>
          <w:sz w:val="24"/>
        </w:rPr>
        <w:t>年9月3</w:t>
      </w:r>
      <w:r>
        <w:rPr>
          <w:sz w:val="24"/>
        </w:rPr>
        <w:t>0</w:t>
      </w:r>
      <w:r>
        <w:rPr>
          <w:rFonts w:hint="eastAsia"/>
          <w:sz w:val="24"/>
        </w:rPr>
        <w:t>日，国家能源局下达了《国家能源局综合司关于下达2</w:t>
      </w:r>
      <w:r>
        <w:rPr>
          <w:sz w:val="24"/>
        </w:rPr>
        <w:t>021</w:t>
      </w:r>
      <w:r>
        <w:rPr>
          <w:rFonts w:hint="eastAsia"/>
          <w:sz w:val="24"/>
        </w:rPr>
        <w:t>年能源领域行业标准制修订计划及外文翻译计划的通知》（国能综通科技[</w:t>
      </w:r>
      <w:r>
        <w:rPr>
          <w:sz w:val="24"/>
        </w:rPr>
        <w:t>2021</w:t>
      </w:r>
      <w:r>
        <w:rPr>
          <w:rFonts w:hint="eastAsia"/>
          <w:sz w:val="24"/>
        </w:rPr>
        <w:t>]9</w:t>
      </w:r>
      <w:r>
        <w:rPr>
          <w:sz w:val="24"/>
        </w:rPr>
        <w:t>2</w:t>
      </w:r>
      <w:r>
        <w:rPr>
          <w:rFonts w:hint="eastAsia"/>
          <w:sz w:val="24"/>
        </w:rPr>
        <w:t>号），其中编号为“能源2</w:t>
      </w:r>
      <w:r>
        <w:rPr>
          <w:sz w:val="24"/>
        </w:rPr>
        <w:t>0210676</w:t>
      </w:r>
      <w:r>
        <w:rPr>
          <w:rFonts w:hint="eastAsia"/>
          <w:sz w:val="24"/>
        </w:rPr>
        <w:t>”的项目为《核电厂定期安全审查指南 第1部分：通用要求》（NB</w:t>
      </w:r>
      <w:r>
        <w:rPr>
          <w:sz w:val="24"/>
        </w:rPr>
        <w:t>/</w:t>
      </w:r>
      <w:r>
        <w:rPr>
          <w:rFonts w:hint="eastAsia"/>
          <w:sz w:val="24"/>
        </w:rPr>
        <w:t>T</w:t>
      </w:r>
      <w:r>
        <w:rPr>
          <w:sz w:val="24"/>
        </w:rPr>
        <w:t xml:space="preserve"> 20513</w:t>
      </w:r>
      <w:r>
        <w:rPr>
          <w:rFonts w:hint="eastAsia"/>
          <w:sz w:val="24"/>
        </w:rPr>
        <w:t>.</w:t>
      </w:r>
      <w:r>
        <w:rPr>
          <w:sz w:val="24"/>
        </w:rPr>
        <w:t>1</w:t>
      </w:r>
      <w:r>
        <w:rPr>
          <w:rFonts w:hint="eastAsia"/>
          <w:sz w:val="24"/>
        </w:rPr>
        <w:t>-</w:t>
      </w:r>
      <w:r>
        <w:rPr>
          <w:sz w:val="24"/>
        </w:rPr>
        <w:t>2018</w:t>
      </w:r>
      <w:r>
        <w:rPr>
          <w:rFonts w:hint="eastAsia"/>
          <w:sz w:val="24"/>
        </w:rPr>
        <w:t>）。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《核电厂定期安全审查指南 第1部分：通用要求》（NB</w:t>
      </w:r>
      <w:r>
        <w:rPr>
          <w:sz w:val="24"/>
        </w:rPr>
        <w:t>/</w:t>
      </w:r>
      <w:r>
        <w:rPr>
          <w:rFonts w:hint="eastAsia"/>
          <w:sz w:val="24"/>
        </w:rPr>
        <w:t>T</w:t>
      </w:r>
      <w:r>
        <w:rPr>
          <w:sz w:val="24"/>
        </w:rPr>
        <w:t xml:space="preserve"> 20513</w:t>
      </w:r>
      <w:r>
        <w:rPr>
          <w:rFonts w:hint="eastAsia"/>
          <w:sz w:val="24"/>
        </w:rPr>
        <w:t>.</w:t>
      </w:r>
      <w:r>
        <w:rPr>
          <w:sz w:val="24"/>
        </w:rPr>
        <w:t>1</w:t>
      </w:r>
      <w:r>
        <w:rPr>
          <w:rFonts w:hint="eastAsia"/>
          <w:sz w:val="24"/>
        </w:rPr>
        <w:t>-</w:t>
      </w:r>
      <w:r>
        <w:rPr>
          <w:sz w:val="24"/>
        </w:rPr>
        <w:t>2018</w:t>
      </w:r>
      <w:r>
        <w:rPr>
          <w:rFonts w:hint="eastAsia"/>
          <w:sz w:val="24"/>
        </w:rPr>
        <w:t>）修订项目组确定的修订原则为：</w:t>
      </w:r>
    </w:p>
    <w:p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根据执行反馈对</w:t>
      </w:r>
      <w:r>
        <w:rPr>
          <w:sz w:val="24"/>
        </w:rPr>
        <w:t>标准中的</w:t>
      </w:r>
      <w:r>
        <w:rPr>
          <w:rFonts w:hint="eastAsia"/>
          <w:sz w:val="24"/>
        </w:rPr>
        <w:t>“</w:t>
      </w:r>
      <w:r>
        <w:rPr>
          <w:sz w:val="24"/>
        </w:rPr>
        <w:t>审查目的”</w:t>
      </w:r>
      <w:r>
        <w:rPr>
          <w:rFonts w:hint="eastAsia"/>
          <w:sz w:val="24"/>
        </w:rPr>
        <w:t>“审查</w:t>
      </w:r>
      <w:r>
        <w:rPr>
          <w:sz w:val="24"/>
        </w:rPr>
        <w:t>要点”“审查范围和内容”“审查方法”“审查流程”等进行适应性修订</w:t>
      </w:r>
      <w:r>
        <w:rPr>
          <w:rFonts w:hint="eastAsia"/>
          <w:sz w:val="24"/>
        </w:rPr>
        <w:t>；</w:t>
      </w:r>
    </w:p>
    <w:p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>补充PSR工作开展实际需要的</w:t>
      </w:r>
      <w:r>
        <w:rPr>
          <w:rFonts w:hint="eastAsia"/>
          <w:sz w:val="24"/>
        </w:rPr>
        <w:t>部分</w:t>
      </w:r>
      <w:r>
        <w:rPr>
          <w:sz w:val="24"/>
        </w:rPr>
        <w:t>缺失内容</w:t>
      </w:r>
      <w:r>
        <w:rPr>
          <w:rFonts w:hint="eastAsia"/>
          <w:sz w:val="24"/>
        </w:rPr>
        <w:t>；</w:t>
      </w:r>
    </w:p>
    <w:p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增加近年来国内</w:t>
      </w:r>
      <w:r>
        <w:rPr>
          <w:sz w:val="24"/>
        </w:rPr>
        <w:t>PSR</w:t>
      </w:r>
      <w:r>
        <w:rPr>
          <w:rFonts w:hint="eastAsia"/>
          <w:sz w:val="24"/>
        </w:rPr>
        <w:t>团队</w:t>
      </w:r>
      <w:r>
        <w:rPr>
          <w:sz w:val="24"/>
        </w:rPr>
        <w:t>在工作中</w:t>
      </w:r>
      <w:r>
        <w:rPr>
          <w:rFonts w:hint="eastAsia"/>
          <w:sz w:val="24"/>
        </w:rPr>
        <w:t>摸索</w:t>
      </w:r>
      <w:r>
        <w:rPr>
          <w:sz w:val="24"/>
        </w:rPr>
        <w:t>出来的行之有效的新</w:t>
      </w:r>
      <w:r>
        <w:rPr>
          <w:rFonts w:hint="eastAsia"/>
          <w:sz w:val="24"/>
        </w:rPr>
        <w:t>方法、</w:t>
      </w:r>
      <w:r>
        <w:rPr>
          <w:sz w:val="24"/>
        </w:rPr>
        <w:t>新做法。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《核电厂定期安全审查指南 第1部分：通用要求》（NB</w:t>
      </w:r>
      <w:r>
        <w:rPr>
          <w:sz w:val="24"/>
        </w:rPr>
        <w:t>/</w:t>
      </w:r>
      <w:r>
        <w:rPr>
          <w:rFonts w:hint="eastAsia"/>
          <w:sz w:val="24"/>
        </w:rPr>
        <w:t>T</w:t>
      </w:r>
      <w:r>
        <w:rPr>
          <w:sz w:val="24"/>
        </w:rPr>
        <w:t xml:space="preserve"> 20513</w:t>
      </w:r>
      <w:r>
        <w:rPr>
          <w:rFonts w:hint="eastAsia"/>
          <w:sz w:val="24"/>
        </w:rPr>
        <w:t>.</w:t>
      </w:r>
      <w:r>
        <w:rPr>
          <w:sz w:val="24"/>
        </w:rPr>
        <w:t>1</w:t>
      </w:r>
      <w:r>
        <w:rPr>
          <w:rFonts w:hint="eastAsia"/>
          <w:sz w:val="24"/>
        </w:rPr>
        <w:t>-</w:t>
      </w:r>
      <w:r>
        <w:rPr>
          <w:sz w:val="24"/>
        </w:rPr>
        <w:t>2018</w:t>
      </w:r>
      <w:r>
        <w:rPr>
          <w:rFonts w:hint="eastAsia"/>
          <w:sz w:val="24"/>
        </w:rPr>
        <w:t>）修订的参与单位有3家，分别为大亚湾核电运营管理有限责任公司、苏州热工研究院有限公司和生态环境部核与辐射安全中心，其中大亚湾核电运营管理有限责任公司为牵头单位。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《核电厂定期安全审查指南 第1部分：通用要求》（NB</w:t>
      </w:r>
      <w:r>
        <w:rPr>
          <w:sz w:val="24"/>
        </w:rPr>
        <w:t>/</w:t>
      </w:r>
      <w:r>
        <w:rPr>
          <w:rFonts w:hint="eastAsia"/>
          <w:sz w:val="24"/>
        </w:rPr>
        <w:t>T</w:t>
      </w:r>
      <w:r>
        <w:rPr>
          <w:sz w:val="24"/>
        </w:rPr>
        <w:t xml:space="preserve"> 20513</w:t>
      </w:r>
      <w:r>
        <w:rPr>
          <w:rFonts w:hint="eastAsia"/>
          <w:sz w:val="24"/>
        </w:rPr>
        <w:t>.</w:t>
      </w:r>
      <w:r>
        <w:rPr>
          <w:sz w:val="24"/>
        </w:rPr>
        <w:t>1</w:t>
      </w:r>
      <w:r>
        <w:rPr>
          <w:rFonts w:hint="eastAsia"/>
          <w:sz w:val="24"/>
        </w:rPr>
        <w:t>-</w:t>
      </w:r>
      <w:r>
        <w:rPr>
          <w:sz w:val="24"/>
        </w:rPr>
        <w:t>2018</w:t>
      </w:r>
      <w:r>
        <w:rPr>
          <w:rFonts w:hint="eastAsia"/>
          <w:sz w:val="24"/>
        </w:rPr>
        <w:t>）修订稿起草人员在2</w:t>
      </w:r>
      <w:r>
        <w:rPr>
          <w:sz w:val="24"/>
        </w:rPr>
        <w:t>023</w:t>
      </w:r>
      <w:r>
        <w:rPr>
          <w:rFonts w:hint="eastAsia"/>
          <w:sz w:val="24"/>
        </w:rPr>
        <w:t>年2月完成了讨论稿编写。2</w:t>
      </w:r>
      <w:r>
        <w:rPr>
          <w:sz w:val="24"/>
        </w:rPr>
        <w:t>023</w:t>
      </w:r>
      <w:r>
        <w:rPr>
          <w:rFonts w:hint="eastAsia"/>
          <w:sz w:val="24"/>
        </w:rPr>
        <w:t>年3月，3家标准修订单位的参与人员对讨论稿进行了集中讨论，根据讨论中达成的共识，标准修订项目组对讨论稿进行了修改，形成了征求意见稿。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2、送审稿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………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3、报批稿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………</w:t>
      </w:r>
    </w:p>
    <w:p>
      <w:pPr>
        <w:spacing w:line="360" w:lineRule="auto"/>
        <w:rPr>
          <w:rFonts w:hint="eastAsia" w:eastAsia="黑体"/>
          <w:sz w:val="24"/>
        </w:rPr>
      </w:pPr>
      <w:r>
        <w:rPr>
          <w:rFonts w:hint="eastAsia" w:eastAsia="黑体"/>
          <w:sz w:val="24"/>
        </w:rPr>
        <w:t>三、调研和分析工作的情况</w:t>
      </w:r>
    </w:p>
    <w:p>
      <w:pPr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在项目申报期间和讨论稿编写过程中，调研了大亚湾核电厂、阳江核电厂、红沿河核电厂、宁德核电厂、防城港核电厂、福清核电厂、秦山核电厂、田湾核电厂等单位的PSR执行情况，了解了原标准在执行中遇到的问题，以及各单位在PSR开展过程中摸索出来的良好实践。具体如下：</w:t>
      </w:r>
    </w:p>
    <w:p>
      <w:pPr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标准执行中遇到的问题：</w:t>
      </w:r>
    </w:p>
    <w:p>
      <w:pPr>
        <w:numPr>
          <w:ilvl w:val="0"/>
          <w:numId w:val="3"/>
        </w:num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标准内容过于简单，指导性不够；</w:t>
      </w:r>
    </w:p>
    <w:p>
      <w:pPr>
        <w:numPr>
          <w:ilvl w:val="0"/>
          <w:numId w:val="3"/>
        </w:num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标准没有考虑国际原子能机构（IAEA）</w:t>
      </w:r>
      <w:r>
        <w:rPr>
          <w:rFonts w:ascii="宋体" w:hAnsi="宋体"/>
          <w:sz w:val="24"/>
        </w:rPr>
        <w:t>2013</w:t>
      </w:r>
      <w:r>
        <w:rPr>
          <w:rFonts w:hint="eastAsia" w:ascii="宋体" w:hAnsi="宋体"/>
          <w:sz w:val="24"/>
        </w:rPr>
        <w:t>版PSR导则的更新内容；</w:t>
      </w:r>
    </w:p>
    <w:p>
      <w:pPr>
        <w:numPr>
          <w:ilvl w:val="0"/>
          <w:numId w:val="4"/>
        </w:numPr>
        <w:spacing w:line="360" w:lineRule="auto"/>
        <w:ind w:right="15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对于评价依据</w:t>
      </w:r>
      <w:r>
        <w:rPr>
          <w:rFonts w:ascii="宋体" w:hAnsi="宋体"/>
          <w:sz w:val="24"/>
        </w:rPr>
        <w:t>、利益代价分析、</w:t>
      </w:r>
      <w:r>
        <w:rPr>
          <w:rFonts w:hint="eastAsia" w:ascii="宋体" w:hAnsi="宋体"/>
          <w:sz w:val="24"/>
        </w:rPr>
        <w:t>纠正行动/安全</w:t>
      </w:r>
      <w:r>
        <w:rPr>
          <w:rFonts w:ascii="宋体" w:hAnsi="宋体"/>
          <w:sz w:val="24"/>
        </w:rPr>
        <w:t>改进</w:t>
      </w:r>
      <w:r>
        <w:rPr>
          <w:rFonts w:hint="eastAsia" w:ascii="宋体" w:hAnsi="宋体"/>
          <w:sz w:val="24"/>
        </w:rPr>
        <w:t>计划、PSR</w:t>
      </w:r>
      <w:r>
        <w:rPr>
          <w:rFonts w:ascii="宋体" w:hAnsi="宋体"/>
          <w:sz w:val="24"/>
        </w:rPr>
        <w:t>后续工作</w:t>
      </w:r>
      <w:r>
        <w:rPr>
          <w:rFonts w:hint="eastAsia" w:ascii="宋体" w:hAnsi="宋体"/>
          <w:sz w:val="24"/>
        </w:rPr>
        <w:t>等，要求内容</w:t>
      </w:r>
      <w:r>
        <w:rPr>
          <w:rFonts w:ascii="宋体" w:hAnsi="宋体"/>
          <w:sz w:val="24"/>
        </w:rPr>
        <w:t>缺失</w:t>
      </w:r>
      <w:r>
        <w:rPr>
          <w:rFonts w:hint="eastAsia" w:ascii="宋体" w:hAnsi="宋体"/>
          <w:sz w:val="24"/>
        </w:rPr>
        <w:t>，要么</w:t>
      </w:r>
      <w:r>
        <w:rPr>
          <w:rFonts w:ascii="宋体" w:hAnsi="宋体"/>
          <w:sz w:val="24"/>
        </w:rPr>
        <w:t>一笔带过</w:t>
      </w:r>
      <w:r>
        <w:rPr>
          <w:rFonts w:hint="eastAsia" w:ascii="宋体" w:hAnsi="宋体"/>
          <w:sz w:val="24"/>
        </w:rPr>
        <w:t>，无法</w:t>
      </w:r>
      <w:r>
        <w:rPr>
          <w:rFonts w:ascii="宋体" w:hAnsi="宋体"/>
          <w:sz w:val="24"/>
        </w:rPr>
        <w:t>为PSR工作的</w:t>
      </w:r>
      <w:r>
        <w:rPr>
          <w:rFonts w:hint="eastAsia" w:ascii="宋体" w:hAnsi="宋体"/>
          <w:sz w:val="24"/>
        </w:rPr>
        <w:t>有效</w:t>
      </w:r>
      <w:r>
        <w:rPr>
          <w:rFonts w:ascii="宋体" w:hAnsi="宋体"/>
          <w:sz w:val="24"/>
        </w:rPr>
        <w:t>开展提</w:t>
      </w:r>
      <w:r>
        <w:rPr>
          <w:rFonts w:hint="eastAsia" w:ascii="宋体" w:hAnsi="宋体"/>
          <w:sz w:val="24"/>
        </w:rPr>
        <w:t>供全面</w:t>
      </w:r>
      <w:r>
        <w:rPr>
          <w:rFonts w:ascii="宋体" w:hAnsi="宋体"/>
          <w:sz w:val="24"/>
        </w:rPr>
        <w:t>指导；</w:t>
      </w:r>
    </w:p>
    <w:p>
      <w:pPr>
        <w:numPr>
          <w:ilvl w:val="0"/>
          <w:numId w:val="4"/>
        </w:numPr>
        <w:spacing w:line="360" w:lineRule="auto"/>
        <w:ind w:right="15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标准各部分的</w:t>
      </w:r>
      <w:r>
        <w:rPr>
          <w:rFonts w:ascii="宋体" w:hAnsi="宋体"/>
          <w:sz w:val="24"/>
        </w:rPr>
        <w:t>术语使用</w:t>
      </w:r>
      <w:r>
        <w:rPr>
          <w:rFonts w:hint="eastAsia" w:ascii="宋体" w:hAnsi="宋体"/>
          <w:sz w:val="24"/>
        </w:rPr>
        <w:t>不统一等</w:t>
      </w:r>
      <w:r>
        <w:rPr>
          <w:rFonts w:ascii="宋体" w:hAnsi="宋体"/>
          <w:sz w:val="24"/>
        </w:rPr>
        <w:t>。</w:t>
      </w:r>
    </w:p>
    <w:p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电厂反馈的PSR良好实践有：</w:t>
      </w:r>
    </w:p>
    <w:p>
      <w:pPr>
        <w:numPr>
          <w:ilvl w:val="0"/>
          <w:numId w:val="5"/>
        </w:num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设计相近电厂PSR采用批审查模式；</w:t>
      </w:r>
    </w:p>
    <w:p>
      <w:pPr>
        <w:numPr>
          <w:ilvl w:val="0"/>
          <w:numId w:val="5"/>
        </w:num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对于PSR安全提升目标的确定，形成了较为完整的方法论；</w:t>
      </w:r>
    </w:p>
    <w:p>
      <w:pPr>
        <w:numPr>
          <w:ilvl w:val="0"/>
          <w:numId w:val="5"/>
        </w:num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核电企业集团对群厂PSR的实施进行统筹管理，组建了相对稳定的PSR技术团队；</w:t>
      </w:r>
    </w:p>
    <w:p>
      <w:pPr>
        <w:numPr>
          <w:ilvl w:val="0"/>
          <w:numId w:val="5"/>
        </w:num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建立了涵盖人员、进度、质量、会议、文件和记录的PSR项目管理体系，以及用以指导评价实施的</w:t>
      </w:r>
      <w:r>
        <w:rPr>
          <w:rFonts w:ascii="宋体" w:hAnsi="宋体"/>
          <w:sz w:val="24"/>
        </w:rPr>
        <w:t>3</w:t>
      </w:r>
      <w:r>
        <w:rPr>
          <w:rFonts w:hint="eastAsia" w:ascii="宋体" w:hAnsi="宋体"/>
          <w:sz w:val="24"/>
        </w:rPr>
        <w:t>个层次的PSR工作文件；</w:t>
      </w:r>
    </w:p>
    <w:p>
      <w:pPr>
        <w:numPr>
          <w:ilvl w:val="0"/>
          <w:numId w:val="5"/>
        </w:num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为表述PSR发现的问题，对“差异项”“强项”“弱项”等术语给出了明确的定义；</w:t>
      </w:r>
    </w:p>
    <w:p>
      <w:pPr>
        <w:numPr>
          <w:ilvl w:val="0"/>
          <w:numId w:val="5"/>
        </w:num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针对PSR总体评价，形成了一套行之有效的做法,等。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在PSR讨论稿编写过程中，考虑了对PSR反馈问题的解决，也纳入了业界反馈的PSR良好实践。</w:t>
      </w:r>
    </w:p>
    <w:p>
      <w:pPr>
        <w:spacing w:line="360" w:lineRule="auto"/>
        <w:rPr>
          <w:rFonts w:eastAsia="黑体"/>
          <w:color w:val="FF0000"/>
          <w:sz w:val="24"/>
        </w:rPr>
      </w:pPr>
      <w:r>
        <w:rPr>
          <w:rFonts w:hint="eastAsia" w:eastAsia="黑体"/>
          <w:sz w:val="24"/>
        </w:rPr>
        <w:t>四、主要技术内容的说明</w:t>
      </w:r>
    </w:p>
    <w:p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对于标准内容的主要修订点及其理由，详述如下：</w:t>
      </w:r>
    </w:p>
    <w:p>
      <w:pPr>
        <w:numPr>
          <w:ilvl w:val="0"/>
          <w:numId w:val="6"/>
        </w:num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引入差异项定义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理由：关于PSR发现问题的描述，业界内不统一，有必要通过明确的定义加以规范。</w:t>
      </w:r>
    </w:p>
    <w:p>
      <w:pPr>
        <w:numPr>
          <w:ilvl w:val="0"/>
          <w:numId w:val="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确定PSR评价范围时，可以选定评价重点，此外，还可设置个性化的评价专项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理由：PSR实践表明，为了把评价工作做实，确保高质量、出成果，在确定评价内容时，应考虑评价资源的合理配置，把评价资源向电厂的薄弱领域倾斜。</w:t>
      </w:r>
    </w:p>
    <w:p>
      <w:pPr>
        <w:numPr>
          <w:ilvl w:val="0"/>
          <w:numId w:val="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用“评价依据”取代“安全基准”。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理由：原标准中的“安全基准“指的是PSR评价依据，在2</w:t>
      </w:r>
      <w:r>
        <w:rPr>
          <w:sz w:val="24"/>
        </w:rPr>
        <w:t>022</w:t>
      </w:r>
      <w:r>
        <w:rPr>
          <w:rFonts w:hint="eastAsia"/>
          <w:sz w:val="24"/>
        </w:rPr>
        <w:t>版HAF</w:t>
      </w:r>
      <w:r>
        <w:rPr>
          <w:sz w:val="24"/>
        </w:rPr>
        <w:t>103</w:t>
      </w:r>
      <w:r>
        <w:rPr>
          <w:rFonts w:hint="eastAsia"/>
          <w:sz w:val="24"/>
        </w:rPr>
        <w:t xml:space="preserve">中，已对安全基准给出了明确的定义，该定义同原标准中”安全基准“涵义不同，所以在修订版的表述中，用“评价依据”取代“安全基准”。 </w:t>
      </w:r>
      <w:r>
        <w:rPr>
          <w:sz w:val="24"/>
        </w:rPr>
        <w:t xml:space="preserve"> </w:t>
      </w:r>
    </w:p>
    <w:p>
      <w:pPr>
        <w:numPr>
          <w:ilvl w:val="0"/>
          <w:numId w:val="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修订版中给出了确定PSR所依据的现行安全标准和实践的方法和原则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理由：原标准没有相应的规定，无法为PSR工作提供具体指导。</w:t>
      </w:r>
    </w:p>
    <w:p>
      <w:pPr>
        <w:numPr>
          <w:ilvl w:val="0"/>
          <w:numId w:val="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增加一条内容“确定工作模式”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理由：原标准内容过于简单，有必要在修订版中增加关于工作模式的规定，以为PSR实施提供具体指导。此外，国内核电企业集团在PSR开展中，针对设计相机机组PSR提出了“批审查”工作模式，并在实施中取得了很好的效果。作为良好实践，在修订版中增加了相应的内容。</w:t>
      </w:r>
    </w:p>
    <w:p>
      <w:pPr>
        <w:numPr>
          <w:ilvl w:val="0"/>
          <w:numId w:val="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增加一条“组建PSR技术团队“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理由：原标准内容过于简单，没有对PSR技术团队提出要求和建议。为给PSR的有效运作提供具体指导，专门增加了该项内容。</w:t>
      </w:r>
    </w:p>
    <w:p>
      <w:pPr>
        <w:numPr>
          <w:ilvl w:val="0"/>
          <w:numId w:val="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将原标准中的“5.</w:t>
      </w:r>
      <w:r>
        <w:rPr>
          <w:sz w:val="24"/>
        </w:rPr>
        <w:t>2</w:t>
      </w:r>
      <w:r>
        <w:rPr>
          <w:rFonts w:hint="eastAsia"/>
          <w:sz w:val="24"/>
        </w:rPr>
        <w:t>.</w:t>
      </w:r>
      <w:r>
        <w:rPr>
          <w:sz w:val="24"/>
        </w:rPr>
        <w:t xml:space="preserve">1 </w:t>
      </w:r>
      <w:r>
        <w:rPr>
          <w:rFonts w:hint="eastAsia"/>
          <w:sz w:val="24"/>
        </w:rPr>
        <w:t>组织准备”扩展为“建立PSR项目管理体系”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理由：为解决原标准的“指导性”不够问题，把“组织准备”扩展为“建立PSR项目管理体系”，增加了有关项目管理要求和项目管理文件的内容。</w:t>
      </w:r>
    </w:p>
    <w:p>
      <w:pPr>
        <w:numPr>
          <w:ilvl w:val="0"/>
          <w:numId w:val="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修订版中增加了关于PSR大纲内容的描述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理由：PSR大纲的内容，国内并不统一。修订版增加了相应的内容，有助于业界PSR标准化、规范化开展。 </w:t>
      </w:r>
    </w:p>
    <w:p>
      <w:pPr>
        <w:numPr>
          <w:ilvl w:val="0"/>
          <w:numId w:val="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增加一条内容“要素/专项评价方法”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理由：对于通用的评价方法，在原标准中没有相应内容，这是原标准的不足，在修订版中，增加了相应内容。 </w:t>
      </w:r>
    </w:p>
    <w:p>
      <w:pPr>
        <w:numPr>
          <w:ilvl w:val="0"/>
          <w:numId w:val="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增加一条内容“差异项分析及处置”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理由：对于差异项分析及处置，原标准中仅有一段简单地描述，修订版对这部分内容（差异项的提出、安全影响分析和处置等）做了详细规定，可为PSR执行提供具体的指导。</w:t>
      </w:r>
    </w:p>
    <w:p>
      <w:pPr>
        <w:numPr>
          <w:ilvl w:val="0"/>
          <w:numId w:val="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对“要素/专项报告”相关的内容进行扩展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理由：原标准中，对于要素报告，仅要求“编制要素报告，并提交NNSA”。修订版对这项内容进行了扩充，增加了“PSR评价发现的所有差异项，都应写入要素/专项评价报告”这一原则要求。</w:t>
      </w:r>
    </w:p>
    <w:p>
      <w:pPr>
        <w:numPr>
          <w:ilvl w:val="0"/>
          <w:numId w:val="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增加一条内容“要素/专项之间的支持与配合”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理由：PSR评价过程中，各要素/专项相互关联，是一个不可分割的整体。只有各要素/专项之间相互协同、配合，才能保证项目的最终成功。修订版对评价期间各要素/专项之间的相互支持与配合，做了专门规定。</w:t>
      </w:r>
    </w:p>
    <w:p>
      <w:pPr>
        <w:numPr>
          <w:ilvl w:val="0"/>
          <w:numId w:val="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对总体评价部分的内容进行了调整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理由： 原标准中总体评价相关的内容，可操作性差。结合PSR评价实践，修订版调整了总体评价部分的表述方式，并完善了具体内容；此外，在总体评价部分，给出了对核电厂SSCs纠正行动或安全改进进行收益成本分析的一般方法。修订版提升了标准的可执行性。</w:t>
      </w:r>
    </w:p>
    <w:p>
      <w:pPr>
        <w:numPr>
          <w:ilvl w:val="0"/>
          <w:numId w:val="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增加一条内容“过程管理”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理由：PSR项目的成功开展，离不开有效的过程管控。修订版专门增加了一条“过程管理”，对PSR开展过程中的进度控制、质量控制、文件和记录管理等提出了相应的要求和建议。 </w:t>
      </w:r>
    </w:p>
    <w:p>
      <w:pPr>
        <w:numPr>
          <w:ilvl w:val="0"/>
          <w:numId w:val="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增加一章内容“定期安全评价后工作”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理由：原标准中缺少这部分内容，不完整，修订版进行了补充。</w:t>
      </w:r>
    </w:p>
    <w:p>
      <w:pPr>
        <w:spacing w:line="360" w:lineRule="auto"/>
        <w:rPr>
          <w:rFonts w:hint="eastAsia" w:eastAsia="黑体"/>
          <w:sz w:val="24"/>
        </w:rPr>
      </w:pPr>
      <w:r>
        <w:rPr>
          <w:rFonts w:hint="eastAsia" w:eastAsia="黑体"/>
          <w:sz w:val="24"/>
        </w:rPr>
        <w:t>五、与现行法律、标准的关系</w:t>
      </w:r>
    </w:p>
    <w:p>
      <w:pPr>
        <w:spacing w:line="360" w:lineRule="auto"/>
        <w:ind w:right="15" w:firstLine="480" w:firstLineChars="200"/>
        <w:rPr>
          <w:sz w:val="24"/>
        </w:rPr>
      </w:pPr>
      <w:r>
        <w:rPr>
          <w:sz w:val="24"/>
        </w:rPr>
        <w:t>2017年</w:t>
      </w:r>
      <w:r>
        <w:rPr>
          <w:rFonts w:hint="eastAsia"/>
          <w:sz w:val="24"/>
        </w:rPr>
        <w:t>发布</w:t>
      </w:r>
      <w:r>
        <w:rPr>
          <w:sz w:val="24"/>
        </w:rPr>
        <w:t>的</w:t>
      </w:r>
      <w:r>
        <w:rPr>
          <w:rFonts w:hint="eastAsia"/>
          <w:sz w:val="24"/>
        </w:rPr>
        <w:t>《中华人民共和国核安全法》第十六条明确规定：“核设施运营单位应当对核设施进行定期安全评价，并接受国务院核安全监督管理部门的审查。</w:t>
      </w:r>
      <w:r>
        <w:rPr>
          <w:sz w:val="24"/>
        </w:rPr>
        <w:t>”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2004</w:t>
      </w:r>
      <w:r>
        <w:rPr>
          <w:rFonts w:hint="eastAsia"/>
          <w:sz w:val="24"/>
        </w:rPr>
        <w:t>和2022版《</w:t>
      </w:r>
      <w:r>
        <w:rPr>
          <w:sz w:val="24"/>
        </w:rPr>
        <w:t>核动力厂</w:t>
      </w:r>
      <w:r>
        <w:rPr>
          <w:rFonts w:hint="eastAsia"/>
          <w:sz w:val="24"/>
        </w:rPr>
        <w:t>运行安全</w:t>
      </w:r>
      <w:r>
        <w:rPr>
          <w:sz w:val="24"/>
        </w:rPr>
        <w:t>规定》（</w:t>
      </w:r>
      <w:r>
        <w:rPr>
          <w:rFonts w:hint="eastAsia"/>
          <w:sz w:val="24"/>
        </w:rPr>
        <w:t>HAF</w:t>
      </w:r>
      <w:r>
        <w:rPr>
          <w:sz w:val="24"/>
        </w:rPr>
        <w:t>103）</w:t>
      </w:r>
      <w:r>
        <w:rPr>
          <w:rFonts w:hint="eastAsia"/>
          <w:sz w:val="24"/>
        </w:rPr>
        <w:t>都对定期安全评价提出了明确的要求，在运行许可证有效期内，营运单位必须开展核电厂定期安全评价工作。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2006年发布的核安全导则</w:t>
      </w:r>
      <w:r>
        <w:rPr>
          <w:sz w:val="24"/>
        </w:rPr>
        <w:t>《核动力厂</w:t>
      </w:r>
      <w:r>
        <w:rPr>
          <w:rFonts w:hint="eastAsia"/>
          <w:sz w:val="24"/>
        </w:rPr>
        <w:t>定期</w:t>
      </w:r>
      <w:r>
        <w:rPr>
          <w:sz w:val="24"/>
        </w:rPr>
        <w:t>安全审查》（</w:t>
      </w:r>
      <w:r>
        <w:rPr>
          <w:rFonts w:hint="eastAsia"/>
          <w:sz w:val="24"/>
        </w:rPr>
        <w:t>H</w:t>
      </w:r>
      <w:r>
        <w:rPr>
          <w:sz w:val="24"/>
        </w:rPr>
        <w:t>AD103</w:t>
      </w:r>
      <w:r>
        <w:rPr>
          <w:rFonts w:hint="eastAsia"/>
          <w:sz w:val="24"/>
        </w:rPr>
        <w:t>/</w:t>
      </w:r>
      <w:r>
        <w:rPr>
          <w:sz w:val="24"/>
        </w:rPr>
        <w:t>11</w:t>
      </w:r>
      <w:r>
        <w:rPr>
          <w:rFonts w:hint="eastAsia"/>
          <w:sz w:val="24"/>
        </w:rPr>
        <w:t>，2</w:t>
      </w:r>
      <w:r>
        <w:rPr>
          <w:sz w:val="24"/>
        </w:rPr>
        <w:t>006）</w:t>
      </w:r>
      <w:r>
        <w:rPr>
          <w:rFonts w:hint="eastAsia"/>
          <w:sz w:val="24"/>
        </w:rPr>
        <w:t>，提出</w:t>
      </w:r>
      <w:r>
        <w:rPr>
          <w:sz w:val="24"/>
        </w:rPr>
        <w:t>了</w:t>
      </w:r>
      <w:r>
        <w:rPr>
          <w:rFonts w:hint="eastAsia"/>
          <w:sz w:val="24"/>
        </w:rPr>
        <w:t>核电厂开展定期安全评价的整体策略、相关单位的组织方式和各自职责、评价内容</w:t>
      </w:r>
      <w:r>
        <w:rPr>
          <w:sz w:val="24"/>
        </w:rPr>
        <w:t>和要</w:t>
      </w:r>
      <w:r>
        <w:rPr>
          <w:rFonts w:hint="eastAsia"/>
          <w:sz w:val="24"/>
        </w:rPr>
        <w:t>点</w:t>
      </w:r>
      <w:r>
        <w:rPr>
          <w:sz w:val="24"/>
        </w:rPr>
        <w:t>、</w:t>
      </w:r>
      <w:r>
        <w:rPr>
          <w:rFonts w:hint="eastAsia"/>
          <w:sz w:val="24"/>
        </w:rPr>
        <w:t>工作步骤</w:t>
      </w:r>
      <w:r>
        <w:rPr>
          <w:sz w:val="24"/>
        </w:rPr>
        <w:t>等</w:t>
      </w:r>
      <w:r>
        <w:rPr>
          <w:rFonts w:hint="eastAsia"/>
          <w:sz w:val="24"/>
        </w:rPr>
        <w:t>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上述</w:t>
      </w:r>
      <w:r>
        <w:rPr>
          <w:sz w:val="24"/>
        </w:rPr>
        <w:t>PSR相关法律法规</w:t>
      </w:r>
      <w:r>
        <w:rPr>
          <w:rFonts w:hint="eastAsia"/>
          <w:sz w:val="24"/>
        </w:rPr>
        <w:t>导则对</w:t>
      </w:r>
      <w:r>
        <w:rPr>
          <w:sz w:val="24"/>
        </w:rPr>
        <w:t>营运单位</w:t>
      </w:r>
      <w:r>
        <w:rPr>
          <w:rFonts w:hint="eastAsia"/>
          <w:sz w:val="24"/>
        </w:rPr>
        <w:t>开展定期安全评价工作的原则和要求作了</w:t>
      </w:r>
      <w:r>
        <w:rPr>
          <w:sz w:val="24"/>
        </w:rPr>
        <w:t>规定</w:t>
      </w:r>
      <w:r>
        <w:rPr>
          <w:rFonts w:hint="eastAsia"/>
          <w:sz w:val="24"/>
        </w:rPr>
        <w:t>，但并未给出可以指导评价工作具体实施的指南。针对</w:t>
      </w:r>
      <w:r>
        <w:rPr>
          <w:sz w:val="24"/>
        </w:rPr>
        <w:t>这一情况</w:t>
      </w:r>
      <w:r>
        <w:rPr>
          <w:rFonts w:hint="eastAsia"/>
          <w:sz w:val="24"/>
        </w:rPr>
        <w:t>，能源行业核电标准化技术委员会组织制定了</w:t>
      </w:r>
      <w:r>
        <w:rPr>
          <w:sz w:val="24"/>
        </w:rPr>
        <w:t>NB/T</w:t>
      </w:r>
      <w:r>
        <w:rPr>
          <w:rFonts w:hint="eastAsia"/>
          <w:sz w:val="24"/>
        </w:rPr>
        <w:t>系列标准</w:t>
      </w:r>
      <w:r>
        <w:rPr>
          <w:sz w:val="24"/>
        </w:rPr>
        <w:t xml:space="preserve"> </w:t>
      </w:r>
      <w:r>
        <w:rPr>
          <w:rFonts w:hint="eastAsia"/>
          <w:sz w:val="24"/>
        </w:rPr>
        <w:t>《核电厂定期安全审查指南》，</w:t>
      </w:r>
      <w:r>
        <w:rPr>
          <w:sz w:val="24"/>
        </w:rPr>
        <w:t>共15项</w:t>
      </w:r>
      <w:r>
        <w:rPr>
          <w:rFonts w:hint="eastAsia"/>
          <w:sz w:val="24"/>
        </w:rPr>
        <w:t>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由于</w:t>
      </w:r>
      <w:r>
        <w:rPr>
          <w:sz w:val="24"/>
        </w:rPr>
        <w:t>编制时间较为仓促</w:t>
      </w:r>
      <w:r>
        <w:rPr>
          <w:rFonts w:hint="eastAsia"/>
          <w:sz w:val="24"/>
        </w:rPr>
        <w:t>，《</w:t>
      </w:r>
      <w:r>
        <w:rPr>
          <w:sz w:val="24"/>
        </w:rPr>
        <w:t>核电厂定期安全审查指南》系列标准在内容上</w:t>
      </w:r>
      <w:r>
        <w:rPr>
          <w:rFonts w:hint="eastAsia"/>
          <w:sz w:val="24"/>
        </w:rPr>
        <w:t>还存在很</w:t>
      </w:r>
      <w:r>
        <w:rPr>
          <w:sz w:val="24"/>
        </w:rPr>
        <w:t>多</w:t>
      </w:r>
      <w:r>
        <w:rPr>
          <w:rFonts w:hint="eastAsia"/>
          <w:sz w:val="24"/>
        </w:rPr>
        <w:t>可以</w:t>
      </w:r>
      <w:r>
        <w:rPr>
          <w:sz w:val="24"/>
        </w:rPr>
        <w:t>进一步完善</w:t>
      </w:r>
      <w:r>
        <w:rPr>
          <w:rFonts w:hint="eastAsia"/>
          <w:sz w:val="24"/>
        </w:rPr>
        <w:t>的</w:t>
      </w:r>
      <w:r>
        <w:rPr>
          <w:sz w:val="24"/>
        </w:rPr>
        <w:t>地方</w:t>
      </w:r>
      <w:r>
        <w:rPr>
          <w:rFonts w:hint="eastAsia"/>
          <w:sz w:val="24"/>
        </w:rPr>
        <w:t>；此外</w:t>
      </w:r>
      <w:r>
        <w:rPr>
          <w:sz w:val="24"/>
        </w:rPr>
        <w:t>，</w:t>
      </w:r>
      <w:r>
        <w:rPr>
          <w:rFonts w:hint="eastAsia"/>
          <w:sz w:val="24"/>
        </w:rPr>
        <w:t>在</w:t>
      </w:r>
      <w:r>
        <w:rPr>
          <w:sz w:val="24"/>
        </w:rPr>
        <w:t>近年的PSR工作</w:t>
      </w:r>
      <w:r>
        <w:rPr>
          <w:rFonts w:hint="eastAsia"/>
          <w:sz w:val="24"/>
        </w:rPr>
        <w:t>中</w:t>
      </w:r>
      <w:r>
        <w:rPr>
          <w:sz w:val="24"/>
        </w:rPr>
        <w:t>，</w:t>
      </w:r>
      <w:r>
        <w:rPr>
          <w:rFonts w:hint="eastAsia"/>
          <w:sz w:val="24"/>
        </w:rPr>
        <w:t>由于</w:t>
      </w:r>
      <w:r>
        <w:rPr>
          <w:sz w:val="24"/>
        </w:rPr>
        <w:t>对法规</w:t>
      </w:r>
      <w:r>
        <w:rPr>
          <w:rFonts w:hint="eastAsia"/>
          <w:sz w:val="24"/>
        </w:rPr>
        <w:t>、</w:t>
      </w:r>
      <w:r>
        <w:rPr>
          <w:sz w:val="24"/>
        </w:rPr>
        <w:t>标准认识理解的提升，以及不断的</w:t>
      </w:r>
      <w:r>
        <w:rPr>
          <w:rFonts w:hint="eastAsia"/>
          <w:sz w:val="24"/>
        </w:rPr>
        <w:t>探索</w:t>
      </w:r>
      <w:r>
        <w:rPr>
          <w:sz w:val="24"/>
        </w:rPr>
        <w:t>实践，</w:t>
      </w:r>
      <w:r>
        <w:rPr>
          <w:rFonts w:hint="eastAsia"/>
          <w:sz w:val="24"/>
        </w:rPr>
        <w:t>国内</w:t>
      </w:r>
      <w:r>
        <w:rPr>
          <w:sz w:val="24"/>
        </w:rPr>
        <w:t>各PSR项目团队</w:t>
      </w:r>
      <w:r>
        <w:rPr>
          <w:rFonts w:hint="eastAsia"/>
          <w:sz w:val="24"/>
        </w:rPr>
        <w:t>还摸索出了很多卓有成效的创新做法。鉴于此，国家能源局在2</w:t>
      </w:r>
      <w:r>
        <w:rPr>
          <w:sz w:val="24"/>
        </w:rPr>
        <w:t>021</w:t>
      </w:r>
      <w:r>
        <w:rPr>
          <w:rFonts w:hint="eastAsia"/>
          <w:sz w:val="24"/>
        </w:rPr>
        <w:t>年启动了《核电厂定期安全审查指南》系列标准的修订工作，除根据PSR实施反馈对原</w:t>
      </w:r>
      <w:r>
        <w:rPr>
          <w:sz w:val="24"/>
        </w:rPr>
        <w:t>标准中</w:t>
      </w:r>
      <w:r>
        <w:rPr>
          <w:rFonts w:hint="eastAsia"/>
          <w:sz w:val="24"/>
        </w:rPr>
        <w:t>内容</w:t>
      </w:r>
      <w:r>
        <w:rPr>
          <w:sz w:val="24"/>
        </w:rPr>
        <w:t>进行</w:t>
      </w:r>
      <w:r>
        <w:rPr>
          <w:rFonts w:hint="eastAsia"/>
          <w:sz w:val="24"/>
        </w:rPr>
        <w:t>调整、细化</w:t>
      </w:r>
      <w:r>
        <w:rPr>
          <w:sz w:val="24"/>
        </w:rPr>
        <w:t>外，还将</w:t>
      </w:r>
      <w:r>
        <w:rPr>
          <w:rFonts w:hint="eastAsia"/>
          <w:sz w:val="24"/>
        </w:rPr>
        <w:t>纳入行业近年来开创的</w:t>
      </w:r>
      <w:r>
        <w:rPr>
          <w:sz w:val="24"/>
        </w:rPr>
        <w:t>行之有效的</w:t>
      </w:r>
      <w:r>
        <w:rPr>
          <w:rFonts w:hint="eastAsia"/>
          <w:sz w:val="24"/>
        </w:rPr>
        <w:t>PSR</w:t>
      </w:r>
      <w:r>
        <w:rPr>
          <w:sz w:val="24"/>
        </w:rPr>
        <w:t>新</w:t>
      </w:r>
      <w:r>
        <w:rPr>
          <w:rFonts w:hint="eastAsia"/>
          <w:sz w:val="24"/>
        </w:rPr>
        <w:t>方法、</w:t>
      </w:r>
      <w:r>
        <w:rPr>
          <w:sz w:val="24"/>
        </w:rPr>
        <w:t>新做法</w:t>
      </w:r>
      <w:r>
        <w:rPr>
          <w:rFonts w:hint="eastAsia"/>
          <w:sz w:val="24"/>
        </w:rPr>
        <w:t>，从而为国内PSR工作的开展提供更为有效的指导</w:t>
      </w:r>
      <w:r>
        <w:rPr>
          <w:sz w:val="24"/>
        </w:rPr>
        <w:t>。</w:t>
      </w:r>
    </w:p>
    <w:p>
      <w:pPr>
        <w:spacing w:line="360" w:lineRule="auto"/>
        <w:rPr>
          <w:rFonts w:hint="eastAsia" w:eastAsia="黑体"/>
          <w:sz w:val="24"/>
        </w:rPr>
      </w:pPr>
      <w:r>
        <w:rPr>
          <w:rFonts w:hint="eastAsia" w:eastAsia="黑体"/>
          <w:sz w:val="24"/>
        </w:rPr>
        <w:t>六、实施标准的要求和措施的建议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 w:ascii="宋体" w:hAnsi="宋体"/>
          <w:sz w:val="24"/>
        </w:rPr>
        <w:t>无</w:t>
      </w:r>
    </w:p>
    <w:p>
      <w:pPr>
        <w:spacing w:line="360" w:lineRule="auto"/>
        <w:rPr>
          <w:rFonts w:hint="eastAsia" w:eastAsia="黑体"/>
          <w:sz w:val="24"/>
        </w:rPr>
      </w:pPr>
      <w:r>
        <w:rPr>
          <w:rFonts w:hint="eastAsia" w:eastAsia="黑体"/>
          <w:sz w:val="24"/>
        </w:rPr>
        <w:t>七、参考资料</w:t>
      </w:r>
    </w:p>
    <w:p>
      <w:pPr>
        <w:spacing w:line="300" w:lineRule="auto"/>
        <w:ind w:firstLine="540"/>
        <w:rPr>
          <w:rFonts w:hint="eastAsia"/>
          <w:sz w:val="24"/>
        </w:rPr>
      </w:pPr>
      <w:r>
        <w:rPr>
          <w:sz w:val="24"/>
        </w:rPr>
        <w:t>[1]</w:t>
      </w:r>
      <w:r>
        <w:rPr>
          <w:rFonts w:hint="eastAsia"/>
          <w:sz w:val="24"/>
        </w:rPr>
        <w:t xml:space="preserve">  GB/T </w:t>
      </w:r>
      <w:r>
        <w:rPr>
          <w:sz w:val="24"/>
        </w:rPr>
        <w:t>1</w:t>
      </w:r>
      <w:r>
        <w:rPr>
          <w:rFonts w:hint="eastAsia"/>
          <w:sz w:val="24"/>
        </w:rPr>
        <w:t>.</w:t>
      </w:r>
      <w:r>
        <w:rPr>
          <w:sz w:val="24"/>
        </w:rPr>
        <w:t>1</w:t>
      </w:r>
      <w:r>
        <w:rPr>
          <w:rFonts w:hint="eastAsia"/>
          <w:sz w:val="24"/>
        </w:rPr>
        <w:t>-</w:t>
      </w:r>
      <w:r>
        <w:rPr>
          <w:sz w:val="24"/>
        </w:rPr>
        <w:t xml:space="preserve">2020 </w:t>
      </w:r>
      <w:r>
        <w:rPr>
          <w:rFonts w:hint="eastAsia"/>
          <w:sz w:val="24"/>
        </w:rPr>
        <w:t>标准化工作导则 第1部分：标准化文件的结构和起草规则</w:t>
      </w:r>
    </w:p>
    <w:p>
      <w:pPr>
        <w:spacing w:line="300" w:lineRule="auto"/>
        <w:ind w:firstLine="540"/>
        <w:rPr>
          <w:sz w:val="24"/>
        </w:rPr>
      </w:pPr>
      <w:r>
        <w:rPr>
          <w:rFonts w:hint="eastAsia"/>
          <w:sz w:val="24"/>
        </w:rPr>
        <w:t>[2]  HAF</w:t>
      </w:r>
      <w:r>
        <w:rPr>
          <w:sz w:val="24"/>
        </w:rPr>
        <w:t xml:space="preserve"> 103</w:t>
      </w:r>
      <w:r>
        <w:rPr>
          <w:rFonts w:hint="eastAsia"/>
          <w:sz w:val="24"/>
        </w:rPr>
        <w:t>-</w:t>
      </w:r>
      <w:r>
        <w:rPr>
          <w:sz w:val="24"/>
        </w:rPr>
        <w:t xml:space="preserve">2020 </w:t>
      </w:r>
      <w:r>
        <w:rPr>
          <w:rFonts w:hint="eastAsia"/>
          <w:sz w:val="24"/>
        </w:rPr>
        <w:t>核动力厂调试和运行安全规定</w:t>
      </w:r>
    </w:p>
    <w:p>
      <w:pPr>
        <w:spacing w:line="300" w:lineRule="auto"/>
        <w:ind w:firstLine="540"/>
        <w:rPr>
          <w:sz w:val="24"/>
        </w:rPr>
      </w:pPr>
      <w:r>
        <w:rPr>
          <w:rFonts w:hint="eastAsia"/>
          <w:sz w:val="24"/>
        </w:rPr>
        <w:t>[</w:t>
      </w:r>
      <w:r>
        <w:rPr>
          <w:sz w:val="24"/>
        </w:rPr>
        <w:t>3</w:t>
      </w:r>
      <w:r>
        <w:rPr>
          <w:rFonts w:hint="eastAsia"/>
          <w:sz w:val="24"/>
        </w:rPr>
        <w:t>]</w:t>
      </w:r>
      <w:r>
        <w:rPr>
          <w:sz w:val="24"/>
        </w:rPr>
        <w:t xml:space="preserve">  </w:t>
      </w:r>
      <w:r>
        <w:rPr>
          <w:rFonts w:hint="eastAsia"/>
          <w:sz w:val="24"/>
        </w:rPr>
        <w:t>HAD</w:t>
      </w:r>
      <w:r>
        <w:rPr>
          <w:sz w:val="24"/>
        </w:rPr>
        <w:t>103</w:t>
      </w:r>
      <w:r>
        <w:rPr>
          <w:rFonts w:hint="eastAsia"/>
          <w:sz w:val="24"/>
        </w:rPr>
        <w:t>/</w:t>
      </w:r>
      <w:r>
        <w:rPr>
          <w:sz w:val="24"/>
        </w:rPr>
        <w:t xml:space="preserve">11-2006 </w:t>
      </w:r>
      <w:r>
        <w:rPr>
          <w:rFonts w:hint="eastAsia"/>
          <w:sz w:val="24"/>
        </w:rPr>
        <w:t>核动力厂定期安全审查</w:t>
      </w:r>
    </w:p>
    <w:p>
      <w:pPr>
        <w:spacing w:line="300" w:lineRule="auto"/>
        <w:ind w:firstLine="540"/>
        <w:rPr>
          <w:rFonts w:hint="eastAsia"/>
          <w:sz w:val="24"/>
        </w:rPr>
      </w:pPr>
      <w:r>
        <w:rPr>
          <w:rFonts w:hint="eastAsia"/>
          <w:sz w:val="24"/>
        </w:rPr>
        <w:t>[</w:t>
      </w:r>
      <w:r>
        <w:rPr>
          <w:sz w:val="24"/>
        </w:rPr>
        <w:t>4</w:t>
      </w:r>
      <w:r>
        <w:rPr>
          <w:rFonts w:hint="eastAsia"/>
          <w:sz w:val="24"/>
        </w:rPr>
        <w:t>]</w:t>
      </w:r>
      <w:r>
        <w:rPr>
          <w:sz w:val="24"/>
        </w:rPr>
        <w:t xml:space="preserve">  IAEA SSG-25 Periodic Safety Review for Nuclear Power Plants</w:t>
      </w:r>
    </w:p>
    <w:p>
      <w:pPr>
        <w:spacing w:line="300" w:lineRule="auto"/>
        <w:rPr>
          <w:rFonts w:ascii="黑体" w:hAnsi="宋体" w:eastAsia="黑体"/>
          <w:sz w:val="24"/>
        </w:rPr>
      </w:pPr>
      <w:r>
        <w:rPr>
          <w:rFonts w:hint="eastAsia" w:ascii="黑体" w:hAnsi="宋体" w:eastAsia="黑体"/>
          <w:sz w:val="24"/>
        </w:rPr>
        <w:t>八、其他需要说明的问题</w:t>
      </w:r>
    </w:p>
    <w:p>
      <w:pPr>
        <w:spacing w:line="300" w:lineRule="auto"/>
        <w:rPr>
          <w:rFonts w:hint="eastAsia" w:ascii="黑体" w:eastAsia="黑体"/>
          <w:sz w:val="24"/>
        </w:rPr>
      </w:pPr>
      <w:r>
        <w:rPr>
          <w:rFonts w:hint="eastAsia" w:ascii="黑体" w:hAnsi="宋体" w:eastAsia="黑体"/>
          <w:sz w:val="24"/>
        </w:rPr>
        <w:t>　　无</w:t>
      </w:r>
    </w:p>
    <w:sectPr>
      <w:headerReference r:id="rId3" w:type="default"/>
      <w:footerReference r:id="rId4" w:type="default"/>
      <w:footerReference r:id="rId5" w:type="even"/>
      <w:type w:val="continuous"/>
      <w:pgSz w:w="11906" w:h="16838"/>
      <w:pgMar w:top="1440" w:right="1797" w:bottom="1440" w:left="1797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center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separate"/>
    </w:r>
    <w:r>
      <w:rPr>
        <w:rStyle w:val="12"/>
        <w:lang/>
      </w:rPr>
      <w:t>3</w:t>
    </w:r>
    <w:r>
      <w:rPr>
        <w:rStyle w:val="12"/>
      </w:rPr>
      <w:fldChar w:fldCharType="end"/>
    </w:r>
  </w:p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center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end"/>
    </w:r>
  </w:p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DB6A8E"/>
    <w:multiLevelType w:val="multilevel"/>
    <w:tmpl w:val="08DB6A8E"/>
    <w:lvl w:ilvl="0" w:tentative="0">
      <w:start w:val="1"/>
      <w:numFmt w:val="japaneseCounting"/>
      <w:lvlText w:val="%1、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1430189B"/>
    <w:multiLevelType w:val="multilevel"/>
    <w:tmpl w:val="1430189B"/>
    <w:lvl w:ilvl="0" w:tentative="0">
      <w:start w:val="1"/>
      <w:numFmt w:val="bullet"/>
      <w:lvlText w:val="−"/>
      <w:lvlJc w:val="left"/>
      <w:pPr>
        <w:ind w:left="840" w:hanging="420"/>
      </w:pPr>
      <w:rPr>
        <w:rFonts w:hint="default" w:ascii="Verdana" w:hAnsi="Verdana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1CC56B51"/>
    <w:multiLevelType w:val="multilevel"/>
    <w:tmpl w:val="1CC56B51"/>
    <w:lvl w:ilvl="0" w:tentative="0">
      <w:start w:val="1"/>
      <w:numFmt w:val="bullet"/>
      <w:lvlText w:val="-"/>
      <w:lvlJc w:val="left"/>
      <w:pPr>
        <w:ind w:left="900" w:hanging="420"/>
      </w:pPr>
      <w:rPr>
        <w:rFonts w:hint="eastAsia" w:ascii="宋体" w:hAnsi="宋体" w:eastAsia="宋体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3">
    <w:nsid w:val="5A830FA6"/>
    <w:multiLevelType w:val="multilevel"/>
    <w:tmpl w:val="5A830FA6"/>
    <w:lvl w:ilvl="0" w:tentative="0">
      <w:start w:val="1"/>
      <w:numFmt w:val="bullet"/>
      <w:lvlText w:val="−"/>
      <w:lvlJc w:val="left"/>
      <w:pPr>
        <w:ind w:left="900" w:hanging="420"/>
      </w:pPr>
      <w:rPr>
        <w:rFonts w:hint="default" w:ascii="Verdana" w:hAnsi="Verdana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4">
    <w:nsid w:val="6F990B67"/>
    <w:multiLevelType w:val="multilevel"/>
    <w:tmpl w:val="6F990B67"/>
    <w:lvl w:ilvl="0" w:tentative="0">
      <w:start w:val="1"/>
      <w:numFmt w:val="bullet"/>
      <w:lvlText w:val="-"/>
      <w:lvlJc w:val="left"/>
      <w:pPr>
        <w:ind w:left="840" w:hanging="360"/>
      </w:pPr>
      <w:rPr>
        <w:rFonts w:hint="eastAsia" w:ascii="宋体" w:hAnsi="宋体" w:eastAsia="宋体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79F502B9"/>
    <w:multiLevelType w:val="multilevel"/>
    <w:tmpl w:val="79F502B9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823"/>
    <w:rsid w:val="00000439"/>
    <w:rsid w:val="000022CD"/>
    <w:rsid w:val="000145D9"/>
    <w:rsid w:val="00015D49"/>
    <w:rsid w:val="00016D64"/>
    <w:rsid w:val="000174A9"/>
    <w:rsid w:val="00026C1C"/>
    <w:rsid w:val="00030641"/>
    <w:rsid w:val="00033D0E"/>
    <w:rsid w:val="000414A7"/>
    <w:rsid w:val="00077EAA"/>
    <w:rsid w:val="00080E64"/>
    <w:rsid w:val="0009018E"/>
    <w:rsid w:val="00096803"/>
    <w:rsid w:val="000B39F1"/>
    <w:rsid w:val="000D26D6"/>
    <w:rsid w:val="000F22A2"/>
    <w:rsid w:val="000F6A9B"/>
    <w:rsid w:val="000F755F"/>
    <w:rsid w:val="001140FB"/>
    <w:rsid w:val="001313AD"/>
    <w:rsid w:val="00141CE3"/>
    <w:rsid w:val="00150CF1"/>
    <w:rsid w:val="00170B4B"/>
    <w:rsid w:val="00174AA7"/>
    <w:rsid w:val="00175EF3"/>
    <w:rsid w:val="00184212"/>
    <w:rsid w:val="001911B8"/>
    <w:rsid w:val="0019444C"/>
    <w:rsid w:val="001A388C"/>
    <w:rsid w:val="001A723F"/>
    <w:rsid w:val="001B5893"/>
    <w:rsid w:val="001C7309"/>
    <w:rsid w:val="001E5E3B"/>
    <w:rsid w:val="001E61E6"/>
    <w:rsid w:val="001E6EB7"/>
    <w:rsid w:val="001F3D53"/>
    <w:rsid w:val="001F3DE8"/>
    <w:rsid w:val="001F6E1E"/>
    <w:rsid w:val="001F6F96"/>
    <w:rsid w:val="00205BDB"/>
    <w:rsid w:val="00245178"/>
    <w:rsid w:val="002554DD"/>
    <w:rsid w:val="002574F8"/>
    <w:rsid w:val="00266556"/>
    <w:rsid w:val="002675BF"/>
    <w:rsid w:val="00281415"/>
    <w:rsid w:val="00282BD7"/>
    <w:rsid w:val="0028378D"/>
    <w:rsid w:val="00294716"/>
    <w:rsid w:val="002A2F09"/>
    <w:rsid w:val="002A611B"/>
    <w:rsid w:val="002A7242"/>
    <w:rsid w:val="002A7348"/>
    <w:rsid w:val="002C58CE"/>
    <w:rsid w:val="002D0DB3"/>
    <w:rsid w:val="002D1779"/>
    <w:rsid w:val="002F45DE"/>
    <w:rsid w:val="003132E8"/>
    <w:rsid w:val="0033393B"/>
    <w:rsid w:val="00340DF4"/>
    <w:rsid w:val="003545C5"/>
    <w:rsid w:val="00377EAE"/>
    <w:rsid w:val="00391ABD"/>
    <w:rsid w:val="003A354C"/>
    <w:rsid w:val="003E5D16"/>
    <w:rsid w:val="003F4DC9"/>
    <w:rsid w:val="0041137F"/>
    <w:rsid w:val="00441D85"/>
    <w:rsid w:val="00447F8C"/>
    <w:rsid w:val="00450804"/>
    <w:rsid w:val="00455510"/>
    <w:rsid w:val="004611C5"/>
    <w:rsid w:val="00463314"/>
    <w:rsid w:val="00463886"/>
    <w:rsid w:val="00474C27"/>
    <w:rsid w:val="004927CB"/>
    <w:rsid w:val="004B3A21"/>
    <w:rsid w:val="004D0B14"/>
    <w:rsid w:val="00504736"/>
    <w:rsid w:val="005056C4"/>
    <w:rsid w:val="00523875"/>
    <w:rsid w:val="005264D2"/>
    <w:rsid w:val="00540712"/>
    <w:rsid w:val="00572671"/>
    <w:rsid w:val="005A4E6F"/>
    <w:rsid w:val="005B726F"/>
    <w:rsid w:val="005E3ED8"/>
    <w:rsid w:val="005E78D1"/>
    <w:rsid w:val="005F7343"/>
    <w:rsid w:val="00613E0A"/>
    <w:rsid w:val="006169CC"/>
    <w:rsid w:val="006345F7"/>
    <w:rsid w:val="00644DAE"/>
    <w:rsid w:val="00663D37"/>
    <w:rsid w:val="0067169B"/>
    <w:rsid w:val="00681E46"/>
    <w:rsid w:val="00683B42"/>
    <w:rsid w:val="006910FE"/>
    <w:rsid w:val="00692A0C"/>
    <w:rsid w:val="006A0557"/>
    <w:rsid w:val="006A2B9D"/>
    <w:rsid w:val="006B5692"/>
    <w:rsid w:val="006D069D"/>
    <w:rsid w:val="006D4BBA"/>
    <w:rsid w:val="006E4953"/>
    <w:rsid w:val="006E6612"/>
    <w:rsid w:val="006F283E"/>
    <w:rsid w:val="006F487C"/>
    <w:rsid w:val="006F4F79"/>
    <w:rsid w:val="006F7C31"/>
    <w:rsid w:val="007100D1"/>
    <w:rsid w:val="007213A4"/>
    <w:rsid w:val="0072573B"/>
    <w:rsid w:val="007428D2"/>
    <w:rsid w:val="00774660"/>
    <w:rsid w:val="0078121D"/>
    <w:rsid w:val="007818E1"/>
    <w:rsid w:val="007873D7"/>
    <w:rsid w:val="00787CBD"/>
    <w:rsid w:val="00791B3A"/>
    <w:rsid w:val="007A1525"/>
    <w:rsid w:val="007A36A3"/>
    <w:rsid w:val="007A6397"/>
    <w:rsid w:val="007C29DD"/>
    <w:rsid w:val="007C3A8C"/>
    <w:rsid w:val="007D0B96"/>
    <w:rsid w:val="007D0F56"/>
    <w:rsid w:val="007D10B5"/>
    <w:rsid w:val="007D27E3"/>
    <w:rsid w:val="007D75C7"/>
    <w:rsid w:val="007E1D5B"/>
    <w:rsid w:val="007F720F"/>
    <w:rsid w:val="00802D20"/>
    <w:rsid w:val="00814726"/>
    <w:rsid w:val="008321C7"/>
    <w:rsid w:val="0085071F"/>
    <w:rsid w:val="00854474"/>
    <w:rsid w:val="008847B1"/>
    <w:rsid w:val="008924F5"/>
    <w:rsid w:val="00895DEB"/>
    <w:rsid w:val="00897554"/>
    <w:rsid w:val="008A1B7C"/>
    <w:rsid w:val="008B43A6"/>
    <w:rsid w:val="008B7BD2"/>
    <w:rsid w:val="008E4128"/>
    <w:rsid w:val="008E4CD8"/>
    <w:rsid w:val="008E74B2"/>
    <w:rsid w:val="008F7E4C"/>
    <w:rsid w:val="0090274D"/>
    <w:rsid w:val="00903247"/>
    <w:rsid w:val="00911EDF"/>
    <w:rsid w:val="00916752"/>
    <w:rsid w:val="00933C7E"/>
    <w:rsid w:val="00966431"/>
    <w:rsid w:val="00970980"/>
    <w:rsid w:val="009A5FDF"/>
    <w:rsid w:val="009B0D40"/>
    <w:rsid w:val="009B1535"/>
    <w:rsid w:val="009B4EF9"/>
    <w:rsid w:val="009C35F3"/>
    <w:rsid w:val="009D667E"/>
    <w:rsid w:val="009D7C60"/>
    <w:rsid w:val="009E0417"/>
    <w:rsid w:val="009E7AEB"/>
    <w:rsid w:val="009F1684"/>
    <w:rsid w:val="009F3609"/>
    <w:rsid w:val="009F4190"/>
    <w:rsid w:val="00A07085"/>
    <w:rsid w:val="00A20884"/>
    <w:rsid w:val="00A2442E"/>
    <w:rsid w:val="00A37687"/>
    <w:rsid w:val="00A40A96"/>
    <w:rsid w:val="00A469D9"/>
    <w:rsid w:val="00A56400"/>
    <w:rsid w:val="00A602E4"/>
    <w:rsid w:val="00A644C9"/>
    <w:rsid w:val="00A65040"/>
    <w:rsid w:val="00A70891"/>
    <w:rsid w:val="00A756F6"/>
    <w:rsid w:val="00A77443"/>
    <w:rsid w:val="00A819D5"/>
    <w:rsid w:val="00A82A84"/>
    <w:rsid w:val="00A83F11"/>
    <w:rsid w:val="00A9220B"/>
    <w:rsid w:val="00AC290F"/>
    <w:rsid w:val="00AC6301"/>
    <w:rsid w:val="00AD163A"/>
    <w:rsid w:val="00AD5DCC"/>
    <w:rsid w:val="00AE42AA"/>
    <w:rsid w:val="00B00169"/>
    <w:rsid w:val="00B02DA6"/>
    <w:rsid w:val="00B057B1"/>
    <w:rsid w:val="00B066C2"/>
    <w:rsid w:val="00B310A0"/>
    <w:rsid w:val="00B3266A"/>
    <w:rsid w:val="00B40C45"/>
    <w:rsid w:val="00B4240D"/>
    <w:rsid w:val="00B4473B"/>
    <w:rsid w:val="00B70EF4"/>
    <w:rsid w:val="00B73CF3"/>
    <w:rsid w:val="00B825F8"/>
    <w:rsid w:val="00B868E4"/>
    <w:rsid w:val="00B9631D"/>
    <w:rsid w:val="00B978CA"/>
    <w:rsid w:val="00BA1C49"/>
    <w:rsid w:val="00BB00F7"/>
    <w:rsid w:val="00BC5F7B"/>
    <w:rsid w:val="00BD0BCA"/>
    <w:rsid w:val="00BE1CC4"/>
    <w:rsid w:val="00BE7823"/>
    <w:rsid w:val="00BF73CE"/>
    <w:rsid w:val="00C22AF2"/>
    <w:rsid w:val="00C343CE"/>
    <w:rsid w:val="00C35BD0"/>
    <w:rsid w:val="00C43953"/>
    <w:rsid w:val="00C43D3C"/>
    <w:rsid w:val="00C753CD"/>
    <w:rsid w:val="00C84B0D"/>
    <w:rsid w:val="00C858D0"/>
    <w:rsid w:val="00CA55CF"/>
    <w:rsid w:val="00CD0CE4"/>
    <w:rsid w:val="00CD3EA2"/>
    <w:rsid w:val="00CF182A"/>
    <w:rsid w:val="00CF7F28"/>
    <w:rsid w:val="00D170C1"/>
    <w:rsid w:val="00D42380"/>
    <w:rsid w:val="00D5096B"/>
    <w:rsid w:val="00D51F87"/>
    <w:rsid w:val="00D616B3"/>
    <w:rsid w:val="00D64667"/>
    <w:rsid w:val="00D70A07"/>
    <w:rsid w:val="00D75AAD"/>
    <w:rsid w:val="00D8310B"/>
    <w:rsid w:val="00D87CC2"/>
    <w:rsid w:val="00D907B9"/>
    <w:rsid w:val="00D910FD"/>
    <w:rsid w:val="00D94A51"/>
    <w:rsid w:val="00DA5D5B"/>
    <w:rsid w:val="00DD30AB"/>
    <w:rsid w:val="00DD40C7"/>
    <w:rsid w:val="00DD59BA"/>
    <w:rsid w:val="00DE02F0"/>
    <w:rsid w:val="00DE06C8"/>
    <w:rsid w:val="00DE0AC0"/>
    <w:rsid w:val="00DE19C3"/>
    <w:rsid w:val="00DE5F29"/>
    <w:rsid w:val="00DE7EC7"/>
    <w:rsid w:val="00DF50E7"/>
    <w:rsid w:val="00E30AD4"/>
    <w:rsid w:val="00E4219C"/>
    <w:rsid w:val="00E51CF9"/>
    <w:rsid w:val="00E637E9"/>
    <w:rsid w:val="00E71D07"/>
    <w:rsid w:val="00E77CE2"/>
    <w:rsid w:val="00E85832"/>
    <w:rsid w:val="00E9259F"/>
    <w:rsid w:val="00E97471"/>
    <w:rsid w:val="00EB4071"/>
    <w:rsid w:val="00EC6948"/>
    <w:rsid w:val="00ED7A32"/>
    <w:rsid w:val="00ED7EB0"/>
    <w:rsid w:val="00EF4725"/>
    <w:rsid w:val="00EF5098"/>
    <w:rsid w:val="00F11E91"/>
    <w:rsid w:val="00F1264A"/>
    <w:rsid w:val="00F16E45"/>
    <w:rsid w:val="00F25289"/>
    <w:rsid w:val="00F3427B"/>
    <w:rsid w:val="00F56EA1"/>
    <w:rsid w:val="00F572F5"/>
    <w:rsid w:val="00F82814"/>
    <w:rsid w:val="00F9177C"/>
    <w:rsid w:val="00FA640F"/>
    <w:rsid w:val="00FC50AD"/>
    <w:rsid w:val="00FD07AE"/>
    <w:rsid w:val="00FE1EC0"/>
    <w:rsid w:val="00FF5F46"/>
    <w:rsid w:val="51127C5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1">
    <w:name w:val="Default Paragraph Font"/>
    <w:semiHidden/>
    <w:uiPriority w:val="0"/>
  </w:style>
  <w:style w:type="table" w:default="1" w:styleId="9">
    <w:name w:val="Normal Table"/>
    <w:semiHidden/>
    <w:uiPriority w:val="0"/>
    <w:tblPr>
      <w:tblStyle w:val="9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3">
    <w:name w:val="annotation text"/>
    <w:basedOn w:val="1"/>
    <w:semiHidden/>
    <w:uiPriority w:val="0"/>
    <w:pPr>
      <w:jc w:val="left"/>
    </w:pPr>
  </w:style>
  <w:style w:type="paragraph" w:styleId="4">
    <w:name w:val="Body Text"/>
    <w:basedOn w:val="1"/>
    <w:uiPriority w:val="0"/>
    <w:pPr>
      <w:spacing w:line="360" w:lineRule="auto"/>
    </w:pPr>
    <w:rPr>
      <w:sz w:val="24"/>
    </w:rPr>
  </w:style>
  <w:style w:type="paragraph" w:styleId="5">
    <w:name w:val="Body Text Indent"/>
    <w:basedOn w:val="1"/>
    <w:uiPriority w:val="0"/>
    <w:pPr>
      <w:spacing w:line="360" w:lineRule="auto"/>
      <w:ind w:firstLine="480" w:firstLineChars="200"/>
    </w:pPr>
    <w:rPr>
      <w:rFonts w:ascii="宋体" w:hAnsi="宋体"/>
      <w:sz w:val="24"/>
    </w:rPr>
  </w:style>
  <w:style w:type="paragraph" w:styleId="6">
    <w:name w:val="Balloon Text"/>
    <w:basedOn w:val="1"/>
    <w:semiHidden/>
    <w:uiPriority w:val="0"/>
    <w:rPr>
      <w:sz w:val="18"/>
      <w:szCs w:val="18"/>
    </w:r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0">
    <w:name w:val="Table Grid"/>
    <w:basedOn w:val="9"/>
    <w:uiPriority w:val="0"/>
    <w:rPr>
      <w:rFonts w:ascii="宋体"/>
      <w:sz w:val="18"/>
      <w:szCs w:val="18"/>
    </w:rPr>
    <w:tblPr>
      <w:tblStyle w:val="9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2">
    <w:name w:val="page number"/>
    <w:basedOn w:val="11"/>
    <w:uiPriority w:val="0"/>
  </w:style>
  <w:style w:type="paragraph" w:customStyle="1" w:styleId="13">
    <w:name w:val="标准文件_段"/>
    <w:uiPriority w:val="0"/>
    <w:pPr>
      <w:autoSpaceDE w:val="0"/>
      <w:autoSpaceDN w:val="0"/>
      <w:adjustRightInd w:val="0"/>
      <w:snapToGrid w:val="0"/>
      <w:spacing w:line="276" w:lineRule="auto"/>
      <w:ind w:left="-105" w:leftChars="-50" w:right="-105" w:rightChars="-50" w:firstLine="107" w:firstLineChars="50"/>
      <w:jc w:val="both"/>
    </w:pPr>
    <w:rPr>
      <w:spacing w:val="2"/>
      <w:sz w:val="21"/>
      <w:lang w:val="en-US" w:eastAsia="zh-CN" w:bidi="ar-SA"/>
    </w:rPr>
  </w:style>
  <w:style w:type="paragraph" w:customStyle="1" w:styleId="14">
    <w:name w:val="标准文件_封面标准英文名称"/>
    <w:basedOn w:val="1"/>
    <w:uiPriority w:val="0"/>
    <w:pPr>
      <w:adjustRightInd w:val="0"/>
      <w:spacing w:line="440" w:lineRule="exact"/>
      <w:jc w:val="center"/>
    </w:pPr>
    <w:rPr>
      <w:rFonts w:eastAsia="黑体"/>
      <w:b/>
      <w:sz w:val="28"/>
      <w:szCs w:val="20"/>
    </w:rPr>
  </w:style>
  <w:style w:type="paragraph" w:customStyle="1" w:styleId="15">
    <w:name w:val="段"/>
    <w:link w:val="16"/>
    <w:uiPriority w:val="0"/>
    <w:pPr>
      <w:tabs>
        <w:tab w:val="center" w:pos="4201"/>
        <w:tab w:val="right" w:leader="dot" w:pos="9298"/>
      </w:tabs>
      <w:autoSpaceDE w:val="0"/>
      <w:autoSpaceDN w:val="0"/>
      <w:ind w:firstLine="420" w:firstLineChars="200"/>
      <w:jc w:val="both"/>
    </w:pPr>
    <w:rPr>
      <w:rFonts w:ascii="宋体"/>
      <w:sz w:val="21"/>
      <w:lang w:val="en-US" w:eastAsia="zh-CN" w:bidi="ar-SA"/>
    </w:rPr>
  </w:style>
  <w:style w:type="character" w:customStyle="1" w:styleId="16">
    <w:name w:val="段 Char"/>
    <w:link w:val="15"/>
    <w:uiPriority w:val="0"/>
    <w:rPr>
      <w:rFonts w:ascii="宋体"/>
      <w:sz w:val="21"/>
      <w:lang w:val="en-US" w:eastAsia="zh-CN" w:bidi="ar-SA"/>
    </w:rPr>
  </w:style>
  <w:style w:type="paragraph" w:customStyle="1" w:styleId="17">
    <w:name w:val="段 Char Char Char"/>
    <w:link w:val="18"/>
    <w:uiPriority w:val="0"/>
    <w:pPr>
      <w:tabs>
        <w:tab w:val="center" w:pos="4201"/>
        <w:tab w:val="right" w:leader="dot" w:pos="9298"/>
      </w:tabs>
      <w:autoSpaceDE w:val="0"/>
      <w:autoSpaceDN w:val="0"/>
      <w:ind w:firstLine="420" w:firstLineChars="200"/>
      <w:jc w:val="both"/>
    </w:pPr>
    <w:rPr>
      <w:rFonts w:ascii="宋体"/>
      <w:sz w:val="21"/>
      <w:lang w:val="en-US" w:eastAsia="zh-CN" w:bidi="ar-SA"/>
    </w:rPr>
  </w:style>
  <w:style w:type="character" w:customStyle="1" w:styleId="18">
    <w:name w:val="段 Char Char Char Char"/>
    <w:link w:val="17"/>
    <w:uiPriority w:val="0"/>
    <w:rPr>
      <w:rFonts w:ascii="宋体"/>
      <w:sz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&#22269;&#38450;&#31185;&#25216;&#24037;&#19994;&#26631;&#20934;&#25991;&#20214;&#32534;&#36753;&#22120;\&#27169;&#26495;\&#32534;&#21046;&#35828;&#26126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编制说明</Template>
  <Company>cape</Company>
  <Pages>6</Pages>
  <Words>542</Words>
  <Characters>3095</Characters>
  <Lines>25</Lines>
  <Paragraphs>7</Paragraphs>
  <TotalTime>0</TotalTime>
  <ScaleCrop>false</ScaleCrop>
  <LinksUpToDate>false</LinksUpToDate>
  <CharactersWithSpaces>3630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2023-03-01T06:26:00Z</dcterms:created>
  <dc:creator>MC SYSTEM</dc:creator>
  <cp:lastModifiedBy>lqw</cp:lastModifiedBy>
  <cp:lastPrinted>2010-09-20T00:37:00Z</cp:lastPrinted>
  <dcterms:modified xsi:type="dcterms:W3CDTF">2023-09-28T06:27:57Z</dcterms:modified>
  <dc:title>（填写标准名称）</dc:title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DDA733C9E9F4476A90EBCE042810E84F_13</vt:lpwstr>
  </property>
</Properties>
</file>