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3803C" w14:textId="48D1930E" w:rsidR="00734A2F" w:rsidRPr="00475975" w:rsidRDefault="00734A2F" w:rsidP="00734A2F">
      <w:pPr>
        <w:pStyle w:val="Heading1"/>
        <w:jc w:val="center"/>
      </w:pPr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1526C2DD" w:rsidR="00321BCA" w:rsidRDefault="00C65A35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Clothes-&gt;43,30|</w:t>
            </w:r>
            <w:r w:rsidR="002822CD">
              <w:rPr>
                <w:rFonts w:ascii="Consolas" w:eastAsia="Calibri" w:hAnsi="Consolas" w:cs="Times New Roman"/>
                <w:noProof/>
              </w:rPr>
              <w:t>Shoes-&gt;25,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</w:rPr>
              <w:t>25|Clothes-&gt;36,52|Clothes-&gt;20,90|Accessories-&gt;15,</w:t>
            </w:r>
            <w:r w:rsidR="00321BCA">
              <w:rPr>
                <w:rFonts w:ascii="Consolas" w:eastAsia="Calibri" w:hAnsi="Consolas" w:cs="Times New Roman"/>
                <w:noProof/>
              </w:rPr>
              <w:t>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72EB0EC1" w14:textId="2A7CF3E8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F5BE8" w14:textId="77777777" w:rsidR="00010A83" w:rsidRDefault="00010A83" w:rsidP="008068A2">
      <w:pPr>
        <w:spacing w:after="0" w:line="240" w:lineRule="auto"/>
      </w:pPr>
      <w:r>
        <w:separator/>
      </w:r>
    </w:p>
  </w:endnote>
  <w:endnote w:type="continuationSeparator" w:id="0">
    <w:p w14:paraId="1DB9F5DE" w14:textId="77777777" w:rsidR="00010A83" w:rsidRDefault="00010A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2C25F0DB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2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2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2C25F0DB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2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2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176BF" w14:textId="77777777" w:rsidR="00010A83" w:rsidRDefault="00010A83" w:rsidP="008068A2">
      <w:pPr>
        <w:spacing w:after="0" w:line="240" w:lineRule="auto"/>
      </w:pPr>
      <w:r>
        <w:separator/>
      </w:r>
    </w:p>
  </w:footnote>
  <w:footnote w:type="continuationSeparator" w:id="0">
    <w:p w14:paraId="38F8FDBF" w14:textId="77777777" w:rsidR="00010A83" w:rsidRDefault="00010A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10A83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22CD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65A35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756E-728D-4D8F-BBA7-2BDA1520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antoni</cp:lastModifiedBy>
  <cp:revision>75</cp:revision>
  <cp:lastPrinted>2015-10-26T20:35:00Z</cp:lastPrinted>
  <dcterms:created xsi:type="dcterms:W3CDTF">2018-06-20T10:51:00Z</dcterms:created>
  <dcterms:modified xsi:type="dcterms:W3CDTF">2020-03-16T14:15:00Z</dcterms:modified>
  <cp:category>programming, education, software engineering, software development</cp:category>
</cp:coreProperties>
</file>